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66"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2400" w:right="2600" w:hanging="448"/>
        <w:spacing w:after="0" w:line="196" w:lineRule="auto"/>
        <w:tabs>
          <w:tab w:leader="none" w:pos="24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155"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quarterly period ended May 1, 2020</w:t>
      </w:r>
    </w:p>
    <w:p>
      <w:pPr>
        <w:spacing w:after="0" w:line="73"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2400" w:right="2580" w:hanging="448"/>
        <w:spacing w:after="0" w:line="196" w:lineRule="auto"/>
        <w:tabs>
          <w:tab w:leader="none" w:pos="240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80" w:type="dxa"/>
            <w:vAlign w:val="bottom"/>
            <w:gridSpan w:val="3"/>
          </w:tcPr>
          <w:p>
            <w:pPr>
              <w:ind w:left="1140"/>
              <w:spacing w:after="0"/>
              <w:rPr>
                <w:sz w:val="20"/>
                <w:szCs w:val="20"/>
                <w:color w:val="auto"/>
              </w:rPr>
            </w:pPr>
            <w:r>
              <w:rPr>
                <w:rFonts w:ascii="Arial" w:cs="Arial" w:eastAsia="Arial" w:hAnsi="Arial"/>
                <w:sz w:val="16"/>
                <w:szCs w:val="16"/>
                <w:b w:val="1"/>
                <w:bCs w:val="1"/>
                <w:color w:val="auto"/>
                <w:w w:val="94"/>
              </w:rPr>
              <w:t>For the transition period from</w:t>
            </w:r>
          </w:p>
        </w:tc>
        <w:tc>
          <w:tcPr>
            <w:tcW w:w="400" w:type="dxa"/>
            <w:vAlign w:val="bottom"/>
            <w:tcBorders>
              <w:bottom w:val="single" w:sz="8" w:color="auto"/>
            </w:tcBorders>
            <w:gridSpan w:val="2"/>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3180" w:type="dxa"/>
            <w:vAlign w:val="bottom"/>
            <w:gridSpan w:val="2"/>
          </w:tcPr>
          <w:p>
            <w:pPr>
              <w:spacing w:after="0"/>
              <w:rPr>
                <w:sz w:val="16"/>
                <w:szCs w:val="16"/>
                <w:color w:val="auto"/>
              </w:rPr>
            </w:pPr>
          </w:p>
        </w:tc>
      </w:tr>
      <w:tr>
        <w:trPr>
          <w:trHeight w:val="312"/>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80" w:type="dxa"/>
            <w:vAlign w:val="bottom"/>
            <w:gridSpan w:val="8"/>
          </w:tcPr>
          <w:p>
            <w:pPr>
              <w:jc w:val="center"/>
              <w:ind w:right="3159"/>
              <w:spacing w:after="0"/>
              <w:rPr>
                <w:sz w:val="20"/>
                <w:szCs w:val="20"/>
                <w:color w:val="auto"/>
              </w:rPr>
            </w:pPr>
            <w:r>
              <w:rPr>
                <w:rFonts w:ascii="Arial" w:cs="Arial" w:eastAsia="Arial" w:hAnsi="Arial"/>
                <w:sz w:val="16"/>
                <w:szCs w:val="16"/>
                <w:b w:val="1"/>
                <w:bCs w:val="1"/>
                <w:color w:val="auto"/>
                <w:w w:val="91"/>
              </w:rPr>
              <w:t>Commission File Number: 001-37867</w:t>
            </w:r>
          </w:p>
        </w:tc>
      </w:tr>
      <w:tr>
        <w:trPr>
          <w:trHeight w:val="403"/>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80" w:type="dxa"/>
            <w:vAlign w:val="bottom"/>
            <w:gridSpan w:val="8"/>
          </w:tcPr>
          <w:p>
            <w:pPr>
              <w:jc w:val="center"/>
              <w:ind w:right="3159"/>
              <w:spacing w:after="0"/>
              <w:rPr>
                <w:sz w:val="20"/>
                <w:szCs w:val="20"/>
                <w:color w:val="auto"/>
              </w:rPr>
            </w:pPr>
            <w:r>
              <w:rPr>
                <w:rFonts w:ascii="Arial" w:cs="Arial" w:eastAsia="Arial" w:hAnsi="Arial"/>
                <w:sz w:val="29"/>
                <w:szCs w:val="29"/>
                <w:b w:val="1"/>
                <w:bCs w:val="1"/>
                <w:color w:val="auto"/>
                <w:w w:val="87"/>
              </w:rPr>
              <w:t>Dell Technologies Inc.</w:t>
            </w:r>
          </w:p>
        </w:tc>
      </w:tr>
      <w:tr>
        <w:trPr>
          <w:trHeight w:val="320"/>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80" w:type="dxa"/>
            <w:vAlign w:val="bottom"/>
            <w:gridSpan w:val="8"/>
          </w:tcPr>
          <w:p>
            <w:pPr>
              <w:jc w:val="center"/>
              <w:ind w:right="3159"/>
              <w:spacing w:after="0"/>
              <w:rPr>
                <w:sz w:val="20"/>
                <w:szCs w:val="20"/>
                <w:color w:val="auto"/>
              </w:rPr>
            </w:pPr>
            <w:r>
              <w:rPr>
                <w:rFonts w:ascii="Arial" w:cs="Arial" w:eastAsia="Arial" w:hAnsi="Arial"/>
                <w:sz w:val="14"/>
                <w:szCs w:val="14"/>
                <w:color w:val="auto"/>
                <w:w w:val="92"/>
              </w:rPr>
              <w:t>(Exact name of registrant as specified in its charter)</w:t>
            </w:r>
          </w:p>
        </w:tc>
      </w:tr>
      <w:tr>
        <w:trPr>
          <w:trHeight w:val="654"/>
        </w:trPr>
        <w:tc>
          <w:tcPr>
            <w:tcW w:w="1740" w:type="dxa"/>
            <w:vAlign w:val="bottom"/>
          </w:tcPr>
          <w:p>
            <w:pPr>
              <w:spacing w:after="0"/>
              <w:rPr>
                <w:sz w:val="24"/>
                <w:szCs w:val="24"/>
                <w:color w:val="auto"/>
              </w:rPr>
            </w:pPr>
          </w:p>
        </w:tc>
        <w:tc>
          <w:tcPr>
            <w:tcW w:w="236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93"/>
              </w:rPr>
              <w:t>Delaware</w:t>
            </w: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gridSpan w:val="4"/>
          </w:tcPr>
          <w:p>
            <w:pPr>
              <w:jc w:val="right"/>
              <w:ind w:right="1419"/>
              <w:spacing w:after="0"/>
              <w:rPr>
                <w:sz w:val="20"/>
                <w:szCs w:val="20"/>
                <w:color w:val="auto"/>
              </w:rPr>
            </w:pPr>
            <w:r>
              <w:rPr>
                <w:rFonts w:ascii="Arial" w:cs="Arial" w:eastAsia="Arial" w:hAnsi="Arial"/>
                <w:sz w:val="16"/>
                <w:szCs w:val="16"/>
                <w:b w:val="1"/>
                <w:bCs w:val="1"/>
                <w:color w:val="auto"/>
              </w:rPr>
              <w:t>80-0890963</w:t>
            </w:r>
          </w:p>
        </w:tc>
      </w:tr>
      <w:tr>
        <w:trPr>
          <w:trHeight w:val="257"/>
        </w:trPr>
        <w:tc>
          <w:tcPr>
            <w:tcW w:w="6580" w:type="dxa"/>
            <w:vAlign w:val="bottom"/>
            <w:gridSpan w:val="7"/>
          </w:tcPr>
          <w:p>
            <w:pPr>
              <w:jc w:val="center"/>
              <w:ind w:right="116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180" w:type="dxa"/>
            <w:vAlign w:val="bottom"/>
            <w:gridSpan w:val="2"/>
          </w:tcPr>
          <w:p>
            <w:pPr>
              <w:jc w:val="center"/>
              <w:ind w:right="519"/>
              <w:spacing w:after="0"/>
              <w:rPr>
                <w:sz w:val="20"/>
                <w:szCs w:val="20"/>
                <w:color w:val="auto"/>
              </w:rPr>
            </w:pPr>
            <w:r>
              <w:rPr>
                <w:rFonts w:ascii="Arial" w:cs="Arial" w:eastAsia="Arial" w:hAnsi="Arial"/>
                <w:sz w:val="16"/>
                <w:szCs w:val="16"/>
                <w:color w:val="auto"/>
                <w:w w:val="94"/>
              </w:rPr>
              <w:t>(I.R.S. Employer Identification No.)</w:t>
            </w:r>
          </w:p>
        </w:tc>
      </w:tr>
      <w:tr>
        <w:trPr>
          <w:trHeight w:val="320"/>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80" w:type="dxa"/>
            <w:vAlign w:val="bottom"/>
            <w:gridSpan w:val="8"/>
          </w:tcPr>
          <w:p>
            <w:pPr>
              <w:jc w:val="center"/>
              <w:ind w:right="3159"/>
              <w:spacing w:after="0"/>
              <w:rPr>
                <w:sz w:val="20"/>
                <w:szCs w:val="20"/>
                <w:color w:val="auto"/>
              </w:rPr>
            </w:pPr>
            <w:r>
              <w:rPr>
                <w:rFonts w:ascii="Arial" w:cs="Arial" w:eastAsia="Arial" w:hAnsi="Arial"/>
                <w:sz w:val="16"/>
                <w:szCs w:val="16"/>
                <w:b w:val="1"/>
                <w:bCs w:val="1"/>
                <w:color w:val="auto"/>
                <w:w w:val="92"/>
              </w:rPr>
              <w:t>One Dell Way, Round Rock, Texas 78682</w:t>
            </w:r>
          </w:p>
        </w:tc>
      </w:tr>
      <w:tr>
        <w:trPr>
          <w:trHeight w:val="206"/>
        </w:trPr>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80" w:type="dxa"/>
            <w:vAlign w:val="bottom"/>
            <w:gridSpan w:val="9"/>
          </w:tcPr>
          <w:p>
            <w:pPr>
              <w:jc w:val="center"/>
              <w:ind w:right="195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61"/>
        </w:trPr>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gridSpan w:val="2"/>
          </w:tcPr>
          <w:p>
            <w:pPr>
              <w:jc w:val="center"/>
              <w:ind w:left="850"/>
              <w:spacing w:after="0"/>
              <w:rPr>
                <w:sz w:val="20"/>
                <w:szCs w:val="20"/>
                <w:color w:val="auto"/>
              </w:rPr>
            </w:pPr>
            <w:r>
              <w:rPr>
                <w:rFonts w:ascii="Arial" w:cs="Arial" w:eastAsia="Arial" w:hAnsi="Arial"/>
                <w:sz w:val="16"/>
                <w:szCs w:val="16"/>
                <w:b w:val="1"/>
                <w:bCs w:val="1"/>
                <w:color w:val="auto"/>
                <w:w w:val="93"/>
              </w:rPr>
              <w:t>1-800-289-3355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80" w:type="dxa"/>
            <w:vAlign w:val="bottom"/>
            <w:gridSpan w:val="9"/>
          </w:tcPr>
          <w:p>
            <w:pPr>
              <w:jc w:val="center"/>
              <w:ind w:right="195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78"/>
        </w:trPr>
        <w:tc>
          <w:tcPr>
            <w:tcW w:w="41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17"/>
        </w:trPr>
        <w:tc>
          <w:tcPr>
            <w:tcW w:w="1740" w:type="dxa"/>
            <w:vAlign w:val="bottom"/>
          </w:tcPr>
          <w:p>
            <w:pPr>
              <w:spacing w:after="0"/>
              <w:rPr>
                <w:sz w:val="24"/>
                <w:szCs w:val="24"/>
                <w:color w:val="auto"/>
              </w:rPr>
            </w:pPr>
          </w:p>
        </w:tc>
        <w:tc>
          <w:tcPr>
            <w:tcW w:w="2360" w:type="dxa"/>
            <w:vAlign w:val="bottom"/>
            <w:gridSpan w:val="2"/>
          </w:tcPr>
          <w:p>
            <w:pPr>
              <w:jc w:val="center"/>
              <w:ind w:right="1119"/>
              <w:spacing w:after="0"/>
              <w:rPr>
                <w:sz w:val="20"/>
                <w:szCs w:val="20"/>
                <w:color w:val="auto"/>
              </w:rPr>
            </w:pPr>
            <w:r>
              <w:rPr>
                <w:rFonts w:ascii="Arial" w:cs="Arial" w:eastAsia="Arial" w:hAnsi="Arial"/>
                <w:sz w:val="16"/>
                <w:szCs w:val="16"/>
                <w:color w:val="auto"/>
                <w:w w:val="90"/>
              </w:rPr>
              <w:t>Title of each class</w:t>
            </w:r>
          </w:p>
        </w:tc>
        <w:tc>
          <w:tcPr>
            <w:tcW w:w="2480" w:type="dxa"/>
            <w:vAlign w:val="bottom"/>
            <w:gridSpan w:val="4"/>
          </w:tcPr>
          <w:p>
            <w:pPr>
              <w:jc w:val="center"/>
              <w:ind w:left="490"/>
              <w:spacing w:after="0"/>
              <w:rPr>
                <w:sz w:val="20"/>
                <w:szCs w:val="20"/>
                <w:color w:val="auto"/>
              </w:rPr>
            </w:pPr>
            <w:r>
              <w:rPr>
                <w:rFonts w:ascii="Arial" w:cs="Arial" w:eastAsia="Arial" w:hAnsi="Arial"/>
                <w:sz w:val="16"/>
                <w:szCs w:val="16"/>
                <w:color w:val="auto"/>
                <w:w w:val="93"/>
              </w:rPr>
              <w:t>Trading Symbol(s)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2"/>
          </w:tcPr>
          <w:p>
            <w:pPr>
              <w:jc w:val="center"/>
              <w:ind w:left="219"/>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73"/>
        </w:trPr>
        <w:tc>
          <w:tcPr>
            <w:tcW w:w="410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0"/>
              </w:rPr>
              <w:t>Class C Common Stock, par value $0.01 per share</w:t>
            </w:r>
          </w:p>
        </w:tc>
        <w:tc>
          <w:tcPr>
            <w:tcW w:w="920" w:type="dxa"/>
            <w:vAlign w:val="bottom"/>
          </w:tcPr>
          <w:p>
            <w:pPr>
              <w:spacing w:after="0"/>
              <w:rPr>
                <w:sz w:val="23"/>
                <w:szCs w:val="23"/>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7"/>
                <w:szCs w:val="17"/>
                <w:b w:val="1"/>
                <w:bCs w:val="1"/>
                <w:color w:val="auto"/>
              </w:rPr>
              <w:t>DELL</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318"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4" w:lineRule="exact"/>
        <w:rPr>
          <w:sz w:val="24"/>
          <w:szCs w:val="24"/>
          <w:color w:val="auto"/>
        </w:rPr>
      </w:pPr>
    </w:p>
    <w:p>
      <w:pPr>
        <w:ind w:right="40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3"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6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4"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As of June 1, 2020, there were 740,816,465 shares of the registrant’s common stock outstanding, consisting of 254,592,425 outstanding shares of Class C Common Stock, 384,538,823 outstanding shares of Class A Common Stock, and 101,685,217 outstanding shares of Class B Common Stock.</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This report contains </w:t>
      </w:r>
      <w:r>
        <w:rPr>
          <w:rFonts w:ascii="Arial" w:cs="Arial" w:eastAsia="Arial" w:hAnsi="Arial"/>
          <w:sz w:val="14"/>
          <w:szCs w:val="14"/>
          <w:color w:val="auto"/>
        </w:rPr>
        <w:t>“</w:t>
      </w:r>
      <w:r>
        <w:rPr>
          <w:rFonts w:ascii="Arial" w:cs="Arial" w:eastAsia="Arial" w:hAnsi="Arial"/>
          <w:sz w:val="16"/>
          <w:szCs w:val="16"/>
          <w:color w:val="auto"/>
        </w:rPr>
        <w:t>forward-looking statements</w:t>
      </w:r>
      <w:r>
        <w:rPr>
          <w:rFonts w:ascii="Arial" w:cs="Arial" w:eastAsia="Arial" w:hAnsi="Arial"/>
          <w:sz w:val="14"/>
          <w:szCs w:val="14"/>
          <w:color w:val="auto"/>
        </w:rPr>
        <w:t>”</w:t>
      </w:r>
      <w:r>
        <w:rPr>
          <w:rFonts w:ascii="Arial" w:cs="Arial" w:eastAsia="Arial" w:hAnsi="Arial"/>
          <w:sz w:val="16"/>
          <w:szCs w:val="16"/>
          <w:color w:val="auto"/>
        </w:rPr>
        <w:t xml:space="preserve"> within the meaning of Section 27A of the Securities Act of 1933 and Section 21E of the Securities Exchange Act of 1934. The words </w:t>
      </w:r>
      <w:r>
        <w:rPr>
          <w:rFonts w:ascii="Arial" w:cs="Arial" w:eastAsia="Arial" w:hAnsi="Arial"/>
          <w:sz w:val="14"/>
          <w:szCs w:val="14"/>
          <w:color w:val="auto"/>
        </w:rPr>
        <w:t>“</w:t>
      </w:r>
      <w:r>
        <w:rPr>
          <w:rFonts w:ascii="Arial" w:cs="Arial" w:eastAsia="Arial" w:hAnsi="Arial"/>
          <w:sz w:val="16"/>
          <w:szCs w:val="16"/>
          <w:color w:val="auto"/>
        </w:rPr>
        <w:t>may,</w:t>
      </w:r>
      <w:r>
        <w:rPr>
          <w:rFonts w:ascii="Arial" w:cs="Arial" w:eastAsia="Arial" w:hAnsi="Arial"/>
          <w:sz w:val="14"/>
          <w:szCs w:val="14"/>
          <w:color w:val="auto"/>
        </w:rPr>
        <w:t>” “</w:t>
      </w:r>
      <w:r>
        <w:rPr>
          <w:rFonts w:ascii="Arial" w:cs="Arial" w:eastAsia="Arial" w:hAnsi="Arial"/>
          <w:sz w:val="16"/>
          <w:szCs w:val="16"/>
          <w:color w:val="auto"/>
        </w:rPr>
        <w:t>will,</w:t>
      </w:r>
      <w:r>
        <w:rPr>
          <w:rFonts w:ascii="Arial" w:cs="Arial" w:eastAsia="Arial" w:hAnsi="Arial"/>
          <w:sz w:val="14"/>
          <w:szCs w:val="14"/>
          <w:color w:val="auto"/>
        </w:rPr>
        <w:t>” “</w:t>
      </w:r>
      <w:r>
        <w:rPr>
          <w:rFonts w:ascii="Arial" w:cs="Arial" w:eastAsia="Arial" w:hAnsi="Arial"/>
          <w:sz w:val="16"/>
          <w:szCs w:val="16"/>
          <w:color w:val="auto"/>
        </w:rPr>
        <w:t>anticipate,</w:t>
      </w:r>
      <w:r>
        <w:rPr>
          <w:rFonts w:ascii="Arial" w:cs="Arial" w:eastAsia="Arial" w:hAnsi="Arial"/>
          <w:sz w:val="14"/>
          <w:szCs w:val="14"/>
          <w:color w:val="auto"/>
        </w:rPr>
        <w:t>” “</w:t>
      </w:r>
      <w:r>
        <w:rPr>
          <w:rFonts w:ascii="Arial" w:cs="Arial" w:eastAsia="Arial" w:hAnsi="Arial"/>
          <w:sz w:val="16"/>
          <w:szCs w:val="16"/>
          <w:color w:val="auto"/>
        </w:rPr>
        <w:t>estimate,</w:t>
      </w:r>
      <w:r>
        <w:rPr>
          <w:rFonts w:ascii="Arial" w:cs="Arial" w:eastAsia="Arial" w:hAnsi="Arial"/>
          <w:sz w:val="14"/>
          <w:szCs w:val="14"/>
          <w:color w:val="auto"/>
        </w:rPr>
        <w:t>” “</w:t>
      </w:r>
      <w:r>
        <w:rPr>
          <w:rFonts w:ascii="Arial" w:cs="Arial" w:eastAsia="Arial" w:hAnsi="Arial"/>
          <w:sz w:val="16"/>
          <w:szCs w:val="16"/>
          <w:color w:val="auto"/>
        </w:rPr>
        <w:t>expect,</w:t>
      </w:r>
      <w:r>
        <w:rPr>
          <w:rFonts w:ascii="Arial" w:cs="Arial" w:eastAsia="Arial" w:hAnsi="Arial"/>
          <w:sz w:val="14"/>
          <w:szCs w:val="14"/>
          <w:color w:val="auto"/>
        </w:rPr>
        <w:t>” “</w:t>
      </w:r>
      <w:r>
        <w:rPr>
          <w:rFonts w:ascii="Arial" w:cs="Arial" w:eastAsia="Arial" w:hAnsi="Arial"/>
          <w:sz w:val="16"/>
          <w:szCs w:val="16"/>
          <w:color w:val="auto"/>
        </w:rPr>
        <w:t>intend,</w:t>
      </w:r>
      <w:r>
        <w:rPr>
          <w:rFonts w:ascii="Arial" w:cs="Arial" w:eastAsia="Arial" w:hAnsi="Arial"/>
          <w:sz w:val="14"/>
          <w:szCs w:val="14"/>
          <w:color w:val="auto"/>
        </w:rPr>
        <w:t>” “</w:t>
      </w:r>
      <w:r>
        <w:rPr>
          <w:rFonts w:ascii="Arial" w:cs="Arial" w:eastAsia="Arial" w:hAnsi="Arial"/>
          <w:sz w:val="16"/>
          <w:szCs w:val="16"/>
          <w:color w:val="auto"/>
        </w:rPr>
        <w:t>plan,</w:t>
      </w:r>
      <w:r>
        <w:rPr>
          <w:rFonts w:ascii="Arial" w:cs="Arial" w:eastAsia="Arial" w:hAnsi="Arial"/>
          <w:sz w:val="14"/>
          <w:szCs w:val="14"/>
          <w:color w:val="auto"/>
        </w:rPr>
        <w:t>” “</w:t>
      </w:r>
      <w:r>
        <w:rPr>
          <w:rFonts w:ascii="Arial" w:cs="Arial" w:eastAsia="Arial" w:hAnsi="Arial"/>
          <w:sz w:val="16"/>
          <w:szCs w:val="16"/>
          <w:color w:val="auto"/>
        </w:rPr>
        <w:t>aim,</w:t>
      </w:r>
      <w:r>
        <w:rPr>
          <w:rFonts w:ascii="Arial" w:cs="Arial" w:eastAsia="Arial" w:hAnsi="Arial"/>
          <w:sz w:val="14"/>
          <w:szCs w:val="14"/>
          <w:color w:val="auto"/>
        </w:rPr>
        <w:t>” “</w:t>
      </w:r>
      <w:r>
        <w:rPr>
          <w:rFonts w:ascii="Arial" w:cs="Arial" w:eastAsia="Arial" w:hAnsi="Arial"/>
          <w:sz w:val="16"/>
          <w:szCs w:val="16"/>
          <w:color w:val="auto"/>
        </w:rPr>
        <w:t>seek,</w:t>
      </w:r>
      <w:r>
        <w:rPr>
          <w:rFonts w:ascii="Arial" w:cs="Arial" w:eastAsia="Arial" w:hAnsi="Arial"/>
          <w:sz w:val="14"/>
          <w:szCs w:val="14"/>
          <w:color w:val="auto"/>
        </w:rPr>
        <w:t>”</w:t>
      </w:r>
      <w:r>
        <w:rPr>
          <w:rFonts w:ascii="Arial" w:cs="Arial" w:eastAsia="Arial" w:hAnsi="Arial"/>
          <w:sz w:val="16"/>
          <w:szCs w:val="16"/>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future responses to and effects of the coronavirus disease 2019 (“COVID-19”),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on Form 10-K for the fiscal year ended January 31, 2020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79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1560" w:type="dxa"/>
            <w:vAlign w:val="bottom"/>
          </w:tcPr>
          <w:p>
            <w:pPr>
              <w:spacing w:after="0"/>
              <w:rPr>
                <w:sz w:val="24"/>
                <w:szCs w:val="24"/>
                <w:color w:val="auto"/>
              </w:rPr>
            </w:pPr>
          </w:p>
        </w:tc>
        <w:tc>
          <w:tcPr>
            <w:tcW w:w="7980" w:type="dxa"/>
            <w:vAlign w:val="bottom"/>
          </w:tcPr>
          <w:p>
            <w:pPr>
              <w:jc w:val="center"/>
              <w:ind w:left="70"/>
              <w:spacing w:after="0"/>
              <w:rPr>
                <w:sz w:val="20"/>
                <w:szCs w:val="20"/>
                <w:color w:val="auto"/>
              </w:rPr>
            </w:pPr>
            <w:r>
              <w:rPr>
                <w:rFonts w:ascii="Arial" w:cs="Arial" w:eastAsia="Arial" w:hAnsi="Arial"/>
                <w:sz w:val="18"/>
                <w:szCs w:val="18"/>
                <w:b w:val="1"/>
                <w:bCs w:val="1"/>
                <w:color w:val="auto"/>
              </w:rPr>
              <w:t>DELL TECHNOLOGIES INC.</w:t>
            </w:r>
          </w:p>
        </w:tc>
        <w:tc>
          <w:tcPr>
            <w:tcW w:w="160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798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TABLE OF CONTENTS</w:t>
            </w:r>
          </w:p>
        </w:tc>
        <w:tc>
          <w:tcPr>
            <w:tcW w:w="1600" w:type="dxa"/>
            <w:vAlign w:val="bottom"/>
          </w:tcPr>
          <w:p>
            <w:pPr>
              <w:spacing w:after="0"/>
              <w:rPr>
                <w:sz w:val="24"/>
                <w:szCs w:val="24"/>
                <w:color w:val="auto"/>
              </w:rPr>
            </w:pPr>
          </w:p>
        </w:tc>
      </w:tr>
      <w:tr>
        <w:trPr>
          <w:trHeight w:val="378"/>
        </w:trPr>
        <w:tc>
          <w:tcPr>
            <w:tcW w:w="15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600" w:type="dxa"/>
            <w:vAlign w:val="bottom"/>
          </w:tcPr>
          <w:p>
            <w:pPr>
              <w:ind w:left="1240"/>
              <w:spacing w:after="0"/>
              <w:rPr>
                <w:sz w:val="20"/>
                <w:szCs w:val="20"/>
                <w:color w:val="auto"/>
              </w:rPr>
            </w:pPr>
            <w:r>
              <w:rPr>
                <w:rFonts w:ascii="Arial" w:cs="Arial" w:eastAsia="Arial" w:hAnsi="Arial"/>
                <w:sz w:val="18"/>
                <w:szCs w:val="18"/>
                <w:b w:val="1"/>
                <w:bCs w:val="1"/>
                <w:color w:val="auto"/>
                <w:w w:val="78"/>
              </w:rPr>
              <w:t>Page</w:t>
            </w:r>
          </w:p>
        </w:tc>
      </w:tr>
      <w:tr>
        <w:trPr>
          <w:trHeight w:val="270"/>
        </w:trPr>
        <w:tc>
          <w:tcPr>
            <w:tcW w:w="1560" w:type="dxa"/>
            <w:vAlign w:val="bottom"/>
          </w:tcPr>
          <w:p>
            <w:pPr>
              <w:spacing w:after="0"/>
              <w:rPr>
                <w:sz w:val="23"/>
                <w:szCs w:val="23"/>
                <w:color w:val="auto"/>
              </w:rPr>
            </w:pPr>
          </w:p>
        </w:tc>
        <w:tc>
          <w:tcPr>
            <w:tcW w:w="7980" w:type="dxa"/>
            <w:vAlign w:val="bottom"/>
          </w:tcPr>
          <w:p>
            <w:pPr>
              <w:jc w:val="center"/>
              <w:ind w:left="5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600" w:type="dxa"/>
            <w:vAlign w:val="bottom"/>
          </w:tcPr>
          <w:p>
            <w:pPr>
              <w:spacing w:after="0"/>
              <w:rPr>
                <w:sz w:val="23"/>
                <w:szCs w:val="23"/>
                <w:color w:val="auto"/>
              </w:rPr>
            </w:pPr>
          </w:p>
        </w:tc>
      </w:tr>
      <w:tr>
        <w:trPr>
          <w:trHeight w:val="270"/>
        </w:trPr>
        <w:tc>
          <w:tcPr>
            <w:tcW w:w="156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980" w:type="dxa"/>
            <w:vAlign w:val="bottom"/>
          </w:tcPr>
          <w:p>
            <w:pPr>
              <w:ind w:left="2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1600" w:type="dxa"/>
            <w:vAlign w:val="bottom"/>
          </w:tcPr>
          <w:p>
            <w:pPr>
              <w:jc w:val="center"/>
              <w:ind w:left="115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4</w:t>
              </w:r>
            </w:hyperlink>
          </w:p>
        </w:tc>
      </w:tr>
      <w:tr>
        <w:trPr>
          <w:trHeight w:val="270"/>
        </w:trPr>
        <w:tc>
          <w:tcPr>
            <w:tcW w:w="1560" w:type="dxa"/>
            <w:vAlign w:val="bottom"/>
          </w:tcPr>
          <w:p>
            <w:pPr>
              <w:ind w:left="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2.</w:t>
              </w:r>
            </w:hyperlink>
          </w:p>
        </w:tc>
        <w:tc>
          <w:tcPr>
            <w:tcW w:w="7980" w:type="dxa"/>
            <w:vAlign w:val="bottom"/>
          </w:tcPr>
          <w:p>
            <w:pPr>
              <w:ind w:left="2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Management’s Discussion and Analysis of Financial Condition and Results of Operations</w:t>
              </w:r>
            </w:hyperlink>
          </w:p>
        </w:tc>
        <w:tc>
          <w:tcPr>
            <w:tcW w:w="1600" w:type="dxa"/>
            <w:vAlign w:val="bottom"/>
          </w:tcPr>
          <w:p>
            <w:pPr>
              <w:jc w:val="center"/>
              <w:ind w:left="117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57</w:t>
              </w:r>
            </w:hyperlink>
          </w:p>
        </w:tc>
      </w:tr>
      <w:tr>
        <w:trPr>
          <w:trHeight w:val="270"/>
        </w:trPr>
        <w:tc>
          <w:tcPr>
            <w:tcW w:w="1560" w:type="dxa"/>
            <w:vAlign w:val="bottom"/>
          </w:tcPr>
          <w:p>
            <w:pPr>
              <w:ind w:left="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3.</w:t>
              </w:r>
            </w:hyperlink>
          </w:p>
        </w:tc>
        <w:tc>
          <w:tcPr>
            <w:tcW w:w="7980" w:type="dxa"/>
            <w:vAlign w:val="bottom"/>
          </w:tcPr>
          <w:p>
            <w:pPr>
              <w:ind w:left="28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Quantitative and Qualitative Disclosures About Market Risk</w:t>
              </w:r>
            </w:hyperlink>
          </w:p>
        </w:tc>
        <w:tc>
          <w:tcPr>
            <w:tcW w:w="1600" w:type="dxa"/>
            <w:vAlign w:val="bottom"/>
          </w:tcPr>
          <w:p>
            <w:pPr>
              <w:jc w:val="center"/>
              <w:ind w:left="1170"/>
              <w:spacing w:after="0"/>
              <w:rPr>
                <w:rFonts w:ascii="Arial" w:cs="Arial" w:eastAsia="Arial" w:hAnsi="Arial"/>
                <w:sz w:val="18"/>
                <w:szCs w:val="18"/>
                <w:u w:val="single" w:color="auto"/>
                <w:color w:val="0000EE"/>
                <w:w w:val="89"/>
              </w:rPr>
            </w:pPr>
            <w:hyperlink w:anchor="page85">
              <w:r>
                <w:rPr>
                  <w:rFonts w:ascii="Arial" w:cs="Arial" w:eastAsia="Arial" w:hAnsi="Arial"/>
                  <w:sz w:val="18"/>
                  <w:szCs w:val="18"/>
                  <w:u w:val="single" w:color="auto"/>
                  <w:color w:val="0000EE"/>
                  <w:w w:val="89"/>
                </w:rPr>
                <w:t>85</w:t>
              </w:r>
            </w:hyperlink>
          </w:p>
        </w:tc>
      </w:tr>
      <w:tr>
        <w:trPr>
          <w:trHeight w:val="270"/>
        </w:trPr>
        <w:tc>
          <w:tcPr>
            <w:tcW w:w="1560" w:type="dxa"/>
            <w:vAlign w:val="bottom"/>
          </w:tcPr>
          <w:p>
            <w:pPr>
              <w:ind w:left="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4.</w:t>
              </w:r>
            </w:hyperlink>
          </w:p>
        </w:tc>
        <w:tc>
          <w:tcPr>
            <w:tcW w:w="7980" w:type="dxa"/>
            <w:vAlign w:val="bottom"/>
          </w:tcPr>
          <w:p>
            <w:pPr>
              <w:ind w:left="28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Controls and Procedures</w:t>
              </w:r>
            </w:hyperlink>
          </w:p>
        </w:tc>
        <w:tc>
          <w:tcPr>
            <w:tcW w:w="1600" w:type="dxa"/>
            <w:vAlign w:val="bottom"/>
          </w:tcPr>
          <w:p>
            <w:pPr>
              <w:jc w:val="center"/>
              <w:ind w:left="1170"/>
              <w:spacing w:after="0"/>
              <w:rPr>
                <w:rFonts w:ascii="Arial" w:cs="Arial" w:eastAsia="Arial" w:hAnsi="Arial"/>
                <w:sz w:val="18"/>
                <w:szCs w:val="18"/>
                <w:u w:val="single" w:color="auto"/>
                <w:color w:val="0000EE"/>
                <w:w w:val="89"/>
              </w:rPr>
            </w:pPr>
            <w:hyperlink w:anchor="page86">
              <w:r>
                <w:rPr>
                  <w:rFonts w:ascii="Arial" w:cs="Arial" w:eastAsia="Arial" w:hAnsi="Arial"/>
                  <w:sz w:val="18"/>
                  <w:szCs w:val="18"/>
                  <w:u w:val="single" w:color="auto"/>
                  <w:color w:val="0000EE"/>
                  <w:w w:val="89"/>
                </w:rPr>
                <w:t>86</w:t>
              </w:r>
            </w:hyperlink>
          </w:p>
        </w:tc>
      </w:tr>
      <w:tr>
        <w:trPr>
          <w:trHeight w:val="270"/>
        </w:trPr>
        <w:tc>
          <w:tcPr>
            <w:tcW w:w="1560" w:type="dxa"/>
            <w:vAlign w:val="bottom"/>
          </w:tcPr>
          <w:p>
            <w:pPr>
              <w:spacing w:after="0"/>
              <w:rPr>
                <w:sz w:val="23"/>
                <w:szCs w:val="23"/>
                <w:color w:val="auto"/>
              </w:rPr>
            </w:pPr>
          </w:p>
        </w:tc>
        <w:tc>
          <w:tcPr>
            <w:tcW w:w="7980" w:type="dxa"/>
            <w:vAlign w:val="bottom"/>
          </w:tcPr>
          <w:p>
            <w:pPr>
              <w:jc w:val="center"/>
              <w:ind w:left="70"/>
              <w:spacing w:after="0"/>
              <w:rPr>
                <w:rFonts w:ascii="Arial" w:cs="Arial" w:eastAsia="Arial" w:hAnsi="Arial"/>
                <w:sz w:val="18"/>
                <w:szCs w:val="18"/>
                <w:b w:val="1"/>
                <w:bCs w:val="1"/>
                <w:u w:val="single" w:color="auto"/>
                <w:color w:val="0000EE"/>
              </w:rPr>
            </w:pPr>
            <w:hyperlink w:anchor="page87">
              <w:r>
                <w:rPr>
                  <w:rFonts w:ascii="Arial" w:cs="Arial" w:eastAsia="Arial" w:hAnsi="Arial"/>
                  <w:sz w:val="18"/>
                  <w:szCs w:val="18"/>
                  <w:b w:val="1"/>
                  <w:bCs w:val="1"/>
                  <w:u w:val="single" w:color="auto"/>
                  <w:color w:val="0000EE"/>
                </w:rPr>
                <w:t>PART II — OTHER INFORMATION</w:t>
              </w:r>
            </w:hyperlink>
          </w:p>
        </w:tc>
        <w:tc>
          <w:tcPr>
            <w:tcW w:w="1600" w:type="dxa"/>
            <w:vAlign w:val="bottom"/>
          </w:tcPr>
          <w:p>
            <w:pPr>
              <w:spacing w:after="0"/>
              <w:rPr>
                <w:sz w:val="23"/>
                <w:szCs w:val="23"/>
                <w:color w:val="auto"/>
              </w:rPr>
            </w:pPr>
          </w:p>
        </w:tc>
      </w:tr>
      <w:tr>
        <w:trPr>
          <w:trHeight w:val="270"/>
        </w:trPr>
        <w:tc>
          <w:tcPr>
            <w:tcW w:w="1560" w:type="dxa"/>
            <w:vAlign w:val="bottom"/>
          </w:tcPr>
          <w:p>
            <w:pPr>
              <w:ind w:left="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1.</w:t>
              </w:r>
            </w:hyperlink>
          </w:p>
        </w:tc>
        <w:tc>
          <w:tcPr>
            <w:tcW w:w="7980" w:type="dxa"/>
            <w:vAlign w:val="bottom"/>
          </w:tcPr>
          <w:p>
            <w:pPr>
              <w:ind w:left="28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Legal Proceedings</w:t>
              </w:r>
            </w:hyperlink>
          </w:p>
        </w:tc>
        <w:tc>
          <w:tcPr>
            <w:tcW w:w="1600" w:type="dxa"/>
            <w:vAlign w:val="bottom"/>
          </w:tcPr>
          <w:p>
            <w:pPr>
              <w:jc w:val="center"/>
              <w:ind w:left="1170"/>
              <w:spacing w:after="0"/>
              <w:rPr>
                <w:rFonts w:ascii="Arial" w:cs="Arial" w:eastAsia="Arial" w:hAnsi="Arial"/>
                <w:sz w:val="18"/>
                <w:szCs w:val="18"/>
                <w:u w:val="single" w:color="auto"/>
                <w:color w:val="0000EE"/>
                <w:w w:val="89"/>
              </w:rPr>
            </w:pPr>
            <w:hyperlink w:anchor="page87">
              <w:r>
                <w:rPr>
                  <w:rFonts w:ascii="Arial" w:cs="Arial" w:eastAsia="Arial" w:hAnsi="Arial"/>
                  <w:sz w:val="18"/>
                  <w:szCs w:val="18"/>
                  <w:u w:val="single" w:color="auto"/>
                  <w:color w:val="0000EE"/>
                  <w:w w:val="89"/>
                </w:rPr>
                <w:t>87</w:t>
              </w:r>
            </w:hyperlink>
          </w:p>
        </w:tc>
      </w:tr>
      <w:tr>
        <w:trPr>
          <w:trHeight w:val="270"/>
        </w:trPr>
        <w:tc>
          <w:tcPr>
            <w:tcW w:w="1560" w:type="dxa"/>
            <w:vAlign w:val="bottom"/>
          </w:tcPr>
          <w:p>
            <w:pPr>
              <w:ind w:left="40"/>
              <w:spacing w:after="0"/>
              <w:rPr>
                <w:rFonts w:ascii="Arial" w:cs="Arial" w:eastAsia="Arial" w:hAnsi="Arial"/>
                <w:sz w:val="18"/>
                <w:szCs w:val="18"/>
                <w:color w:val="0000EE"/>
              </w:rPr>
            </w:pPr>
            <w:hyperlink w:anchor="page87">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980" w:type="dxa"/>
            <w:vAlign w:val="bottom"/>
          </w:tcPr>
          <w:p>
            <w:pPr>
              <w:ind w:left="28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Risk Factors</w:t>
              </w:r>
            </w:hyperlink>
          </w:p>
        </w:tc>
        <w:tc>
          <w:tcPr>
            <w:tcW w:w="1600" w:type="dxa"/>
            <w:vAlign w:val="bottom"/>
          </w:tcPr>
          <w:p>
            <w:pPr>
              <w:jc w:val="center"/>
              <w:ind w:left="1170"/>
              <w:spacing w:after="0"/>
              <w:rPr>
                <w:rFonts w:ascii="Arial" w:cs="Arial" w:eastAsia="Arial" w:hAnsi="Arial"/>
                <w:sz w:val="18"/>
                <w:szCs w:val="18"/>
                <w:u w:val="single" w:color="auto"/>
                <w:color w:val="0000EE"/>
                <w:w w:val="89"/>
              </w:rPr>
            </w:pPr>
            <w:hyperlink w:anchor="page87">
              <w:r>
                <w:rPr>
                  <w:rFonts w:ascii="Arial" w:cs="Arial" w:eastAsia="Arial" w:hAnsi="Arial"/>
                  <w:sz w:val="18"/>
                  <w:szCs w:val="18"/>
                  <w:u w:val="single" w:color="auto"/>
                  <w:color w:val="0000EE"/>
                  <w:w w:val="89"/>
                </w:rPr>
                <w:t>87</w:t>
              </w:r>
            </w:hyperlink>
          </w:p>
        </w:tc>
      </w:tr>
      <w:tr>
        <w:trPr>
          <w:trHeight w:val="270"/>
        </w:trPr>
        <w:tc>
          <w:tcPr>
            <w:tcW w:w="1560" w:type="dxa"/>
            <w:vAlign w:val="bottom"/>
          </w:tcPr>
          <w:p>
            <w:pPr>
              <w:ind w:left="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2.</w:t>
              </w:r>
            </w:hyperlink>
          </w:p>
        </w:tc>
        <w:tc>
          <w:tcPr>
            <w:tcW w:w="7980" w:type="dxa"/>
            <w:vAlign w:val="bottom"/>
          </w:tcPr>
          <w:p>
            <w:pPr>
              <w:ind w:left="2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Unregistered Sales of Equity Securities and Use of Proceeds</w:t>
              </w:r>
            </w:hyperlink>
          </w:p>
        </w:tc>
        <w:tc>
          <w:tcPr>
            <w:tcW w:w="1600" w:type="dxa"/>
            <w:vAlign w:val="bottom"/>
          </w:tcPr>
          <w:p>
            <w:pPr>
              <w:jc w:val="center"/>
              <w:ind w:left="1170"/>
              <w:spacing w:after="0"/>
              <w:rPr>
                <w:rFonts w:ascii="Arial" w:cs="Arial" w:eastAsia="Arial" w:hAnsi="Arial"/>
                <w:sz w:val="18"/>
                <w:szCs w:val="18"/>
                <w:u w:val="single" w:color="auto"/>
                <w:color w:val="0000EE"/>
                <w:w w:val="89"/>
              </w:rPr>
            </w:pPr>
            <w:hyperlink w:anchor="page88">
              <w:r>
                <w:rPr>
                  <w:rFonts w:ascii="Arial" w:cs="Arial" w:eastAsia="Arial" w:hAnsi="Arial"/>
                  <w:sz w:val="18"/>
                  <w:szCs w:val="18"/>
                  <w:u w:val="single" w:color="auto"/>
                  <w:color w:val="0000EE"/>
                  <w:w w:val="89"/>
                </w:rPr>
                <w:t>88</w:t>
              </w:r>
            </w:hyperlink>
          </w:p>
        </w:tc>
      </w:tr>
      <w:tr>
        <w:trPr>
          <w:trHeight w:val="270"/>
        </w:trPr>
        <w:tc>
          <w:tcPr>
            <w:tcW w:w="1560" w:type="dxa"/>
            <w:vAlign w:val="bottom"/>
          </w:tcPr>
          <w:p>
            <w:pPr>
              <w:ind w:left="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6.</w:t>
              </w:r>
            </w:hyperlink>
          </w:p>
        </w:tc>
        <w:tc>
          <w:tcPr>
            <w:tcW w:w="7980" w:type="dxa"/>
            <w:vAlign w:val="bottom"/>
          </w:tcPr>
          <w:p>
            <w:pPr>
              <w:ind w:left="28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Exhibits</w:t>
              </w:r>
            </w:hyperlink>
          </w:p>
        </w:tc>
        <w:tc>
          <w:tcPr>
            <w:tcW w:w="1600" w:type="dxa"/>
            <w:vAlign w:val="bottom"/>
          </w:tcPr>
          <w:p>
            <w:pPr>
              <w:jc w:val="center"/>
              <w:ind w:left="1170"/>
              <w:spacing w:after="0"/>
              <w:rPr>
                <w:rFonts w:ascii="Arial" w:cs="Arial" w:eastAsia="Arial" w:hAnsi="Arial"/>
                <w:sz w:val="18"/>
                <w:szCs w:val="18"/>
                <w:u w:val="single" w:color="auto"/>
                <w:color w:val="0000EE"/>
                <w:w w:val="89"/>
              </w:rPr>
            </w:pPr>
            <w:hyperlink w:anchor="page89">
              <w:r>
                <w:rPr>
                  <w:rFonts w:ascii="Arial" w:cs="Arial" w:eastAsia="Arial" w:hAnsi="Arial"/>
                  <w:sz w:val="18"/>
                  <w:szCs w:val="18"/>
                  <w:u w:val="single" w:color="auto"/>
                  <w:color w:val="0000EE"/>
                  <w:w w:val="89"/>
                </w:rPr>
                <w:t>89</w:t>
              </w:r>
            </w:hyperlink>
          </w:p>
        </w:tc>
      </w:tr>
      <w:tr>
        <w:trPr>
          <w:trHeight w:val="270"/>
        </w:trPr>
        <w:tc>
          <w:tcPr>
            <w:tcW w:w="1560" w:type="dxa"/>
            <w:vAlign w:val="bottom"/>
          </w:tcPr>
          <w:p>
            <w:pPr>
              <w:ind w:left="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Signatures</w:t>
              </w:r>
            </w:hyperlink>
          </w:p>
        </w:tc>
        <w:tc>
          <w:tcPr>
            <w:tcW w:w="7980" w:type="dxa"/>
            <w:vAlign w:val="bottom"/>
          </w:tcPr>
          <w:p>
            <w:pPr>
              <w:spacing w:after="0"/>
              <w:rPr>
                <w:sz w:val="23"/>
                <w:szCs w:val="23"/>
                <w:color w:val="auto"/>
              </w:rPr>
            </w:pPr>
          </w:p>
        </w:tc>
        <w:tc>
          <w:tcPr>
            <w:tcW w:w="1600" w:type="dxa"/>
            <w:vAlign w:val="bottom"/>
          </w:tcPr>
          <w:p>
            <w:pPr>
              <w:jc w:val="center"/>
              <w:ind w:left="1170"/>
              <w:spacing w:after="0"/>
              <w:rPr>
                <w:rFonts w:ascii="Arial" w:cs="Arial" w:eastAsia="Arial" w:hAnsi="Arial"/>
                <w:sz w:val="18"/>
                <w:szCs w:val="18"/>
                <w:u w:val="single" w:color="auto"/>
                <w:color w:val="0000EE"/>
                <w:w w:val="89"/>
              </w:rPr>
            </w:pPr>
            <w:hyperlink w:anchor="page91">
              <w:r>
                <w:rPr>
                  <w:rFonts w:ascii="Arial" w:cs="Arial" w:eastAsia="Arial" w:hAnsi="Arial"/>
                  <w:sz w:val="18"/>
                  <w:szCs w:val="18"/>
                  <w:u w:val="single" w:color="auto"/>
                  <w:color w:val="0000EE"/>
                  <w:w w:val="89"/>
                </w:rPr>
                <w:t>91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125"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080" w:type="dxa"/>
            <w:vAlign w:val="bottom"/>
          </w:tcPr>
          <w:p>
            <w:pPr>
              <w:spacing w:after="0"/>
              <w:rPr>
                <w:sz w:val="20"/>
                <w:szCs w:val="20"/>
                <w:color w:val="auto"/>
              </w:rPr>
            </w:pPr>
          </w:p>
        </w:tc>
      </w:tr>
      <w:tr>
        <w:trPr>
          <w:trHeight w:val="648"/>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rPr>
              <w:t>PART I — FINANCIAL INFORMATION</w:t>
            </w:r>
          </w:p>
        </w:tc>
        <w:tc>
          <w:tcPr>
            <w:tcW w:w="108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 (UNAUDITED)</w:t>
            </w:r>
          </w:p>
        </w:tc>
        <w:tc>
          <w:tcPr>
            <w:tcW w:w="1080" w:type="dxa"/>
            <w:vAlign w:val="bottom"/>
          </w:tcPr>
          <w:p>
            <w:pPr>
              <w:spacing w:after="0"/>
              <w:rPr>
                <w:sz w:val="24"/>
                <w:szCs w:val="24"/>
                <w:color w:val="auto"/>
              </w:rPr>
            </w:pPr>
          </w:p>
        </w:tc>
      </w:tr>
      <w:tr>
        <w:trPr>
          <w:trHeight w:val="432"/>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3"/>
              </w:rPr>
              <w:t>Index</w:t>
            </w:r>
          </w:p>
        </w:tc>
        <w:tc>
          <w:tcPr>
            <w:tcW w:w="1080" w:type="dxa"/>
            <w:vAlign w:val="bottom"/>
          </w:tcPr>
          <w:p>
            <w:pPr>
              <w:spacing w:after="0"/>
              <w:rPr>
                <w:sz w:val="24"/>
                <w:szCs w:val="24"/>
                <w:color w:val="auto"/>
              </w:rPr>
            </w:pPr>
          </w:p>
        </w:tc>
      </w:tr>
      <w:tr>
        <w:trPr>
          <w:trHeight w:val="378"/>
        </w:trPr>
        <w:tc>
          <w:tcPr>
            <w:tcW w:w="10020" w:type="dxa"/>
            <w:vAlign w:val="bottom"/>
          </w:tcPr>
          <w:p>
            <w:pPr>
              <w:spacing w:after="0"/>
              <w:rPr>
                <w:sz w:val="24"/>
                <w:szCs w:val="24"/>
                <w:color w:val="auto"/>
              </w:rPr>
            </w:pPr>
          </w:p>
        </w:tc>
        <w:tc>
          <w:tcPr>
            <w:tcW w:w="1080" w:type="dxa"/>
            <w:vAlign w:val="bottom"/>
          </w:tcPr>
          <w:p>
            <w:pPr>
              <w:ind w:left="700"/>
              <w:spacing w:after="0"/>
              <w:rPr>
                <w:sz w:val="20"/>
                <w:szCs w:val="20"/>
                <w:color w:val="auto"/>
              </w:rPr>
            </w:pPr>
            <w:r>
              <w:rPr>
                <w:rFonts w:ascii="Arial" w:cs="Arial" w:eastAsia="Arial" w:hAnsi="Arial"/>
                <w:sz w:val="18"/>
                <w:szCs w:val="18"/>
                <w:b w:val="1"/>
                <w:bCs w:val="1"/>
                <w:color w:val="auto"/>
                <w:w w:val="83"/>
              </w:rPr>
              <w:t>Page</w:t>
            </w:r>
          </w:p>
        </w:tc>
      </w:tr>
      <w:tr>
        <w:trPr>
          <w:trHeight w:val="270"/>
        </w:trPr>
        <w:tc>
          <w:tcPr>
            <w:tcW w:w="1002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Financial Position as of May 1, 2020 and January 31, 2020</w:t>
              </w:r>
            </w:hyperlink>
          </w:p>
        </w:tc>
        <w:tc>
          <w:tcPr>
            <w:tcW w:w="1080" w:type="dxa"/>
            <w:vAlign w:val="bottom"/>
          </w:tcPr>
          <w:p>
            <w:pPr>
              <w:jc w:val="center"/>
              <w:ind w:left="610"/>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5</w:t>
              </w:r>
            </w:hyperlink>
          </w:p>
        </w:tc>
      </w:tr>
      <w:tr>
        <w:trPr>
          <w:trHeight w:val="270"/>
        </w:trPr>
        <w:tc>
          <w:tcPr>
            <w:tcW w:w="1002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Income (Loss) for the three months ended May 1, 2020 and May 3, 2019</w:t>
              </w:r>
            </w:hyperlink>
          </w:p>
        </w:tc>
        <w:tc>
          <w:tcPr>
            <w:tcW w:w="1080" w:type="dxa"/>
            <w:vAlign w:val="bottom"/>
          </w:tcPr>
          <w:p>
            <w:pPr>
              <w:jc w:val="center"/>
              <w:ind w:left="61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6</w:t>
              </w:r>
            </w:hyperlink>
          </w:p>
        </w:tc>
      </w:tr>
      <w:tr>
        <w:trPr>
          <w:trHeight w:val="270"/>
        </w:trPr>
        <w:tc>
          <w:tcPr>
            <w:tcW w:w="10020" w:type="dxa"/>
            <w:vAlign w:val="bottom"/>
          </w:tcPr>
          <w:p>
            <w:pPr>
              <w:ind w:left="40"/>
              <w:spacing w:after="0"/>
              <w:rPr>
                <w:rFonts w:ascii="Arial" w:cs="Arial" w:eastAsia="Arial" w:hAnsi="Arial"/>
                <w:sz w:val="18"/>
                <w:szCs w:val="18"/>
                <w:u w:val="single" w:color="auto"/>
                <w:color w:val="0000EE"/>
                <w:w w:val="96"/>
              </w:rPr>
            </w:pPr>
            <w:hyperlink w:anchor="page7">
              <w:r>
                <w:rPr>
                  <w:rFonts w:ascii="Arial" w:cs="Arial" w:eastAsia="Arial" w:hAnsi="Arial"/>
                  <w:sz w:val="18"/>
                  <w:szCs w:val="18"/>
                  <w:u w:val="single" w:color="auto"/>
                  <w:color w:val="0000EE"/>
                  <w:w w:val="96"/>
                </w:rPr>
                <w:t>Condensed Consolidated Statements of Comprehensive Income (Loss) for the three months ended May 1, 2020 and May 3, 2019</w:t>
              </w:r>
            </w:hyperlink>
          </w:p>
        </w:tc>
        <w:tc>
          <w:tcPr>
            <w:tcW w:w="1080" w:type="dxa"/>
            <w:vAlign w:val="bottom"/>
          </w:tcPr>
          <w:p>
            <w:pPr>
              <w:jc w:val="center"/>
              <w:ind w:left="610"/>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7</w:t>
              </w:r>
            </w:hyperlink>
          </w:p>
        </w:tc>
      </w:tr>
      <w:tr>
        <w:trPr>
          <w:trHeight w:val="270"/>
        </w:trPr>
        <w:tc>
          <w:tcPr>
            <w:tcW w:w="1002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months ended May 1, 2020 and May 3, 2019</w:t>
              </w:r>
            </w:hyperlink>
          </w:p>
        </w:tc>
        <w:tc>
          <w:tcPr>
            <w:tcW w:w="1080" w:type="dxa"/>
            <w:vAlign w:val="bottom"/>
          </w:tcPr>
          <w:p>
            <w:pPr>
              <w:jc w:val="center"/>
              <w:ind w:left="610"/>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8</w:t>
              </w:r>
            </w:hyperlink>
          </w:p>
        </w:tc>
      </w:tr>
      <w:tr>
        <w:trPr>
          <w:trHeight w:val="270"/>
        </w:trPr>
        <w:tc>
          <w:tcPr>
            <w:tcW w:w="10020" w:type="dxa"/>
            <w:vAlign w:val="bottom"/>
          </w:tcPr>
          <w:p>
            <w:pPr>
              <w:ind w:left="40"/>
              <w:spacing w:after="0"/>
              <w:rPr>
                <w:rFonts w:ascii="Arial" w:cs="Arial" w:eastAsia="Arial" w:hAnsi="Arial"/>
                <w:sz w:val="18"/>
                <w:szCs w:val="18"/>
                <w:u w:val="single" w:color="auto"/>
                <w:color w:val="0000EE"/>
                <w:w w:val="97"/>
              </w:rPr>
            </w:pPr>
            <w:hyperlink w:anchor="page9">
              <w:r>
                <w:rPr>
                  <w:rFonts w:ascii="Arial" w:cs="Arial" w:eastAsia="Arial" w:hAnsi="Arial"/>
                  <w:sz w:val="18"/>
                  <w:szCs w:val="18"/>
                  <w:u w:val="single" w:color="auto"/>
                  <w:color w:val="0000EE"/>
                  <w:w w:val="97"/>
                </w:rPr>
                <w:t>Condensed Consolidated Statements of Stockholders’ Equity (Deficit) for the three months ended May 1, 2020 and May 3, 2019</w:t>
              </w:r>
            </w:hyperlink>
          </w:p>
        </w:tc>
        <w:tc>
          <w:tcPr>
            <w:tcW w:w="1080" w:type="dxa"/>
            <w:vAlign w:val="bottom"/>
          </w:tcPr>
          <w:p>
            <w:pPr>
              <w:jc w:val="center"/>
              <w:ind w:left="610"/>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9</w:t>
              </w:r>
            </w:hyperlink>
          </w:p>
        </w:tc>
      </w:tr>
      <w:tr>
        <w:trPr>
          <w:trHeight w:val="270"/>
        </w:trPr>
        <w:tc>
          <w:tcPr>
            <w:tcW w:w="10020" w:type="dxa"/>
            <w:vAlign w:val="bottom"/>
          </w:tcPr>
          <w:p>
            <w:pPr>
              <w:ind w:left="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the Condensed Consolidated Financial Statements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11">
              <w:r>
                <w:rPr>
                  <w:rFonts w:ascii="Arial" w:cs="Arial" w:eastAsia="Arial" w:hAnsi="Arial"/>
                  <w:sz w:val="18"/>
                  <w:szCs w:val="18"/>
                  <w:u w:val="single" w:color="auto"/>
                  <w:color w:val="0000EE"/>
                  <w:w w:val="89"/>
                </w:rPr>
                <w:t>11</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 1 — Basis of Presentation</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11">
              <w:r>
                <w:rPr>
                  <w:rFonts w:ascii="Arial" w:cs="Arial" w:eastAsia="Arial" w:hAnsi="Arial"/>
                  <w:sz w:val="18"/>
                  <w:szCs w:val="18"/>
                  <w:u w:val="single" w:color="auto"/>
                  <w:color w:val="0000EE"/>
                  <w:w w:val="89"/>
                </w:rPr>
                <w:t>11</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 2 — Interim Update to Summary of Significant Accounting Policies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14">
              <w:r>
                <w:rPr>
                  <w:rFonts w:ascii="Arial" w:cs="Arial" w:eastAsia="Arial" w:hAnsi="Arial"/>
                  <w:sz w:val="18"/>
                  <w:szCs w:val="18"/>
                  <w:u w:val="single" w:color="auto"/>
                  <w:color w:val="0000EE"/>
                  <w:w w:val="89"/>
                </w:rPr>
                <w:t>14</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Note 3 — Fair Value Measurements and Investments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15</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Note 4 — Financial Services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17</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Note 5 — Leases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26</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Note 6 — Debt</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28</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Note 7 — Derivative Instruments and Hedging Activities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33</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Note 8 — Business Combinations, Goodwill and Intangible Assets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37</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Note 9 — Deferred Revenue</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40</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Note 10 — Commitments and Contingencies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41</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Note 11 — Income and Other Taxes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43</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Note 12 — Accumulated Other Comprehensive Income (Loss)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45</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Note 13 — Non-Controlling Interests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46</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Note 14 — Capitalization</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47</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Note 15 — Earnings Per Share</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49</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Note 16 — Redeemable Shares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50">
              <w:r>
                <w:rPr>
                  <w:rFonts w:ascii="Arial" w:cs="Arial" w:eastAsia="Arial" w:hAnsi="Arial"/>
                  <w:sz w:val="18"/>
                  <w:szCs w:val="18"/>
                  <w:u w:val="single" w:color="auto"/>
                  <w:color w:val="0000EE"/>
                  <w:w w:val="89"/>
                </w:rPr>
                <w:t>50</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Note 17 — Segment Information</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51</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Note 18 — Supplemental Consolidated Financial Information</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54</w:t>
              </w:r>
            </w:hyperlink>
          </w:p>
        </w:tc>
      </w:tr>
      <w:tr>
        <w:trPr>
          <w:trHeight w:val="270"/>
        </w:trPr>
        <w:tc>
          <w:tcPr>
            <w:tcW w:w="10020" w:type="dxa"/>
            <w:vAlign w:val="bottom"/>
          </w:tcPr>
          <w:p>
            <w:pPr>
              <w:ind w:left="2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Note 19 — Subsequent Events</w:t>
              </w:r>
            </w:hyperlink>
          </w:p>
        </w:tc>
        <w:tc>
          <w:tcPr>
            <w:tcW w:w="1080" w:type="dxa"/>
            <w:vAlign w:val="bottom"/>
          </w:tcPr>
          <w:p>
            <w:pPr>
              <w:jc w:val="center"/>
              <w:ind w:left="610"/>
              <w:spacing w:after="0"/>
              <w:rPr>
                <w:rFonts w:ascii="Arial" w:cs="Arial" w:eastAsia="Arial" w:hAnsi="Arial"/>
                <w:sz w:val="18"/>
                <w:szCs w:val="18"/>
                <w:u w:val="single" w:color="auto"/>
                <w:color w:val="0000EE"/>
                <w:w w:val="89"/>
              </w:rPr>
            </w:pPr>
            <w:hyperlink w:anchor="page56">
              <w:r>
                <w:rPr>
                  <w:rFonts w:ascii="Arial" w:cs="Arial" w:eastAsia="Arial" w:hAnsi="Arial"/>
                  <w:sz w:val="18"/>
                  <w:szCs w:val="18"/>
                  <w:u w:val="single" w:color="auto"/>
                  <w:color w:val="0000EE"/>
                  <w:w w:val="89"/>
                </w:rPr>
                <w:t>56</w:t>
              </w:r>
            </w:hyperlink>
          </w:p>
        </w:tc>
      </w:tr>
      <w:tr>
        <w:trPr>
          <w:trHeight w:val="891"/>
        </w:trPr>
        <w:tc>
          <w:tcPr>
            <w:tcW w:w="10020" w:type="dxa"/>
            <w:vAlign w:val="bottom"/>
          </w:tcPr>
          <w:p>
            <w:pPr>
              <w:jc w:val="center"/>
              <w:ind w:left="1130"/>
              <w:spacing w:after="0"/>
              <w:rPr>
                <w:sz w:val="20"/>
                <w:szCs w:val="20"/>
                <w:color w:val="auto"/>
              </w:rPr>
            </w:pPr>
            <w:r>
              <w:rPr>
                <w:rFonts w:ascii="Arial" w:cs="Arial" w:eastAsia="Arial" w:hAnsi="Arial"/>
                <w:sz w:val="18"/>
                <w:szCs w:val="18"/>
                <w:color w:val="auto"/>
                <w:w w:val="79"/>
              </w:rPr>
              <w:t>4</w:t>
            </w:r>
          </w:p>
        </w:tc>
        <w:tc>
          <w:tcPr>
            <w:tcW w:w="1080" w:type="dxa"/>
            <w:vAlign w:val="bottom"/>
          </w:tcPr>
          <w:p>
            <w:pPr>
              <w:spacing w:after="0"/>
              <w:rPr>
                <w:sz w:val="24"/>
                <w:szCs w:val="24"/>
                <w:color w:val="auto"/>
              </w:rPr>
            </w:pPr>
          </w:p>
        </w:tc>
      </w:tr>
    </w:tbl>
    <w:p>
      <w:pPr>
        <w:sectPr>
          <w:pgSz w:w="11900" w:h="16838" w:orient="portrait"/>
          <w:cols w:equalWidth="0" w:num="1">
            <w:col w:w="11100"/>
          </w:cols>
          <w:pgMar w:left="320" w:top="125" w:right="47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jc w:val="center"/>
              <w:ind w:left="3850"/>
              <w:spacing w:after="0"/>
              <w:rPr>
                <w:sz w:val="20"/>
                <w:szCs w:val="20"/>
                <w:color w:val="auto"/>
              </w:rPr>
            </w:pPr>
            <w:r>
              <w:rPr>
                <w:rFonts w:ascii="Arial" w:cs="Arial" w:eastAsia="Arial" w:hAnsi="Arial"/>
                <w:sz w:val="18"/>
                <w:szCs w:val="18"/>
                <w:b w:val="1"/>
                <w:bCs w:val="1"/>
                <w:color w:val="auto"/>
              </w:rPr>
              <w:t>DELL TECHNOLOGIES INC.</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rPr>
              <w:t>CONDENSED CONSOLIDATED STATEMENTS OF FINANCIAL POSITION</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20" w:type="dxa"/>
            <w:vAlign w:val="bottom"/>
          </w:tcPr>
          <w:p>
            <w:pPr>
              <w:jc w:val="center"/>
              <w:ind w:left="3850"/>
              <w:spacing w:after="0"/>
              <w:rPr>
                <w:sz w:val="20"/>
                <w:szCs w:val="20"/>
                <w:color w:val="auto"/>
              </w:rPr>
            </w:pPr>
            <w:r>
              <w:rPr>
                <w:rFonts w:ascii="Arial" w:cs="Arial" w:eastAsia="Arial" w:hAnsi="Arial"/>
                <w:sz w:val="18"/>
                <w:szCs w:val="18"/>
                <w:color w:val="auto"/>
                <w:w w:val="94"/>
              </w:rPr>
              <w:t>(in millions; unaudited)</w:t>
            </w: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1, 2020</w:t>
            </w:r>
          </w:p>
        </w:tc>
        <w:tc>
          <w:tcPr>
            <w:tcW w:w="20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January 31, 2020</w:t>
            </w:r>
          </w:p>
        </w:tc>
        <w:tc>
          <w:tcPr>
            <w:tcW w:w="0" w:type="dxa"/>
            <w:vAlign w:val="bottom"/>
          </w:tcPr>
          <w:p>
            <w:pPr>
              <w:spacing w:after="0"/>
              <w:rPr>
                <w:sz w:val="1"/>
                <w:szCs w:val="1"/>
                <w:color w:val="auto"/>
              </w:rPr>
            </w:pPr>
          </w:p>
        </w:tc>
      </w:tr>
      <w:tr>
        <w:trPr>
          <w:trHeight w:val="27"/>
        </w:trPr>
        <w:tc>
          <w:tcPr>
            <w:tcW w:w="7320" w:type="dxa"/>
            <w:vAlign w:val="bottom"/>
            <w:vMerge w:val="restart"/>
          </w:tcPr>
          <w:p>
            <w:pPr>
              <w:jc w:val="center"/>
              <w:ind w:left="3830"/>
              <w:spacing w:after="0"/>
              <w:rPr>
                <w:sz w:val="20"/>
                <w:szCs w:val="20"/>
                <w:color w:val="auto"/>
              </w:rPr>
            </w:pPr>
            <w:r>
              <w:rPr>
                <w:rFonts w:ascii="Arial" w:cs="Arial" w:eastAsia="Arial" w:hAnsi="Arial"/>
                <w:sz w:val="18"/>
                <w:szCs w:val="18"/>
                <w:b w:val="1"/>
                <w:bCs w:val="1"/>
                <w:color w:val="auto"/>
                <w:w w:val="94"/>
              </w:rPr>
              <w:t>ASSETS</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12,229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 of allowance of $144 and $94 (Note 18)</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Short-term financing receivables, net of allowance of $229 and $109 (Note 4)</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4,752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7,437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36,868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financing receivables, net of allowance of $92 and $40 (Note 4)</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40,248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41,691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10,428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120,236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118,861</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120"/>
              <w:spacing w:after="0"/>
              <w:rPr>
                <w:sz w:val="20"/>
                <w:szCs w:val="20"/>
                <w:color w:val="auto"/>
              </w:rPr>
            </w:pPr>
            <w:r>
              <w:rPr>
                <w:rFonts w:ascii="Arial" w:cs="Arial" w:eastAsia="Arial" w:hAnsi="Arial"/>
                <w:sz w:val="18"/>
                <w:szCs w:val="18"/>
                <w:b w:val="1"/>
                <w:bCs w:val="1"/>
                <w:color w:val="auto"/>
                <w:w w:val="97"/>
              </w:rPr>
              <w:t>LIABILITIES, REDEEMABLE SHARES, AND STOCKHOLDERS’</w:t>
            </w:r>
          </w:p>
        </w:tc>
        <w:tc>
          <w:tcPr>
            <w:tcW w:w="190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320" w:type="dxa"/>
            <w:vAlign w:val="bottom"/>
            <w:vMerge w:val="continue"/>
          </w:tcPr>
          <w:p>
            <w:pPr>
              <w:spacing w:after="0"/>
              <w:rPr>
                <w:sz w:val="19"/>
                <w:szCs w:val="19"/>
                <w:color w:val="auto"/>
              </w:rPr>
            </w:pPr>
          </w:p>
        </w:tc>
        <w:tc>
          <w:tcPr>
            <w:tcW w:w="1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EQUITY (DEFICIT)</w:t>
            </w:r>
          </w:p>
        </w:tc>
        <w:tc>
          <w:tcPr>
            <w:tcW w:w="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7,737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Accrued and other</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52,456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48,353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44,319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115,077</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shares (Note 16)</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Stockholders’ equity (deficit):</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and capital in excess of $0.01 par value (Note 14)</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Treasury stock at cost</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Dell Technologies Inc. stockholders’ deficit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4,854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57"/>
        </w:trPr>
        <w:tc>
          <w:tcPr>
            <w:tcW w:w="7320" w:type="dxa"/>
            <w:vAlign w:val="bottom"/>
          </w:tcPr>
          <w:p>
            <w:pPr>
              <w:ind w:left="600"/>
              <w:spacing w:after="0"/>
              <w:rPr>
                <w:sz w:val="20"/>
                <w:szCs w:val="20"/>
                <w:color w:val="auto"/>
              </w:rPr>
            </w:pPr>
            <w:r>
              <w:rPr>
                <w:rFonts w:ascii="Arial" w:cs="Arial" w:eastAsia="Arial" w:hAnsi="Arial"/>
                <w:sz w:val="18"/>
                <w:szCs w:val="18"/>
                <w:color w:val="auto"/>
              </w:rPr>
              <w:t>Total liabilities, redeemable shares, and stockholders’ equity (deficit)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120,236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118,861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280" w:type="dxa"/>
            <w:vAlign w:val="bottom"/>
          </w:tcPr>
          <w:p>
            <w:pPr>
              <w:spacing w:after="0"/>
              <w:rPr>
                <w:sz w:val="24"/>
                <w:szCs w:val="24"/>
                <w:color w:val="auto"/>
              </w:rPr>
            </w:pPr>
          </w:p>
        </w:tc>
        <w:tc>
          <w:tcPr>
            <w:tcW w:w="334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DELL TECHNOLOGIES INC.</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9340" w:type="dxa"/>
            <w:vAlign w:val="bottom"/>
            <w:gridSpan w:val="5"/>
          </w:tcPr>
          <w:p>
            <w:pPr>
              <w:ind w:left="2820"/>
              <w:spacing w:after="0"/>
              <w:rPr>
                <w:sz w:val="20"/>
                <w:szCs w:val="20"/>
                <w:color w:val="auto"/>
              </w:rPr>
            </w:pPr>
            <w:r>
              <w:rPr>
                <w:rFonts w:ascii="Arial" w:cs="Arial" w:eastAsia="Arial" w:hAnsi="Arial"/>
                <w:sz w:val="18"/>
                <w:szCs w:val="18"/>
                <w:b w:val="1"/>
                <w:bCs w:val="1"/>
                <w:color w:val="auto"/>
              </w:rPr>
              <w:t>CONDENSED CONSOLIDATED STATEMENTS OF INCOME (LOSS)</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7620" w:type="dxa"/>
            <w:vAlign w:val="bottom"/>
            <w:gridSpan w:val="3"/>
          </w:tcPr>
          <w:p>
            <w:pPr>
              <w:jc w:val="right"/>
              <w:ind w:right="90"/>
              <w:spacing w:after="0"/>
              <w:rPr>
                <w:sz w:val="20"/>
                <w:szCs w:val="20"/>
                <w:color w:val="auto"/>
              </w:rPr>
            </w:pPr>
            <w:r>
              <w:rPr>
                <w:rFonts w:ascii="Arial" w:cs="Arial" w:eastAsia="Arial" w:hAnsi="Arial"/>
                <w:sz w:val="18"/>
                <w:szCs w:val="18"/>
                <w:color w:val="auto"/>
              </w:rPr>
              <w:t>(in millions, except per share amounts; unaudited)</w:t>
            </w: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78"/>
        </w:trPr>
        <w:tc>
          <w:tcPr>
            <w:tcW w:w="4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1, 2020</w:t>
            </w:r>
          </w:p>
        </w:tc>
        <w:tc>
          <w:tcPr>
            <w:tcW w:w="300" w:type="dxa"/>
            <w:vAlign w:val="bottom"/>
          </w:tcPr>
          <w:p>
            <w:pPr>
              <w:spacing w:after="0"/>
              <w:rPr>
                <w:sz w:val="20"/>
                <w:szCs w:val="20"/>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May 3, 2019</w:t>
            </w:r>
          </w:p>
        </w:tc>
      </w:tr>
      <w:tr>
        <w:trPr>
          <w:trHeight w:val="27"/>
        </w:trPr>
        <w:tc>
          <w:tcPr>
            <w:tcW w:w="42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3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Products</w:t>
            </w:r>
          </w:p>
        </w:tc>
        <w:tc>
          <w:tcPr>
            <w:tcW w:w="3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16,038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16,575</w:t>
            </w:r>
          </w:p>
        </w:tc>
      </w:tr>
      <w:tr>
        <w:trPr>
          <w:trHeight w:val="27"/>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3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5,333</w:t>
            </w:r>
          </w:p>
        </w:tc>
      </w:tr>
      <w:tr>
        <w:trPr>
          <w:trHeight w:val="237"/>
        </w:trPr>
        <w:tc>
          <w:tcPr>
            <w:tcW w:w="428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30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21,908</w:t>
            </w:r>
          </w:p>
        </w:tc>
      </w:tr>
      <w:tr>
        <w:trPr>
          <w:trHeight w:val="27"/>
        </w:trPr>
        <w:tc>
          <w:tcPr>
            <w:tcW w:w="42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net revenue:</w:t>
            </w:r>
          </w:p>
        </w:tc>
        <w:tc>
          <w:tcPr>
            <w:tcW w:w="3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Products</w:t>
            </w:r>
          </w:p>
        </w:tc>
        <w:tc>
          <w:tcPr>
            <w:tcW w:w="3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12,804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13,079</w:t>
            </w:r>
          </w:p>
        </w:tc>
      </w:tr>
      <w:tr>
        <w:trPr>
          <w:trHeight w:val="27"/>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3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2,032</w:t>
            </w:r>
          </w:p>
        </w:tc>
      </w:tr>
      <w:tr>
        <w:trPr>
          <w:trHeight w:val="237"/>
        </w:trPr>
        <w:tc>
          <w:tcPr>
            <w:tcW w:w="4280" w:type="dxa"/>
            <w:vAlign w:val="bottom"/>
          </w:tcPr>
          <w:p>
            <w:pPr>
              <w:ind w:left="500"/>
              <w:spacing w:after="0"/>
              <w:rPr>
                <w:sz w:val="20"/>
                <w:szCs w:val="20"/>
                <w:color w:val="auto"/>
              </w:rPr>
            </w:pPr>
            <w:r>
              <w:rPr>
                <w:rFonts w:ascii="Arial" w:cs="Arial" w:eastAsia="Arial" w:hAnsi="Arial"/>
                <w:sz w:val="18"/>
                <w:szCs w:val="18"/>
                <w:color w:val="auto"/>
              </w:rPr>
              <w:t>Total cost of net revenue</w:t>
            </w:r>
          </w:p>
        </w:tc>
        <w:tc>
          <w:tcPr>
            <w:tcW w:w="30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15,044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15,111</w:t>
            </w:r>
          </w:p>
        </w:tc>
      </w:tr>
      <w:tr>
        <w:trPr>
          <w:trHeight w:val="27"/>
        </w:trPr>
        <w:tc>
          <w:tcPr>
            <w:tcW w:w="42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3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6,797</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Operating expenses:</w:t>
            </w:r>
          </w:p>
        </w:tc>
        <w:tc>
          <w:tcPr>
            <w:tcW w:w="30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5,071</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1,176</w:t>
            </w:r>
          </w:p>
        </w:tc>
      </w:tr>
      <w:tr>
        <w:trPr>
          <w:trHeight w:val="27"/>
        </w:trPr>
        <w:tc>
          <w:tcPr>
            <w:tcW w:w="42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6,247</w:t>
            </w: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0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3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Income (loss) before income taxes</w:t>
            </w:r>
          </w:p>
        </w:tc>
        <w:tc>
          <w:tcPr>
            <w:tcW w:w="30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3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97"/>
        </w:trPr>
        <w:tc>
          <w:tcPr>
            <w:tcW w:w="4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Dell Technologies Inc.</w:t>
            </w:r>
          </w:p>
        </w:tc>
        <w:tc>
          <w:tcPr>
            <w:tcW w:w="30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r>
      <w:tr>
        <w:trPr>
          <w:trHeight w:val="311"/>
        </w:trPr>
        <w:tc>
          <w:tcPr>
            <w:tcW w:w="428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w w:val="94"/>
              </w:rPr>
              <w:t>Earnings per share attributable to Dell Technologies Inc.</w:t>
            </w:r>
          </w:p>
        </w:tc>
        <w:tc>
          <w:tcPr>
            <w:tcW w:w="3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Dell Technologies Common Stock — Basic</w:t>
            </w:r>
          </w:p>
        </w:tc>
        <w:tc>
          <w:tcPr>
            <w:tcW w:w="3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Dell Technologies Common Stock — Diluted</w:t>
            </w:r>
          </w:p>
        </w:tc>
        <w:tc>
          <w:tcPr>
            <w:tcW w:w="3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0.38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320" w:type="dxa"/>
            <w:vAlign w:val="bottom"/>
          </w:tcPr>
          <w:p>
            <w:pPr>
              <w:jc w:val="center"/>
              <w:ind w:left="3850"/>
              <w:spacing w:after="0"/>
              <w:rPr>
                <w:sz w:val="20"/>
                <w:szCs w:val="20"/>
                <w:color w:val="auto"/>
              </w:rPr>
            </w:pPr>
            <w:r>
              <w:rPr>
                <w:rFonts w:ascii="Arial" w:cs="Arial" w:eastAsia="Arial" w:hAnsi="Arial"/>
                <w:sz w:val="18"/>
                <w:szCs w:val="18"/>
                <w:b w:val="1"/>
                <w:bCs w:val="1"/>
                <w:color w:val="auto"/>
              </w:rPr>
              <w:t>DELL TECHNOLOGIES INC.</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934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7320" w:type="dxa"/>
            <w:vAlign w:val="bottom"/>
          </w:tcPr>
          <w:p>
            <w:pPr>
              <w:jc w:val="center"/>
              <w:ind w:left="3850"/>
              <w:spacing w:after="0"/>
              <w:rPr>
                <w:sz w:val="20"/>
                <w:szCs w:val="20"/>
                <w:color w:val="auto"/>
              </w:rPr>
            </w:pPr>
            <w:r>
              <w:rPr>
                <w:rFonts w:ascii="Arial" w:cs="Arial" w:eastAsia="Arial" w:hAnsi="Arial"/>
                <w:sz w:val="18"/>
                <w:szCs w:val="18"/>
                <w:color w:val="auto"/>
                <w:w w:val="94"/>
              </w:rPr>
              <w:t>(in millions; unaudited)</w:t>
            </w: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378"/>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1, 2020</w:t>
            </w:r>
          </w:p>
        </w:tc>
        <w:tc>
          <w:tcPr>
            <w:tcW w:w="300" w:type="dxa"/>
            <w:vAlign w:val="bottom"/>
          </w:tcPr>
          <w:p>
            <w:pPr>
              <w:spacing w:after="0"/>
              <w:rPr>
                <w:sz w:val="20"/>
                <w:szCs w:val="20"/>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May 3, 2019</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324"/>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Change in unrealized gains</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Reclassification adjustment for net gains included in 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7320" w:type="dxa"/>
            <w:vAlign w:val="bottom"/>
          </w:tcPr>
          <w:p>
            <w:pPr>
              <w:ind w:left="720"/>
              <w:spacing w:after="0"/>
              <w:rPr>
                <w:sz w:val="20"/>
                <w:szCs w:val="20"/>
                <w:color w:val="auto"/>
              </w:rPr>
            </w:pPr>
            <w:r>
              <w:rPr>
                <w:rFonts w:ascii="Arial" w:cs="Arial" w:eastAsia="Arial" w:hAnsi="Arial"/>
                <w:sz w:val="18"/>
                <w:szCs w:val="18"/>
                <w:color w:val="auto"/>
              </w:rPr>
              <w:t>Net change in cash flow hedges</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plans: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Recognition of actuarial net gain (loss) from pension and other postretirement plans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5"/>
              </w:rPr>
              <w:t>Reclassification adjustments for net (gains) losses from pension and other postretirement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plans</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Pr>
          <w:p>
            <w:pPr>
              <w:ind w:left="720"/>
              <w:spacing w:after="0"/>
              <w:rPr>
                <w:sz w:val="20"/>
                <w:szCs w:val="20"/>
                <w:color w:val="auto"/>
              </w:rPr>
            </w:pPr>
            <w:r>
              <w:rPr>
                <w:rFonts w:ascii="Arial" w:cs="Arial" w:eastAsia="Arial" w:hAnsi="Arial"/>
                <w:sz w:val="18"/>
                <w:szCs w:val="18"/>
                <w:color w:val="auto"/>
                <w:w w:val="99"/>
              </w:rPr>
              <w:t>Net change in actuarial net gain (loss) from pension and other postretirement plans</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7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Total other comprehensive loss, net of tax expense of $10 and $7, respectively</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36"/>
        </w:trPr>
        <w:tc>
          <w:tcPr>
            <w:tcW w:w="7320" w:type="dxa"/>
            <w:vAlign w:val="bottom"/>
          </w:tcPr>
          <w:p>
            <w:pPr>
              <w:ind w:left="50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7320" w:type="dxa"/>
            <w:vAlign w:val="bottom"/>
          </w:tcPr>
          <w:p>
            <w:pPr>
              <w:ind w:left="280"/>
              <w:spacing w:after="0"/>
              <w:rPr>
                <w:sz w:val="20"/>
                <w:szCs w:val="20"/>
                <w:color w:val="auto"/>
              </w:rPr>
            </w:pPr>
            <w:r>
              <w:rPr>
                <w:rFonts w:ascii="Arial" w:cs="Arial" w:eastAsia="Arial" w:hAnsi="Arial"/>
                <w:sz w:val="18"/>
                <w:szCs w:val="18"/>
                <w:color w:val="auto"/>
              </w:rPr>
              <w:t>Comprehensive income attributable to Dell Technologies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320" w:type="dxa"/>
            <w:vAlign w:val="bottom"/>
          </w:tcPr>
          <w:p>
            <w:pPr>
              <w:jc w:val="center"/>
              <w:ind w:left="3850"/>
              <w:spacing w:after="0"/>
              <w:rPr>
                <w:sz w:val="20"/>
                <w:szCs w:val="20"/>
                <w:color w:val="auto"/>
              </w:rPr>
            </w:pPr>
            <w:r>
              <w:rPr>
                <w:rFonts w:ascii="Arial" w:cs="Arial" w:eastAsia="Arial" w:hAnsi="Arial"/>
                <w:sz w:val="18"/>
                <w:szCs w:val="18"/>
                <w:b w:val="1"/>
                <w:bCs w:val="1"/>
                <w:color w:val="auto"/>
              </w:rPr>
              <w:t>DELL TECHNOLOGIES INC.</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934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7320" w:type="dxa"/>
            <w:vAlign w:val="bottom"/>
          </w:tcPr>
          <w:p>
            <w:pPr>
              <w:jc w:val="center"/>
              <w:ind w:left="3850"/>
              <w:spacing w:after="0"/>
              <w:rPr>
                <w:sz w:val="20"/>
                <w:szCs w:val="20"/>
                <w:color w:val="auto"/>
              </w:rPr>
            </w:pPr>
            <w:r>
              <w:rPr>
                <w:rFonts w:ascii="Arial" w:cs="Arial" w:eastAsia="Arial" w:hAnsi="Arial"/>
                <w:sz w:val="18"/>
                <w:szCs w:val="18"/>
                <w:color w:val="auto"/>
                <w:w w:val="94"/>
              </w:rPr>
              <w:t>(in millions; unaudited)</w:t>
            </w: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32"/>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1, 2020</w:t>
            </w:r>
          </w:p>
        </w:tc>
        <w:tc>
          <w:tcPr>
            <w:tcW w:w="300" w:type="dxa"/>
            <w:vAlign w:val="bottom"/>
          </w:tcPr>
          <w:p>
            <w:pPr>
              <w:spacing w:after="0"/>
              <w:rPr>
                <w:sz w:val="20"/>
                <w:szCs w:val="20"/>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May 3, 2019</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Adjustments to reconcile net income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1,616</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from acquisitions and dispositions: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Financing receivables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(2,119)</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cash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Maturities and sales of investments</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and capitalized software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Acquisition of businesses and assets, net</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Divestitures of businesses and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cash from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Repurchases of parent common stock</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subsidiary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10,135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9,563</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cash from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10,240</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9,709</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 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7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Common Stock and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7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Capital in Excess of Par</w:t>
            </w:r>
          </w:p>
        </w:tc>
        <w:tc>
          <w:tcPr>
            <w:tcW w:w="17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6"/>
              </w:rPr>
              <w:t>Value</w:t>
            </w:r>
          </w:p>
        </w:tc>
        <w:tc>
          <w:tcPr>
            <w:tcW w:w="172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Technologies</w:t>
            </w:r>
          </w:p>
        </w:tc>
        <w:tc>
          <w:tcPr>
            <w:tcW w:w="12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Stockholders</w:t>
            </w:r>
            <w:r>
              <w:rPr>
                <w:rFonts w:ascii="Arial" w:cs="Arial" w:eastAsia="Arial" w:hAnsi="Arial"/>
                <w:sz w:val="14"/>
                <w:szCs w:val="14"/>
                <w:color w:val="auto"/>
                <w:w w:val="92"/>
              </w:rPr>
              <w:t>’</w:t>
            </w:r>
            <w:r>
              <w:rPr>
                <w:rFonts w:ascii="Arial" w:cs="Arial" w:eastAsia="Arial" w:hAnsi="Arial"/>
                <w:sz w:val="14"/>
                <w:szCs w:val="14"/>
                <w:b w:val="1"/>
                <w:bCs w:val="1"/>
                <w:color w:val="auto"/>
                <w:w w:val="92"/>
              </w:rPr>
              <w:t xml:space="preserve"> Equity</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6"/>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Balances as of January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16,091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3,155</w:t>
            </w:r>
          </w:p>
        </w:tc>
        <w:tc>
          <w:tcPr>
            <w:tcW w:w="0" w:type="dxa"/>
            <w:vAlign w:val="bottom"/>
          </w:tcPr>
          <w:p>
            <w:pPr>
              <w:spacing w:after="0"/>
              <w:rPr>
                <w:sz w:val="1"/>
                <w:szCs w:val="1"/>
                <w:color w:val="auto"/>
              </w:rPr>
            </w:pPr>
          </w:p>
        </w:tc>
      </w:tr>
      <w:tr>
        <w:trPr>
          <w:trHeight w:val="157"/>
        </w:trPr>
        <w:tc>
          <w:tcPr>
            <w:tcW w:w="2500" w:type="dxa"/>
            <w:vAlign w:val="bottom"/>
          </w:tcPr>
          <w:p>
            <w:pPr>
              <w:ind w:left="180"/>
              <w:spacing w:after="0" w:line="157" w:lineRule="exact"/>
              <w:rPr>
                <w:sz w:val="20"/>
                <w:szCs w:val="20"/>
                <w:color w:val="auto"/>
              </w:rPr>
            </w:pPr>
            <w:r>
              <w:rPr>
                <w:rFonts w:ascii="Arial" w:cs="Arial" w:eastAsia="Arial" w:hAnsi="Arial"/>
                <w:sz w:val="14"/>
                <w:szCs w:val="14"/>
                <w:color w:val="auto"/>
                <w:w w:val="97"/>
              </w:rPr>
              <w:t>Adjustment for adoption of accounting</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80"/>
              <w:spacing w:after="0"/>
              <w:rPr>
                <w:sz w:val="20"/>
                <w:szCs w:val="20"/>
                <w:color w:val="auto"/>
              </w:rPr>
            </w:pPr>
            <w:r>
              <w:rPr>
                <w:rFonts w:ascii="Arial" w:cs="Arial" w:eastAsia="Arial" w:hAnsi="Arial"/>
                <w:sz w:val="14"/>
                <w:szCs w:val="14"/>
                <w:color w:val="auto"/>
              </w:rPr>
              <w:t>standards (Note 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57"/>
        </w:trPr>
        <w:tc>
          <w:tcPr>
            <w:tcW w:w="250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 net change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2500" w:type="dxa"/>
            <w:vAlign w:val="bottom"/>
          </w:tcPr>
          <w:p>
            <w:pPr>
              <w:ind w:left="180"/>
              <w:spacing w:after="0"/>
              <w:rPr>
                <w:sz w:val="20"/>
                <w:szCs w:val="20"/>
                <w:color w:val="auto"/>
              </w:rPr>
            </w:pPr>
            <w:r>
              <w:rPr>
                <w:rFonts w:ascii="Arial" w:cs="Arial" w:eastAsia="Arial" w:hAnsi="Arial"/>
                <w:sz w:val="14"/>
                <w:szCs w:val="14"/>
                <w:color w:val="auto"/>
              </w:rPr>
              <w:t>Pension and other post-retirement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25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repurchases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64"/>
        </w:trPr>
        <w:tc>
          <w:tcPr>
            <w:tcW w:w="2500" w:type="dxa"/>
            <w:vAlign w:val="bottom"/>
          </w:tcPr>
          <w:p>
            <w:pPr>
              <w:ind w:left="180"/>
              <w:spacing w:after="0"/>
              <w:rPr>
                <w:sz w:val="20"/>
                <w:szCs w:val="20"/>
                <w:color w:val="auto"/>
              </w:rPr>
            </w:pPr>
            <w:r>
              <w:rPr>
                <w:rFonts w:ascii="Arial" w:cs="Arial" w:eastAsia="Arial" w:hAnsi="Arial"/>
                <w:sz w:val="14"/>
                <w:szCs w:val="14"/>
                <w:color w:val="auto"/>
              </w:rPr>
              <w:t>Revaluation of redeemable shares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Impact from equity transactions of non-</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controlling interests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Balances as of May 1, 2020</w:t>
            </w:r>
          </w:p>
        </w:tc>
        <w:tc>
          <w:tcPr>
            <w:tcW w:w="640" w:type="dxa"/>
            <w:vAlign w:val="bottom"/>
          </w:tcPr>
          <w:p>
            <w:pPr>
              <w:jc w:val="right"/>
              <w:spacing w:after="0"/>
              <w:rPr>
                <w:sz w:val="20"/>
                <w:szCs w:val="20"/>
                <w:color w:val="auto"/>
              </w:rPr>
            </w:pPr>
            <w:r>
              <w:rPr>
                <w:rFonts w:ascii="Arial" w:cs="Arial" w:eastAsia="Arial" w:hAnsi="Arial"/>
                <w:sz w:val="14"/>
                <w:szCs w:val="14"/>
                <w:color w:val="auto"/>
              </w:rPr>
              <w:t>748</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16,339</w:t>
            </w:r>
          </w:p>
        </w:tc>
        <w:tc>
          <w:tcPr>
            <w:tcW w:w="10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(16,858)</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(1,614)</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4,854</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in millions; 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7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Common Stock and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7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Capital in Excess of Par</w:t>
            </w:r>
          </w:p>
        </w:tc>
        <w:tc>
          <w:tcPr>
            <w:tcW w:w="17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6"/>
              </w:rPr>
              <w:t>Value</w:t>
            </w:r>
          </w:p>
        </w:tc>
        <w:tc>
          <w:tcPr>
            <w:tcW w:w="172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Technologies</w:t>
            </w:r>
          </w:p>
        </w:tc>
        <w:tc>
          <w:tcPr>
            <w:tcW w:w="12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2"/>
                <w:szCs w:val="12"/>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Stockholders</w:t>
            </w:r>
            <w:r>
              <w:rPr>
                <w:rFonts w:ascii="Arial" w:cs="Arial" w:eastAsia="Arial" w:hAnsi="Arial"/>
                <w:sz w:val="14"/>
                <w:szCs w:val="14"/>
                <w:color w:val="auto"/>
                <w:w w:val="92"/>
              </w:rPr>
              <w:t>’</w:t>
            </w:r>
            <w:r>
              <w:rPr>
                <w:rFonts w:ascii="Arial" w:cs="Arial" w:eastAsia="Arial" w:hAnsi="Arial"/>
                <w:sz w:val="14"/>
                <w:szCs w:val="14"/>
                <w:b w:val="1"/>
                <w:bCs w:val="1"/>
                <w:color w:val="auto"/>
                <w:w w:val="92"/>
              </w:rPr>
              <w:t xml:space="preserve"> Equity</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56"/>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Balances as of February 2, 2019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16,114</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57"/>
        </w:trPr>
        <w:tc>
          <w:tcPr>
            <w:tcW w:w="2500" w:type="dxa"/>
            <w:vAlign w:val="bottom"/>
          </w:tcPr>
          <w:p>
            <w:pPr>
              <w:ind w:left="180"/>
              <w:spacing w:after="0" w:line="157" w:lineRule="exact"/>
              <w:rPr>
                <w:sz w:val="20"/>
                <w:szCs w:val="20"/>
                <w:color w:val="auto"/>
              </w:rPr>
            </w:pPr>
            <w:r>
              <w:rPr>
                <w:rFonts w:ascii="Arial" w:cs="Arial" w:eastAsia="Arial" w:hAnsi="Arial"/>
                <w:sz w:val="14"/>
                <w:szCs w:val="14"/>
                <w:color w:val="auto"/>
                <w:w w:val="97"/>
              </w:rPr>
              <w:t>Adjustment for adoption of accounting</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80"/>
              <w:spacing w:after="0"/>
              <w:rPr>
                <w:sz w:val="20"/>
                <w:szCs w:val="20"/>
                <w:color w:val="auto"/>
              </w:rPr>
            </w:pPr>
            <w:r>
              <w:rPr>
                <w:rFonts w:ascii="Arial" w:cs="Arial" w:eastAsia="Arial" w:hAnsi="Arial"/>
                <w:sz w:val="14"/>
                <w:szCs w:val="14"/>
                <w:color w:val="auto"/>
              </w:rPr>
              <w:t>standards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57"/>
        </w:trPr>
        <w:tc>
          <w:tcPr>
            <w:tcW w:w="250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 translation</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0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 net change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4"/>
        </w:trPr>
        <w:tc>
          <w:tcPr>
            <w:tcW w:w="2500" w:type="dxa"/>
            <w:vAlign w:val="bottom"/>
          </w:tcPr>
          <w:p>
            <w:pPr>
              <w:ind w:left="180"/>
              <w:spacing w:after="0"/>
              <w:rPr>
                <w:sz w:val="20"/>
                <w:szCs w:val="20"/>
                <w:color w:val="auto"/>
              </w:rPr>
            </w:pPr>
            <w:r>
              <w:rPr>
                <w:rFonts w:ascii="Arial" w:cs="Arial" w:eastAsia="Arial" w:hAnsi="Arial"/>
                <w:sz w:val="14"/>
                <w:szCs w:val="14"/>
                <w:color w:val="auto"/>
              </w:rPr>
              <w:t>Pension and other post-retirement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5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repurchases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500" w:type="dxa"/>
            <w:vAlign w:val="bottom"/>
          </w:tcPr>
          <w:p>
            <w:pPr>
              <w:ind w:left="180"/>
              <w:spacing w:after="0"/>
              <w:rPr>
                <w:sz w:val="20"/>
                <w:szCs w:val="20"/>
                <w:color w:val="auto"/>
              </w:rPr>
            </w:pPr>
            <w:r>
              <w:rPr>
                <w:rFonts w:ascii="Arial" w:cs="Arial" w:eastAsia="Arial" w:hAnsi="Arial"/>
                <w:sz w:val="14"/>
                <w:szCs w:val="14"/>
                <w:color w:val="auto"/>
              </w:rPr>
              <w:t>Revaluation of redeemable shares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Impact from equity transactions of non-</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controlling interests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Balances as of May 3, 2019</w:t>
            </w:r>
          </w:p>
        </w:tc>
        <w:tc>
          <w:tcPr>
            <w:tcW w:w="640" w:type="dxa"/>
            <w:vAlign w:val="bottom"/>
          </w:tcPr>
          <w:p>
            <w:pPr>
              <w:jc w:val="right"/>
              <w:spacing w:after="0"/>
              <w:rPr>
                <w:sz w:val="20"/>
                <w:szCs w:val="20"/>
                <w:color w:val="auto"/>
              </w:rPr>
            </w:pPr>
            <w:r>
              <w:rPr>
                <w:rFonts w:ascii="Arial" w:cs="Arial" w:eastAsia="Arial" w:hAnsi="Arial"/>
                <w:sz w:val="14"/>
                <w:szCs w:val="14"/>
                <w:color w:val="auto"/>
              </w:rPr>
              <w:t>721</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15,179</w:t>
            </w:r>
          </w:p>
        </w:tc>
        <w:tc>
          <w:tcPr>
            <w:tcW w:w="10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(21,053)</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(6,464)</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4,803</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these Notes to the Condensed Consolidated Financial Statements to the “Company” or “Dell Technologies” mean Dell Technologies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and together with its consolidated subsidiaries.</w:t>
      </w:r>
    </w:p>
    <w:p>
      <w:pPr>
        <w:spacing w:after="0" w:line="21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Basis of Presentation — </w:t>
      </w:r>
      <w:r>
        <w:rPr>
          <w:rFonts w:ascii="Arial" w:cs="Arial" w:eastAsia="Arial" w:hAnsi="Arial"/>
          <w:sz w:val="17"/>
          <w:szCs w:val="17"/>
          <w:color w:val="auto"/>
        </w:rPr>
        <w:t>The accompanying unaudited Condensed Consolidated Financial Statements should be read in conjunction with the audited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and accompanying Notes filed with the U.S. Securities and Exchange Commission (“SEC”) in the Company’s Annual Report on Form 10-K for the fiscal year ended January 31, 2020. These Condensed Consolidated Financial Statements have been prepared in accordance with accounting principles generally accepted in the United States of America (“GAAP”). In the opinion of management, the accompanying Condensed Consolidated Financial Statements reflect all adjustments of a normal recurring nature considered necessary to fairly state the financial position of Dell Technologies Inc. as of May 1, 2020 and January 31, 2020 and the results of its operations and corresponding comprehensive income (loss) and its cash flows for the three months ended May 1, 2020 and May 3, 2019.</w:t>
      </w:r>
    </w:p>
    <w:p>
      <w:pPr>
        <w:spacing w:after="0" w:line="17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the accompanying Notes. Management has considered the potential economic implications of the outbreak of the coronavirus disease 2019 (“COVID-19”) pandemic on the Company’s critical and significant accounting estimates. Actual results could differ materially from those estimates. The results of operations and comprehensive income (loss) and the cash flows for the three months ended May 1, 2020 and May 3, 2019 are not necessarily indicative of the results to be expected for the full fiscal year or for any other fiscal period.</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fiscal year is the 52- or 53-week period ending on the Friday nearest January 31. The fiscal year ended January 31, 2020 (“Fiscal 2020”) was a 52-week period, and the fiscal year ending January 29, 2021 (“Fiscal 2021”) will be a 52-week period.</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These Condensed Consolidated Financial Statements include the accounts of Dell Technologies and its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as well as the accounts of VMware, Inc. and SecureWorks Corp. (“Secureworks”), each of which is majority-owned by Dell Technologies. All intercompany transactions have been eliminated.</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Unless the context indicates otherwise, references in these Notes to the Condensed Consolidated Financial Statements to “VMware” mean the VMware reportable segment, which reflects the operations of VMware, Inc. (NYSE: VMW) within Dell Technologies.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Revenue Reclassification </w:t>
      </w:r>
      <w:r>
        <w:rPr>
          <w:rFonts w:ascii="Arial" w:cs="Arial" w:eastAsia="Arial" w:hAnsi="Arial"/>
          <w:sz w:val="16"/>
          <w:szCs w:val="16"/>
          <w:color w:val="auto"/>
        </w:rPr>
        <w:t>— For the fiscal year ended January 31, 2020, Dell Technologies made certain reclassifications of net revenue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and services categories on the Consolidated Statement of Net Income (Loss), which impacted previously reported amounts for the three months ended May 3, 2019. The reclassifications were made to provide a more meaningful representation of the nature of certain service and software-as-a-service offerings of VMware, Inc. Prior period results were recast to conform with these changes, and resulted in an increase to services revenue and an equal and offsetting decrease to product revenue of $179 million for the three months ended May 3, 2019. Total net revenue as previously reported remains unchanged. The Company did not recast cost of goods sold for the related revenue reclassifications due to immateriality.</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RSA Security Divestiture </w:t>
      </w:r>
      <w:r>
        <w:rPr>
          <w:rFonts w:ascii="Arial" w:cs="Arial" w:eastAsia="Arial" w:hAnsi="Arial"/>
          <w:sz w:val="17"/>
          <w:szCs w:val="17"/>
          <w:color w:val="auto"/>
        </w:rPr>
        <w:t>— On February 18, 2020, Dell Technologies announced its entry into a definitive agreement with a consortium led by Symphony</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Group, Ontario Teachers’ Pension Plan Board and AlpInvest Partners to sell RSA Security in an all-cash transaction for approximately $2.075 billion, subject to certain closing adjustments. The transaction, which includes the purchase of RSA Archer, RSA NetWitness Platform, RSA SecurID, RSA Fraud and Risk Intelligence and RSA Conference, is expected to close in the third quarter of Fiscal 2021 and is subject to customary conditions. The transaction is intended to further simplify Dell Technologies’ product portfolio and corporate structure. The transaction is not expected to have a material impact on the Company’s operating results or financial position.</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accordance with applicable accounting guidance, the Company concluded that RSA Security’s long-lived assets have met the criteria to be classified as held-for-sale as of May 1, 2020. The Company reclassified the related assets and liabilities as “Current assets held for sale” and “Current liabilities held for sale” on the accompanying Condensed Consolidated Statements of Financial Position as of May 1, 2020 as the sale is expected to close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The following table presents the major classes of assets and liabilities as of May 1, 2020 related to RSA Security which were classified as held for sale as of the date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1, 2020</w:t>
            </w:r>
          </w:p>
        </w:tc>
      </w:tr>
      <w:tr>
        <w:trPr>
          <w:trHeight w:val="27"/>
        </w:trPr>
        <w:tc>
          <w:tcPr>
            <w:tcW w:w="36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color w:val="auto"/>
              </w:rPr>
              <w:t>(in millions)</w:t>
            </w:r>
          </w:p>
        </w:tc>
      </w:tr>
      <w:tr>
        <w:trPr>
          <w:trHeight w:val="270"/>
        </w:trPr>
        <w:tc>
          <w:tcPr>
            <w:tcW w:w="3640" w:type="dxa"/>
            <w:vAlign w:val="bottom"/>
          </w:tcPr>
          <w:p>
            <w:pPr>
              <w:spacing w:after="0"/>
              <w:rPr>
                <w:sz w:val="23"/>
                <w:szCs w:val="23"/>
                <w:color w:val="auto"/>
              </w:rPr>
            </w:pPr>
          </w:p>
        </w:tc>
        <w:tc>
          <w:tcPr>
            <w:tcW w:w="5820" w:type="dxa"/>
            <w:vAlign w:val="bottom"/>
            <w:gridSpan w:val="2"/>
          </w:tcPr>
          <w:p>
            <w:pPr>
              <w:jc w:val="center"/>
              <w:ind w:right="1770"/>
              <w:spacing w:after="0"/>
              <w:rPr>
                <w:sz w:val="20"/>
                <w:szCs w:val="20"/>
                <w:color w:val="auto"/>
              </w:rPr>
            </w:pPr>
            <w:r>
              <w:rPr>
                <w:rFonts w:ascii="Arial" w:cs="Arial" w:eastAsia="Arial" w:hAnsi="Arial"/>
                <w:sz w:val="18"/>
                <w:szCs w:val="18"/>
                <w:b w:val="1"/>
                <w:bCs w:val="1"/>
                <w:color w:val="auto"/>
                <w:w w:val="94"/>
              </w:rPr>
              <w:t>ASSETS</w:t>
            </w:r>
          </w:p>
        </w:tc>
        <w:tc>
          <w:tcPr>
            <w:tcW w:w="1780" w:type="dxa"/>
            <w:vAlign w:val="bottom"/>
          </w:tcPr>
          <w:p>
            <w:pPr>
              <w:spacing w:after="0"/>
              <w:rPr>
                <w:sz w:val="23"/>
                <w:szCs w:val="23"/>
                <w:color w:val="auto"/>
              </w:rPr>
            </w:pPr>
          </w:p>
        </w:tc>
      </w:tr>
      <w:tr>
        <w:trPr>
          <w:trHeight w:val="27"/>
        </w:trPr>
        <w:tc>
          <w:tcPr>
            <w:tcW w:w="36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5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36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 current assets</w:t>
            </w:r>
          </w:p>
        </w:tc>
        <w:tc>
          <w:tcPr>
            <w:tcW w:w="54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36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36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5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36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non-current assets</w:t>
            </w:r>
          </w:p>
        </w:tc>
        <w:tc>
          <w:tcPr>
            <w:tcW w:w="54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97"/>
        </w:trPr>
        <w:tc>
          <w:tcPr>
            <w:tcW w:w="3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546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2,098</w:t>
            </w:r>
          </w:p>
        </w:tc>
      </w:tr>
      <w:tr>
        <w:trPr>
          <w:trHeight w:val="210"/>
        </w:trPr>
        <w:tc>
          <w:tcPr>
            <w:tcW w:w="3640" w:type="dxa"/>
            <w:vAlign w:val="bottom"/>
            <w:tcBorders>
              <w:bottom w:val="single" w:sz="8" w:color="CCEEFF"/>
            </w:tcBorders>
            <w:shd w:val="clear" w:color="auto" w:fill="CCEEFF"/>
          </w:tcPr>
          <w:p>
            <w:pPr>
              <w:spacing w:after="0"/>
              <w:rPr>
                <w:sz w:val="18"/>
                <w:szCs w:val="18"/>
                <w:color w:val="auto"/>
              </w:rPr>
            </w:pPr>
          </w:p>
        </w:tc>
        <w:tc>
          <w:tcPr>
            <w:tcW w:w="5460" w:type="dxa"/>
            <w:vAlign w:val="bottom"/>
            <w:tcBorders>
              <w:bottom w:val="single" w:sz="8" w:color="CCEEFF"/>
            </w:tcBorders>
            <w:shd w:val="clear" w:color="auto" w:fill="CCEEFF"/>
          </w:tcPr>
          <w:p>
            <w:pPr>
              <w:jc w:val="center"/>
              <w:ind w:right="1410"/>
              <w:spacing w:after="0" w:line="203" w:lineRule="exact"/>
              <w:rPr>
                <w:sz w:val="20"/>
                <w:szCs w:val="20"/>
                <w:color w:val="auto"/>
              </w:rPr>
            </w:pPr>
            <w:r>
              <w:rPr>
                <w:rFonts w:ascii="Arial" w:cs="Arial" w:eastAsia="Arial" w:hAnsi="Arial"/>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5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8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Accrued and other</w:t>
            </w:r>
          </w:p>
        </w:tc>
        <w:tc>
          <w:tcPr>
            <w:tcW w:w="5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36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deferred revenue</w:t>
            </w:r>
          </w:p>
        </w:tc>
        <w:tc>
          <w:tcPr>
            <w:tcW w:w="54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37"/>
        </w:trPr>
        <w:tc>
          <w:tcPr>
            <w:tcW w:w="36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36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revenue</w:t>
            </w:r>
          </w:p>
        </w:tc>
        <w:tc>
          <w:tcPr>
            <w:tcW w:w="5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5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36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3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5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RSA Security does not meet the criteria for discontinued operations reporting, and as a result its operating results and cash flows are not separately stated as a discontinued operation in the accompanying unaudited Condensed Consolidated Financial Statements. RSA Security does not meet the requirements for a reportable segment and, consequently, its operating results are included within Other businesses.</w:t>
      </w:r>
    </w:p>
    <w:p>
      <w:pPr>
        <w:spacing w:after="0" w:line="16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VMware, Inc. Acquisition of Pivotal </w:t>
      </w:r>
      <w:r>
        <w:rPr>
          <w:rFonts w:ascii="Arial" w:cs="Arial" w:eastAsia="Arial" w:hAnsi="Arial"/>
          <w:sz w:val="16"/>
          <w:szCs w:val="16"/>
          <w:color w:val="auto"/>
        </w:rPr>
        <w:t>— On December 30, 2019, VMware, Inc. completed its acquisition of Pivotal Software, Inc. (“Pivotal”)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by merger (the “Pivotal acquisition”), with Pivotal surviving the merger as a wholly-owned subsidiary of VMware, Inc. Each outstanding share of Pivotal’s Class A common stock (other than shares held by Pivotal stockholders who properly exercised their appraisal rights under Delaware law) was converted into the right to receive $15.00 in cash, without interest, and each outstanding share of Pivotal’s Class B common stock was converted into the right to receive 0.0550 of a share of Class B common stock of VMware, Inc. Dell Technologies, which held all outstanding shares of Pivotal’s Class B common stock, received approximately 7.2 million shares of Class B common stock of VMware, Inc. in the transaction. As of the transaction date, Pivotal’s Class A common stock (NYSE: PVTL) ceased to be listed and traded on the New York Stock Exchange (“NYSE”).</w:t>
      </w:r>
    </w:p>
    <w:p>
      <w:pPr>
        <w:spacing w:after="0" w:line="16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Due to the Company’s ownership of a controlling interest in Pivotal, the Company and VMware, Inc. accounted for the acquisition of the controlling interest in Pivotal as a transaction between entities under common control, and, consequently, the transaction had no net effect to the Company’s consolidated financial statements. Subsequent to the Pivotal acquisition, Pivotal operates as a wholly-owned subsidiary of VMware, Inc. and Dell Technologies reports Pivotal results within the VMware reportable segment. Prior to the Pivotal acquisition, Pivotal results were reported within Other businesses. This change in Pivotal segment classification was reflected retrospectively and is presented in Note 17 of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Class V Transaction </w:t>
      </w:r>
      <w:r>
        <w:rPr>
          <w:rFonts w:ascii="Arial" w:cs="Arial" w:eastAsia="Arial" w:hAnsi="Arial"/>
          <w:sz w:val="16"/>
          <w:szCs w:val="16"/>
          <w:color w:val="auto"/>
        </w:rPr>
        <w:t>— On December 28, 2018, the Company completed a transaction (the “Class V transaction”) in which it paid $14.0 billion in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issued 149,387,617 shares of its Class C Common Stock to holders of its Class V Common Stock in exchange for all outstanding shares of Class V Common Stock. The non-cash consideration portion of the Class V transaction totaled $6.9 billion. As a result of the Class V transaction, the tracking stock feature of the Company’s capital structure associated with the Class V Common Stock was terminated. The Class C Common Stock is traded on the NYSE.</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merger pursuant to which the Class V transaction was effected and the Class V transaction have been accounted for as a hybrid liability and equity transaction involving the repurchase of outstanding common stock, with the consideration consisting of a variable combination of cash and shares. Upon settlement, the accounting for the Class V transaction reflected that the outstanding Class V Common Stock was canceled and exchanged for shares of Class C Common Stock at $120.00 per share in cash or combination of cash and shares, depending on each holder’s election and subject to proration of the cash elections.</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EMC Merger Transaction </w:t>
      </w:r>
      <w:r>
        <w:rPr>
          <w:rFonts w:ascii="Arial" w:cs="Arial" w:eastAsia="Arial" w:hAnsi="Arial"/>
          <w:sz w:val="16"/>
          <w:szCs w:val="16"/>
          <w:color w:val="auto"/>
        </w:rPr>
        <w:t>— On September 7, 2016, the Company completed its acquisition of EMC Corporation (“EMC”) by merger (the “EMC merger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consolidated results of EMC are included in Dell Technologies’ consolidated results presented in these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Simplifying Accounting for Income Taxes </w:t>
      </w:r>
      <w:r>
        <w:rPr>
          <w:rFonts w:ascii="Arial" w:cs="Arial" w:eastAsia="Arial" w:hAnsi="Arial"/>
          <w:sz w:val="17"/>
          <w:szCs w:val="17"/>
          <w:color w:val="auto"/>
        </w:rPr>
        <w:t>— In December 2019, the Financial Accounting Standards Board (“FASB”) issued guidance to simplify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for income taxes by removing certain exceptions to the general principles in Topic 740, </w:t>
      </w:r>
      <w:r>
        <w:rPr>
          <w:rFonts w:ascii="Arial" w:cs="Arial" w:eastAsia="Arial" w:hAnsi="Arial"/>
          <w:sz w:val="17"/>
          <w:szCs w:val="17"/>
          <w:i w:val="1"/>
          <w:iCs w:val="1"/>
          <w:color w:val="auto"/>
        </w:rPr>
        <w:t>Income Taxes</w:t>
      </w:r>
      <w:r>
        <w:rPr>
          <w:rFonts w:ascii="Arial" w:cs="Arial" w:eastAsia="Arial" w:hAnsi="Arial"/>
          <w:sz w:val="17"/>
          <w:szCs w:val="17"/>
          <w:color w:val="auto"/>
        </w:rPr>
        <w:t>, and by clarifying and amending existing guidance in order to improve consistent application of GAAP for other areas of Topic 740. Public entities must adopt the new guidance for fiscal years beginning after December 15, 2020, and interim periods within those fiscal years, with early adoption permitted for fiscal periods beginning after December 15, 2019. The Company is currently evaluating the impact and timing of adoption of this guidance.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Measurement of Credit Losses on Financial Instruments — </w:t>
      </w:r>
      <w:r>
        <w:rPr>
          <w:rFonts w:ascii="Arial" w:cs="Arial" w:eastAsia="Arial" w:hAnsi="Arial"/>
          <w:sz w:val="18"/>
          <w:szCs w:val="18"/>
          <w:color w:val="auto"/>
        </w:rPr>
        <w:t>In June 2016, the FASB issued amended guidance which replaces the current incurred loss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methodology for measurement of credit losses on financial instruments with a methodology (the “current expected credit losses model,” or “CECL model”) that reflects expected credit losses and requires consideration of a broader range of reasonable and supportable information to inform credit loss estimates. Under the CECL model, the allowance for losses on financial assets, measured at amortized cost, reflects management’s estimate of credit losses over the remaining expected life of such assets.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adopted the standard (the “new CECL standard”) as of February 1, 2020 using the modified retrospective method, with the cumulative-effect adjustment to the opening balance of stockholders’ equity (deficit) as of the adoption date. The cumulative effect of adopting the new CECL standard resulted in an increase of $111 million and $27 million to the allowance for expected credit losses within financing receivables, net and accounts receivable, net, respectively, on the Condensed Consolidated Statements of Financial Position, and a corresponding decrease of $28 million to other non-current liabilities related to deferred taxes and $110 million to stockholders’ equity (deficit) as of February 1, 2020. See Note 2, Note 4, and Note 18 of the Notes to the Condensed Consolidated Financial Statements for additional information about the Company’s allowance for financing receivables losses and allowance for expected credit losses of accounts receivable, respectively.</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Intangibles - Goodwill and Other - Internal-Use Software </w:t>
      </w:r>
      <w:r>
        <w:rPr>
          <w:rFonts w:ascii="Arial" w:cs="Arial" w:eastAsia="Arial" w:hAnsi="Arial"/>
          <w:sz w:val="18"/>
          <w:szCs w:val="18"/>
          <w:color w:val="auto"/>
        </w:rPr>
        <w:t>— In August 2018, the FASB issued guidance on a customer’s accounting for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incurred in a cloud-computing arrangement when hosted by a vendor. The guidance provides that, in a hosting arrangement that is a service contract, certain implementation costs should be capitalized and amortized over the term of the arrangement. The Company adopted the standard (the “new cloud computing standard”) during the three months ended May 1, 2020 using the prospective method. The impact of the adoption of this standard was immaterial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INTERIM UPDATE TO SUMMARY OF SIGNIFICANT ACCOUNTING POLICIES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discussed in Note 1 of the Notes to the Condensed Consolidated Financial Statements, the Company adopted the new CECL standard as of February 1, 2020 using the modified retrospective method. The new impairment methodology for measurement of credit losses on financial instruments reflects expected credit losses and requires consideration of a broader range of reasonable and supportable information to inform credit loss estimates. Additionally, the Company adopted the new cloud computing standard during the three months ended May 1, 2020 using the prospective method. In a cloud-computing hosting arrangement hosted by a vendor that is a service contract, certain implementation costs should be capitalized and amortized over the term of the arrangement. The following accounting policies have been updated as part of the adoption of the new standards.</w:t>
      </w:r>
    </w:p>
    <w:p>
      <w:pPr>
        <w:spacing w:after="0" w:line="1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Allowance for Expected Credit Losses </w:t>
      </w:r>
      <w:r>
        <w:rPr>
          <w:rFonts w:ascii="Arial" w:cs="Arial" w:eastAsia="Arial" w:hAnsi="Arial"/>
          <w:sz w:val="16"/>
          <w:szCs w:val="16"/>
          <w:color w:val="auto"/>
        </w:rPr>
        <w:t>— The Company recognizes an allowance for losses on accounts receivable in an amount equal to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losses. The estimation of the allowance is based on an analysis of historical loss experience, current receivables aging, and management’s assessment of current conditions and reasonable and supportable expectation of future conditions, as well as an assessment of specific identifiable customer accounts considered at risk or uncollectible. The Company assesses collectibility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selling, general, and administrative expenses.</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Allowance for Financing Receivables Losses </w:t>
      </w:r>
      <w:r>
        <w:rPr>
          <w:rFonts w:ascii="Arial" w:cs="Arial" w:eastAsia="Arial" w:hAnsi="Arial"/>
          <w:sz w:val="18"/>
          <w:szCs w:val="18"/>
          <w:color w:val="auto"/>
        </w:rPr>
        <w:t>— The Company recognizes an allowance for losses on financing receivables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probable losses net of recoveries. The allowance for losses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Both fixed and revolving receivable loss rates are affected by macroeconomic conditions, including the level of gross domestic product (“GDP”) growth, the level of commercial capital equipment investment, unemployment rates, and the credit quality of the borrower.</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Customer account principal and interest are charged to the allowance for losses when an account is deemed to be uncollectible or generally when the account is 180 days delinquent.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w:t>
      </w:r>
    </w:p>
    <w:p>
      <w:pPr>
        <w:spacing w:after="0" w:line="176"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color w:val="auto"/>
        </w:rPr>
        <w:t xml:space="preserve">Capitalized Software Development Costs </w:t>
      </w:r>
      <w:r>
        <w:rPr>
          <w:rFonts w:ascii="Arial" w:cs="Arial" w:eastAsia="Arial" w:hAnsi="Arial"/>
          <w:sz w:val="16"/>
          <w:szCs w:val="16"/>
          <w:color w:val="auto"/>
        </w:rPr>
        <w:t>— The Company capitalizes certain internal and external costs to acquire or create internal use software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subsequent to the completion of the preliminary project stage. Development costs are generally amortized on a straight-line basis over five years. Costs associated with maintenance and minor enhancements to the features and functionality of the Company’s website are expensed as incurred.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hierarchy for its assets and liabilities measured at fair value on a recurring basis as of the dates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520"/>
              <w:spacing w:after="0"/>
              <w:rPr>
                <w:sz w:val="20"/>
                <w:szCs w:val="20"/>
                <w:color w:val="auto"/>
              </w:rPr>
            </w:pPr>
            <w:r>
              <w:rPr>
                <w:rFonts w:ascii="Arial" w:cs="Arial" w:eastAsia="Arial" w:hAnsi="Arial"/>
                <w:sz w:val="18"/>
                <w:szCs w:val="18"/>
                <w:b w:val="1"/>
                <w:bCs w:val="1"/>
                <w:color w:val="auto"/>
              </w:rPr>
              <w:t>May 1, 2020</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ind w:left="360"/>
              <w:spacing w:after="0"/>
              <w:rPr>
                <w:sz w:val="20"/>
                <w:szCs w:val="20"/>
                <w:color w:val="auto"/>
              </w:rPr>
            </w:pPr>
            <w:r>
              <w:rPr>
                <w:rFonts w:ascii="Arial" w:cs="Arial" w:eastAsia="Arial" w:hAnsi="Arial"/>
                <w:sz w:val="18"/>
                <w:szCs w:val="18"/>
                <w:b w:val="1"/>
                <w:bCs w:val="1"/>
                <w:color w:val="auto"/>
              </w:rPr>
              <w:t>January 31, 2020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20"/>
                <w:szCs w:val="20"/>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b w:val="1"/>
                <w:bCs w:val="1"/>
                <w:color w:val="auto"/>
                <w:w w:val="92"/>
              </w:rPr>
              <w:t>Total</w:t>
            </w:r>
          </w:p>
        </w:tc>
      </w:tr>
      <w:tr>
        <w:trPr>
          <w:trHeight w:val="27"/>
        </w:trPr>
        <w:tc>
          <w:tcPr>
            <w:tcW w:w="2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5"/>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0"/>
              <w:spacing w:after="0" w:line="165" w:lineRule="exact"/>
              <w:rPr>
                <w:sz w:val="20"/>
                <w:szCs w:val="20"/>
                <w:color w:val="auto"/>
              </w:rPr>
            </w:pPr>
            <w:r>
              <w:rPr>
                <w:rFonts w:ascii="Arial" w:cs="Arial" w:eastAsia="Arial" w:hAnsi="Arial"/>
                <w:sz w:val="15"/>
                <w:szCs w:val="15"/>
                <w:b w:val="1"/>
                <w:bCs w:val="1"/>
                <w:color w:val="auto"/>
                <w:w w:val="91"/>
              </w:rPr>
              <w:t>Quoted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line="165" w:lineRule="exact"/>
              <w:rPr>
                <w:sz w:val="20"/>
                <w:szCs w:val="20"/>
                <w:color w:val="auto"/>
              </w:rPr>
            </w:pPr>
            <w:r>
              <w:rPr>
                <w:rFonts w:ascii="Arial" w:cs="Arial" w:eastAsia="Arial" w:hAnsi="Arial"/>
                <w:sz w:val="15"/>
                <w:szCs w:val="15"/>
                <w:b w:val="1"/>
                <w:bCs w:val="1"/>
                <w:color w:val="auto"/>
                <w:w w:val="91"/>
              </w:rPr>
              <w:t>Quoted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9"/>
              </w:rPr>
              <w:t>Prices in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Prices in</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3"/>
              </w:rPr>
              <w:t>Active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Active</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0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5"/>
              </w:rPr>
              <w:t>Identical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Identical</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2"/>
        </w:trPr>
        <w:tc>
          <w:tcPr>
            <w:tcW w:w="2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81"/>
              </w:rPr>
              <w:t>Assets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5"/>
              </w:rPr>
              <w:t>Assets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3"/>
              </w:rPr>
              <w:t>Inputs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41"/>
        </w:trPr>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5"/>
          </w:tcPr>
          <w:p>
            <w:pPr>
              <w:ind w:left="22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7,981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7,981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4,621</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Equity and other securities</w:t>
            </w:r>
          </w:p>
        </w:tc>
        <w:tc>
          <w:tcPr>
            <w:tcW w:w="14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8"/>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7"/>
                <w:szCs w:val="17"/>
                <w:color w:val="auto"/>
              </w:rPr>
              <w:t>12</w:t>
            </w: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81</w:t>
            </w:r>
          </w:p>
        </w:tc>
      </w:tr>
      <w:tr>
        <w:trPr>
          <w:trHeight w:val="283"/>
        </w:trPr>
        <w:tc>
          <w:tcPr>
            <w:tcW w:w="2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7,984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352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8,336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4,633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4,714</w:t>
            </w:r>
          </w:p>
        </w:tc>
      </w:tr>
      <w:tr>
        <w:trPr>
          <w:trHeight w:val="224"/>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33"/>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ind w:left="62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14"/>
              <w:spacing w:after="0"/>
              <w:rPr>
                <w:sz w:val="20"/>
                <w:szCs w:val="20"/>
                <w:color w:val="auto"/>
              </w:rPr>
            </w:pPr>
            <w:r>
              <w:rPr>
                <w:rFonts w:ascii="Arial" w:cs="Arial" w:eastAsia="Arial" w:hAnsi="Arial"/>
                <w:sz w:val="17"/>
                <w:szCs w:val="17"/>
                <w:color w:val="auto"/>
              </w:rPr>
              <w:t>68</w:t>
            </w:r>
          </w:p>
        </w:tc>
      </w:tr>
      <w:tr>
        <w:trPr>
          <w:trHeight w:val="27"/>
        </w:trPr>
        <w:tc>
          <w:tcPr>
            <w:tcW w:w="2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2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68</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i w:val="1"/>
          <w:iCs w:val="1"/>
          <w:color w:val="auto"/>
        </w:rPr>
        <w:t xml:space="preserve">Money Market Funds </w:t>
      </w:r>
      <w:r>
        <w:rPr>
          <w:rFonts w:ascii="Arial" w:cs="Arial" w:eastAsia="Arial" w:hAnsi="Arial"/>
          <w:sz w:val="17"/>
          <w:szCs w:val="17"/>
          <w:color w:val="auto"/>
        </w:rPr>
        <w:t>— The Company’s investment in money market funds that are classified as cash equivalents hold underlying investments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May 1, 2020, the Company’s U.S. portfolio had no material exposure to money market funds with a fluctuating net asset value.</w:t>
      </w:r>
    </w:p>
    <w:p>
      <w:pPr>
        <w:spacing w:after="0" w:line="17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i w:val="1"/>
          <w:iCs w:val="1"/>
          <w:color w:val="auto"/>
        </w:rPr>
        <w:t xml:space="preserve">Equity and Other Securities </w:t>
      </w:r>
      <w:r>
        <w:rPr>
          <w:rFonts w:ascii="Arial" w:cs="Arial" w:eastAsia="Arial" w:hAnsi="Arial"/>
          <w:sz w:val="16"/>
          <w:szCs w:val="16"/>
          <w:color w:val="auto"/>
        </w:rPr>
        <w:t>— The majority of the Company’s investments in equity and other securities that are measured at fair value on a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basis consist of strategic investments in publicly-traded companies. The valuation of these securities is based on quoted prices in active markets.</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 The Company’s derivative financial instruments consist primarily of foreign currency forward and purchased option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instrument portfolio. See Note 7 of the Notes to the Condensed Consolidated Financial Statements for a description of the Company’s derivative financial instrument activities.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Deferred Compensation Plans </w:t>
      </w:r>
      <w:r>
        <w:rPr>
          <w:rFonts w:ascii="Arial" w:cs="Arial" w:eastAsia="Arial" w:hAnsi="Arial"/>
          <w:sz w:val="18"/>
          <w:szCs w:val="18"/>
          <w:color w:val="auto"/>
        </w:rPr>
        <w:t>— The Company offers deferred compensation plans for eligible employees, which allow participants to defer payment for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their compensation. Assets were the same as liabilities associated with the plans at approximately $231 million and $241 million as of May 1, 2020 and January 31, 2020, respectively, and are included in other assets and other liabilities on the Condensed Consolidated Statements of Financial Position. The net impact to the Condensed Consolidated Statements of Income (Loss) is not material since changes in the fair value of the assets substantially offset changes in the fair value of the liabilities. As such, assets and liabilities associated with these plans have not been included in the recurring fair value table above.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i w:val="1"/>
          <w:iCs w:val="1"/>
          <w:color w:val="auto"/>
        </w:rPr>
        <w:t xml:space="preserve">Assets and Liabilities Measured at Fair Value on a Nonrecurring Basis </w:t>
      </w:r>
      <w:r>
        <w:rPr>
          <w:rFonts w:ascii="Arial" w:cs="Arial" w:eastAsia="Arial" w:hAnsi="Arial"/>
          <w:sz w:val="16"/>
          <w:szCs w:val="16"/>
          <w:color w:val="auto"/>
        </w:rPr>
        <w:t>— Certain assets are measured at fair value on a nonrecurring basis and therefore</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included in the recurring fair value table above. These assets consist primarily of non-financial assets such as goodwill and intangible assets. See Note 8 of the Notes to the Condensed Consolidated Financial Statements for additional information about goodwill and intangible assets.</w:t>
      </w:r>
    </w:p>
    <w:p>
      <w:pPr>
        <w:spacing w:after="0" w:line="149" w:lineRule="exact"/>
        <w:rPr>
          <w:sz w:val="20"/>
          <w:szCs w:val="20"/>
          <w:color w:val="auto"/>
        </w:rPr>
      </w:pPr>
    </w:p>
    <w:p>
      <w:pPr>
        <w:jc w:val="both"/>
        <w:ind w:right="700"/>
        <w:spacing w:after="0" w:line="342" w:lineRule="auto"/>
        <w:rPr>
          <w:sz w:val="20"/>
          <w:szCs w:val="20"/>
          <w:color w:val="auto"/>
        </w:rPr>
      </w:pPr>
      <w:r>
        <w:rPr>
          <w:rFonts w:ascii="Arial" w:cs="Arial" w:eastAsia="Arial" w:hAnsi="Arial"/>
          <w:sz w:val="16"/>
          <w:szCs w:val="16"/>
          <w:color w:val="auto"/>
        </w:rPr>
        <w:t>As of May 1, 2020 and January 31, 2020, the Company held private strategic investments of $971 million and $852 million, respectively. As these investments represent early-stage companies without readily determinable fair values, they are not included in the recurring fair value table above.</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elected to apply the measurement alternative for these investments. Under the alternative, the Company measures investments without readily determinable fair values at cost, less impairment, adjusted by observable price changes. The Company must make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Carrying Value and Estimated Fair Value of Outstanding Debt </w:t>
      </w:r>
      <w:r>
        <w:rPr>
          <w:rFonts w:ascii="Arial" w:cs="Arial" w:eastAsia="Arial" w:hAnsi="Arial"/>
          <w:sz w:val="18"/>
          <w:szCs w:val="18"/>
          <w:color w:val="auto"/>
        </w:rPr>
        <w:t>— The following table presents the carrying value and estimated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debt as described in Note 6 of the Notes to the Condensed Consolidated Financial Statements, including the current portion, as of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4"/>
          </w:tcPr>
          <w:p>
            <w:pPr>
              <w:ind w:left="1020"/>
              <w:spacing w:after="0"/>
              <w:rPr>
                <w:sz w:val="20"/>
                <w:szCs w:val="20"/>
                <w:color w:val="auto"/>
              </w:rPr>
            </w:pPr>
            <w:r>
              <w:rPr>
                <w:rFonts w:ascii="Arial" w:cs="Arial" w:eastAsia="Arial" w:hAnsi="Arial"/>
                <w:sz w:val="18"/>
                <w:szCs w:val="18"/>
                <w:b w:val="1"/>
                <w:bCs w:val="1"/>
                <w:color w:val="auto"/>
              </w:rPr>
              <w:t>May 1, 2020</w:t>
            </w:r>
          </w:p>
        </w:tc>
        <w:tc>
          <w:tcPr>
            <w:tcW w:w="160" w:type="dxa"/>
            <w:vAlign w:val="bottom"/>
          </w:tcPr>
          <w:p>
            <w:pPr>
              <w:spacing w:after="0"/>
              <w:rPr>
                <w:sz w:val="20"/>
                <w:szCs w:val="20"/>
                <w:color w:val="auto"/>
              </w:rPr>
            </w:pPr>
          </w:p>
        </w:tc>
        <w:tc>
          <w:tcPr>
            <w:tcW w:w="308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January 31, 2020</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Carrying Value</w:t>
            </w:r>
          </w:p>
        </w:tc>
        <w:tc>
          <w:tcPr>
            <w:tcW w:w="3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4"/>
          </w:tcPr>
          <w:p>
            <w:pPr>
              <w:jc w:val="right"/>
              <w:ind w:right="1130"/>
              <w:spacing w:after="0"/>
              <w:rPr>
                <w:sz w:val="20"/>
                <w:szCs w:val="20"/>
                <w:color w:val="auto"/>
              </w:rPr>
            </w:pPr>
            <w:r>
              <w:rPr>
                <w:rFonts w:ascii="Arial" w:cs="Arial" w:eastAsia="Arial" w:hAnsi="Arial"/>
                <w:sz w:val="18"/>
                <w:szCs w:val="18"/>
                <w:color w:val="auto"/>
              </w:rPr>
              <w:t>(in billions)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First Lien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and Debentures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VMware Notes and VMware Term Loan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Margin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fair values of the outstanding debt shown in the table above, as well as the Dell Financial Services (“DFS”) debt described in Note 4 of the Notes to the Condensed Consolidated Financial Statements, were determined based on observable market prices in a less active market or based on valuation methodologies using observable inputs and were categorized as Level 2 in the fair value hierarchy. The carrying value of DFS debt approximates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carrying value of the Company’s strategic investments in publicly-traded and privately-held companies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556"/>
              <w:spacing w:after="0"/>
              <w:rPr>
                <w:sz w:val="20"/>
                <w:szCs w:val="20"/>
                <w:color w:val="auto"/>
              </w:rPr>
            </w:pPr>
            <w:r>
              <w:rPr>
                <w:rFonts w:ascii="Arial" w:cs="Arial" w:eastAsia="Arial" w:hAnsi="Arial"/>
                <w:sz w:val="18"/>
                <w:szCs w:val="18"/>
                <w:b w:val="1"/>
                <w:bCs w:val="1"/>
                <w:color w:val="auto"/>
              </w:rPr>
              <w:t>May 1, 2020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right"/>
              <w:ind w:right="356"/>
              <w:spacing w:after="0"/>
              <w:rPr>
                <w:sz w:val="20"/>
                <w:szCs w:val="20"/>
                <w:color w:val="auto"/>
              </w:rPr>
            </w:pPr>
            <w:r>
              <w:rPr>
                <w:rFonts w:ascii="Arial" w:cs="Arial" w:eastAsia="Arial" w:hAnsi="Arial"/>
                <w:sz w:val="18"/>
                <w:szCs w:val="18"/>
                <w:b w:val="1"/>
                <w:bCs w:val="1"/>
                <w:color w:val="auto"/>
              </w:rPr>
              <w:t>January 31, 2020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Unrealized</w:t>
            </w:r>
          </w:p>
        </w:tc>
        <w:tc>
          <w:tcPr>
            <w:tcW w:w="200" w:type="dxa"/>
            <w:vAlign w:val="bottom"/>
          </w:tcPr>
          <w:p>
            <w:pPr>
              <w:spacing w:after="0"/>
              <w:rPr>
                <w:sz w:val="18"/>
                <w:szCs w:val="18"/>
                <w:color w:val="auto"/>
              </w:rPr>
            </w:pPr>
          </w:p>
        </w:tc>
        <w:tc>
          <w:tcPr>
            <w:tcW w:w="94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55"/>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8"/>
                <w:szCs w:val="18"/>
                <w:color w:val="auto"/>
              </w:rPr>
            </w:pPr>
          </w:p>
        </w:tc>
        <w:tc>
          <w:tcPr>
            <w:tcW w:w="92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8"/>
                <w:szCs w:val="18"/>
                <w:color w:val="auto"/>
              </w:rPr>
            </w:pPr>
          </w:p>
        </w:tc>
        <w:tc>
          <w:tcPr>
            <w:tcW w:w="860" w:type="dxa"/>
            <w:vAlign w:val="bottom"/>
          </w:tcPr>
          <w:p>
            <w:pPr>
              <w:jc w:val="center"/>
              <w:ind w:right="56"/>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95"/>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920" w:type="dxa"/>
            <w:vAlign w:val="bottom"/>
          </w:tcPr>
          <w:p>
            <w:pPr>
              <w:jc w:val="center"/>
              <w:ind w:right="55"/>
              <w:spacing w:after="0"/>
              <w:rPr>
                <w:sz w:val="20"/>
                <w:szCs w:val="20"/>
                <w:color w:val="auto"/>
              </w:rPr>
            </w:pPr>
            <w:r>
              <w:rPr>
                <w:rFonts w:ascii="Arial" w:cs="Arial" w:eastAsia="Arial" w:hAnsi="Arial"/>
                <w:sz w:val="16"/>
                <w:szCs w:val="16"/>
                <w:b w:val="1"/>
                <w:bCs w:val="1"/>
                <w:color w:val="auto"/>
                <w:w w:val="95"/>
              </w:rPr>
              <w:t>Gain</w:t>
            </w:r>
          </w:p>
        </w:tc>
        <w:tc>
          <w:tcPr>
            <w:tcW w:w="200" w:type="dxa"/>
            <w:vAlign w:val="bottom"/>
          </w:tcPr>
          <w:p>
            <w:pPr>
              <w:spacing w:after="0"/>
              <w:rPr>
                <w:sz w:val="18"/>
                <w:szCs w:val="18"/>
                <w:color w:val="auto"/>
              </w:rPr>
            </w:pPr>
          </w:p>
        </w:tc>
        <w:tc>
          <w:tcPr>
            <w:tcW w:w="940" w:type="dxa"/>
            <w:vAlign w:val="bottom"/>
          </w:tcPr>
          <w:p>
            <w:pPr>
              <w:jc w:val="center"/>
              <w:ind w:right="76"/>
              <w:spacing w:after="0"/>
              <w:rPr>
                <w:sz w:val="20"/>
                <w:szCs w:val="20"/>
                <w:color w:val="auto"/>
              </w:rPr>
            </w:pPr>
            <w:r>
              <w:rPr>
                <w:rFonts w:ascii="Arial" w:cs="Arial" w:eastAsia="Arial" w:hAnsi="Arial"/>
                <w:sz w:val="16"/>
                <w:szCs w:val="16"/>
                <w:b w:val="1"/>
                <w:bCs w:val="1"/>
                <w:color w:val="auto"/>
                <w:w w:val="87"/>
              </w:rPr>
              <w:t>(Loss)</w:t>
            </w:r>
          </w:p>
        </w:tc>
        <w:tc>
          <w:tcPr>
            <w:tcW w:w="2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240" w:type="dxa"/>
            <w:vAlign w:val="bottom"/>
          </w:tcPr>
          <w:p>
            <w:pPr>
              <w:spacing w:after="0"/>
              <w:rPr>
                <w:sz w:val="18"/>
                <w:szCs w:val="18"/>
                <w:color w:val="auto"/>
              </w:rPr>
            </w:pPr>
          </w:p>
        </w:tc>
        <w:tc>
          <w:tcPr>
            <w:tcW w:w="800" w:type="dxa"/>
            <w:vAlign w:val="bottom"/>
          </w:tcPr>
          <w:p>
            <w:pPr>
              <w:jc w:val="right"/>
              <w:ind w:right="295"/>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8"/>
                <w:szCs w:val="18"/>
                <w:color w:val="auto"/>
              </w:rPr>
            </w:pPr>
          </w:p>
        </w:tc>
        <w:tc>
          <w:tcPr>
            <w:tcW w:w="920" w:type="dxa"/>
            <w:vAlign w:val="bottom"/>
          </w:tcPr>
          <w:p>
            <w:pPr>
              <w:jc w:val="center"/>
              <w:ind w:right="55"/>
              <w:spacing w:after="0"/>
              <w:rPr>
                <w:sz w:val="20"/>
                <w:szCs w:val="20"/>
                <w:color w:val="auto"/>
              </w:rPr>
            </w:pPr>
            <w:r>
              <w:rPr>
                <w:rFonts w:ascii="Arial" w:cs="Arial" w:eastAsia="Arial" w:hAnsi="Arial"/>
                <w:sz w:val="16"/>
                <w:szCs w:val="16"/>
                <w:b w:val="1"/>
                <w:bCs w:val="1"/>
                <w:color w:val="auto"/>
                <w:w w:val="95"/>
              </w:rPr>
              <w:t>Gain</w:t>
            </w:r>
          </w:p>
        </w:tc>
        <w:tc>
          <w:tcPr>
            <w:tcW w:w="220" w:type="dxa"/>
            <w:vAlign w:val="bottom"/>
          </w:tcPr>
          <w:p>
            <w:pPr>
              <w:spacing w:after="0"/>
              <w:rPr>
                <w:sz w:val="18"/>
                <w:szCs w:val="18"/>
                <w:color w:val="auto"/>
              </w:rPr>
            </w:pPr>
          </w:p>
        </w:tc>
        <w:tc>
          <w:tcPr>
            <w:tcW w:w="920" w:type="dxa"/>
            <w:vAlign w:val="bottom"/>
          </w:tcPr>
          <w:p>
            <w:pPr>
              <w:jc w:val="center"/>
              <w:ind w:right="96"/>
              <w:spacing w:after="0"/>
              <w:rPr>
                <w:sz w:val="20"/>
                <w:szCs w:val="20"/>
                <w:color w:val="auto"/>
              </w:rPr>
            </w:pPr>
            <w:r>
              <w:rPr>
                <w:rFonts w:ascii="Arial" w:cs="Arial" w:eastAsia="Arial" w:hAnsi="Arial"/>
                <w:sz w:val="16"/>
                <w:szCs w:val="16"/>
                <w:b w:val="1"/>
                <w:bCs w:val="1"/>
                <w:color w:val="auto"/>
                <w:w w:val="87"/>
              </w:rPr>
              <w:t>(Loss)</w:t>
            </w:r>
          </w:p>
        </w:tc>
        <w:tc>
          <w:tcPr>
            <w:tcW w:w="220" w:type="dxa"/>
            <w:vAlign w:val="bottom"/>
          </w:tcPr>
          <w:p>
            <w:pPr>
              <w:spacing w:after="0"/>
              <w:rPr>
                <w:sz w:val="18"/>
                <w:szCs w:val="18"/>
                <w:color w:val="auto"/>
              </w:rPr>
            </w:pPr>
          </w:p>
        </w:tc>
        <w:tc>
          <w:tcPr>
            <w:tcW w:w="860" w:type="dxa"/>
            <w:vAlign w:val="bottom"/>
          </w:tcPr>
          <w:p>
            <w:pPr>
              <w:jc w:val="center"/>
              <w:ind w:right="76"/>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4"/>
          </w:tcPr>
          <w:p>
            <w:pPr>
              <w:ind w:left="48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and other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864</w:t>
            </w:r>
          </w:p>
        </w:tc>
      </w:tr>
      <w:tr>
        <w:trPr>
          <w:trHeight w:val="27"/>
        </w:trPr>
        <w:tc>
          <w:tcPr>
            <w:tcW w:w="2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three months ended May 1, 2020, the equity and other securities without readily determinable fair values of $971 million increased by $83 million, due to upward adjustments for observable price changes, offset by $11 million of downward adjustments primarily attributable to observable price changes. The remainder of equity and other securities consists of publicly-traded investments that are measured at fair value on a recurring basis.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SERVICES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offers or arranges various financing options, services, and alternative payment structures for its customers in North America, Europe, Australia, and New Zealand through Dell Financial Services and its affiliates (“DFS”). The Company also arranges financing for some of its customers in various countries where DFS does not currently operate as a captive enterprise. The key activities of DFS include originating, collecting, and servicing customer financing arrangements primarily related to the purchase or use of Dell Technologies products and services. In some cases, DFS also offers financing on the purchase of third-party technology products that complement the Dell Technologies portfolio of products and services. New financing originations were $1.8 billion and $1.7 billion for the three months ended May 1, 2020 and May 3, 2019,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arrangements with customers are aggregated into the following categories:</w:t>
      </w:r>
    </w:p>
    <w:p>
      <w:pPr>
        <w:spacing w:after="0" w:line="225"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i w:val="1"/>
          <w:iCs w:val="1"/>
          <w:color w:val="auto"/>
        </w:rPr>
        <w:t xml:space="preserve">Revolving loans </w:t>
      </w:r>
      <w:r>
        <w:rPr>
          <w:rFonts w:ascii="Arial" w:cs="Arial" w:eastAsia="Arial" w:hAnsi="Arial"/>
          <w:sz w:val="16"/>
          <w:szCs w:val="16"/>
          <w:color w:val="auto"/>
        </w:rPr>
        <w:t>— Revolving loans offered under private label credit financing programs provide qualified customers with a revolving credit line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164"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i w:val="1"/>
          <w:iCs w:val="1"/>
          <w:color w:val="auto"/>
        </w:rPr>
        <w:t xml:space="preserve">Fixed-term leases and loans </w:t>
      </w:r>
      <w:r>
        <w:rPr>
          <w:rFonts w:ascii="Arial" w:cs="Arial" w:eastAsia="Arial" w:hAnsi="Arial"/>
          <w:sz w:val="17"/>
          <w:szCs w:val="17"/>
          <w:color w:val="auto"/>
        </w:rPr>
        <w:t>— The Company enters into financing arrangements with customers who seek lease financing for equipment they might</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purchase. Pursuant to the current lease accounting standard effective February 2, 2019, new DFS leases are classified as sales-type leases, direct financing leases, or operating leases. When the terms of the DFS lease transfer control of the underlying asset to the lessee, the contract is typically classified as a sales-type lease. Direct financing leases are immaterial. All other new DFS leases are classified as operating leases. Leases that commenced prior to the effective date of the current lease accounting standard continue to be accounted for under previous lease accounting guidance. Leases with business customers have fixed terms of generally two to four years.</w:t>
      </w:r>
    </w:p>
    <w:p>
      <w:pPr>
        <w:spacing w:after="0" w:line="178"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the Company’s financing receivables segregated by portfolio segment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May 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January 31,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Revolving</w:t>
            </w:r>
          </w:p>
        </w:tc>
        <w:tc>
          <w:tcPr>
            <w:tcW w:w="16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Fixed-term</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Revolving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Fixed-term</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Customer receivables, gross (a)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9,310</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losses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Customer receivables, net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9,161</w:t>
            </w:r>
          </w:p>
        </w:tc>
      </w:tr>
      <w:tr>
        <w:trPr>
          <w:trHeight w:val="27"/>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Residual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97"/>
        </w:trPr>
        <w:tc>
          <w:tcPr>
            <w:tcW w:w="3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receivables,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8,989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9,743</w:t>
            </w:r>
          </w:p>
        </w:tc>
      </w:tr>
      <w:tr>
        <w:trPr>
          <w:trHeight w:val="237"/>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w:t>
            </w: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240" w:hanging="332"/>
        <w:spacing w:after="0" w:line="26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receivables, gross includes amounts due from customers under revolving loans, fixed-term loans, fixed-term sales-type or direct financing leases, and accrued interest.</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allowance for losses as of May 1, 2020 includes the adoption of the new CECL standard, which was adopted as of February 1, 2020 using the modified retrospective method. Prior period amounts have not been recast. The provision recognized on the Condensed Consolidated Statements of Income (Loss) during the three months ended May 1, 2020 is based on an assessment of the impact of current and expected future economic conditions, inclusive of the effect of the COVID-19 pandemic on credit losses. The duration and severity of COVID-19 and continued market volatility is highly uncertain and, as such, the impact on expected losses is subject to significant judgment and may cause variability in the Company’s allowance for credit losses in future periods. See Note 1 and Note 2 of the Notes to the Condensed Consolidated Financial Statements for additional information about the new CECL standard.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allowance for financing receivable losses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May 1, 2020</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3, 2019</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Revolving</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18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Revolving</w:t>
            </w: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Allowance for financing receivable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Balances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for adoption of the new CECL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standard (Note 1)</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Charge-offs, net of recoveries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57"/>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Aging</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the aging of the Company’s customer financing receivables, gross, including accrued interest, segregated by class,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ind w:left="480"/>
              <w:spacing w:after="0"/>
              <w:rPr>
                <w:sz w:val="20"/>
                <w:szCs w:val="20"/>
                <w:color w:val="auto"/>
              </w:rPr>
            </w:pPr>
            <w:r>
              <w:rPr>
                <w:rFonts w:ascii="Arial" w:cs="Arial" w:eastAsia="Arial" w:hAnsi="Arial"/>
                <w:sz w:val="18"/>
                <w:szCs w:val="18"/>
                <w:b w:val="1"/>
                <w:bCs w:val="1"/>
                <w:color w:val="auto"/>
              </w:rPr>
              <w:t>May 1, 2020</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ind w:left="280"/>
              <w:spacing w:after="0"/>
              <w:rPr>
                <w:sz w:val="20"/>
                <w:szCs w:val="20"/>
                <w:color w:val="auto"/>
              </w:rPr>
            </w:pPr>
            <w:r>
              <w:rPr>
                <w:rFonts w:ascii="Arial" w:cs="Arial" w:eastAsia="Arial" w:hAnsi="Arial"/>
                <w:sz w:val="18"/>
                <w:szCs w:val="18"/>
                <w:b w:val="1"/>
                <w:bCs w:val="1"/>
                <w:color w:val="auto"/>
              </w:rPr>
              <w:t>January 31, 2020</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Past Due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Past Due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1—90</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1—90</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5"/>
          </w:tcPr>
          <w:p>
            <w:pPr>
              <w:ind w:left="42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Fixed-term — Consumer and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09"/>
        </w:trPr>
        <w:tc>
          <w:tcPr>
            <w:tcW w:w="2380" w:type="dxa"/>
            <w:vAlign w:val="bottom"/>
          </w:tcPr>
          <w:p>
            <w:pPr>
              <w:ind w:left="180"/>
              <w:spacing w:after="0"/>
              <w:rPr>
                <w:sz w:val="20"/>
                <w:szCs w:val="20"/>
                <w:color w:val="auto"/>
              </w:rPr>
            </w:pPr>
            <w:r>
              <w:rPr>
                <w:rFonts w:ascii="Arial" w:cs="Arial" w:eastAsia="Arial" w:hAnsi="Arial"/>
                <w:sz w:val="18"/>
                <w:szCs w:val="18"/>
                <w:color w:val="auto"/>
                <w:w w:val="99"/>
              </w:rPr>
              <w:t>Total customer receivables,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7,672</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8,739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242"/>
        </w:trPr>
        <w:tc>
          <w:tcPr>
            <w:tcW w:w="2380" w:type="dxa"/>
            <w:vAlign w:val="bottom"/>
          </w:tcPr>
          <w:p>
            <w:pPr>
              <w:ind w:left="180"/>
              <w:spacing w:after="0"/>
              <w:rPr>
                <w:sz w:val="20"/>
                <w:szCs w:val="20"/>
                <w:color w:val="auto"/>
              </w:rPr>
            </w:pPr>
            <w:r>
              <w:rPr>
                <w:rFonts w:ascii="Arial" w:cs="Arial" w:eastAsia="Arial" w:hAnsi="Arial"/>
                <w:sz w:val="18"/>
                <w:szCs w:val="18"/>
                <w:color w:val="auto"/>
              </w:rPr>
              <w:t>gross</w:t>
            </w: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Aging is likely to fluctuate as a result of the variability in volume of large transactions entered into over the period, and the administrative processes that accompany those larger transactions. Aging is also impacted by the timing of Dell Technologies fiscal period end date, relative to calendar month-end customer payment due dates. As a result of these factors, fluctuations in aging from period to period do not necessarily indicate a material change in the collectibility of the portfolio.</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Fixed-term consumer and commercial customer receivables are placed on non-accrual status if principal or interest is past due and considered delinquent, or if there is concern about collectibility of a specific customer receivable. These receivables identified as doubtful for collectibility may be classified as current for aging purposes. Aged revolving portfolio customer receivables identified as delinquent are charged off.</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customer receivables, gross, including accrued interest, by credit quality indicator segregated by class and year of origination, as of the date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300"/>
              <w:spacing w:after="0"/>
              <w:rPr>
                <w:sz w:val="20"/>
                <w:szCs w:val="20"/>
                <w:color w:val="auto"/>
              </w:rPr>
            </w:pPr>
            <w:r>
              <w:rPr>
                <w:rFonts w:ascii="Arial" w:cs="Arial" w:eastAsia="Arial" w:hAnsi="Arial"/>
                <w:sz w:val="18"/>
                <w:szCs w:val="18"/>
                <w:b w:val="1"/>
                <w:bCs w:val="1"/>
                <w:color w:val="auto"/>
              </w:rPr>
              <w:t>May 1, 2020</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11"/>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gridSpan w:val="11"/>
          </w:tcPr>
          <w:p>
            <w:pPr>
              <w:jc w:val="center"/>
              <w:ind w:right="340"/>
              <w:spacing w:after="0"/>
              <w:rPr>
                <w:sz w:val="20"/>
                <w:szCs w:val="20"/>
                <w:color w:val="auto"/>
              </w:rPr>
            </w:pPr>
            <w:r>
              <w:rPr>
                <w:rFonts w:ascii="Arial" w:cs="Arial" w:eastAsia="Arial" w:hAnsi="Arial"/>
                <w:sz w:val="18"/>
                <w:szCs w:val="18"/>
                <w:b w:val="1"/>
                <w:bCs w:val="1"/>
                <w:color w:val="auto"/>
                <w:w w:val="91"/>
              </w:rPr>
              <w:t>Fixed-term — Consumer and Commercial</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12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1"/>
              </w:rPr>
              <w:t>Fiscal Year of Origination</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
        </w:trPr>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8"/>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Revolving —</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Revolving —</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Prior</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DPA (a)</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DBC (a)</w:t>
            </w: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ind w:left="32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5,378</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Mid</w:t>
            </w:r>
          </w:p>
        </w:tc>
        <w:tc>
          <w:tcPr>
            <w:tcW w:w="2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2,053</w:t>
            </w:r>
          </w:p>
        </w:tc>
      </w:tr>
      <w:tr>
        <w:trPr>
          <w:trHeight w:val="27"/>
        </w:trPr>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r>
      <w:tr>
        <w:trPr>
          <w:trHeight w:val="250"/>
        </w:trPr>
        <w:tc>
          <w:tcPr>
            <w:tcW w:w="124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8255</wp:posOffset>
            </wp:positionV>
            <wp:extent cx="6343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-130175</wp:posOffset>
            </wp:positionV>
            <wp:extent cx="6343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3" w:lineRule="exact"/>
        <w:rPr>
          <w:sz w:val="20"/>
          <w:szCs w:val="20"/>
          <w:color w:val="auto"/>
        </w:rPr>
      </w:pPr>
    </w:p>
    <w:p>
      <w:pPr>
        <w:ind w:left="340" w:right="26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revolving portfolio is exempt from the requirement to disclose the amortized cost basis by year of origination since determining the appropriate origination year can be complex due to the nature of the revolving portfolio.</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customer receivables, gross, including accrued interest, by credit quality indicator segregated by class, as of the date indicated, and was not recast to reflect the impact of adoption of the new CECL standard: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gridSpan w:val="5"/>
          </w:tcPr>
          <w:p>
            <w:pPr>
              <w:ind w:left="1300"/>
              <w:spacing w:after="0"/>
              <w:rPr>
                <w:sz w:val="20"/>
                <w:szCs w:val="20"/>
                <w:color w:val="auto"/>
              </w:rPr>
            </w:pPr>
            <w:r>
              <w:rPr>
                <w:rFonts w:ascii="Arial" w:cs="Arial" w:eastAsia="Arial" w:hAnsi="Arial"/>
                <w:sz w:val="18"/>
                <w:szCs w:val="18"/>
                <w:b w:val="1"/>
                <w:bCs w:val="1"/>
                <w:color w:val="auto"/>
              </w:rPr>
              <w:t>January 31, 2020</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18"/>
                <w:szCs w:val="18"/>
                <w:color w:val="auto"/>
              </w:rPr>
            </w:pPr>
          </w:p>
        </w:tc>
        <w:tc>
          <w:tcPr>
            <w:tcW w:w="22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Fixed-term — Consumer</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and Commercial</w:t>
            </w:r>
          </w:p>
        </w:tc>
        <w:tc>
          <w:tcPr>
            <w:tcW w:w="24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Revolving — DPA</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Revolving — DBC</w:t>
            </w:r>
          </w:p>
        </w:tc>
        <w:tc>
          <w:tcPr>
            <w:tcW w:w="500" w:type="dxa"/>
            <w:vAlign w:val="bottom"/>
          </w:tcPr>
          <w:p>
            <w:pPr>
              <w:spacing w:after="0"/>
              <w:rPr>
                <w:sz w:val="20"/>
                <w:szCs w:val="20"/>
                <w:color w:val="auto"/>
              </w:rPr>
            </w:pPr>
          </w:p>
        </w:tc>
        <w:tc>
          <w:tcPr>
            <w:tcW w:w="1640" w:type="dxa"/>
            <w:vAlign w:val="bottom"/>
          </w:tcPr>
          <w:p>
            <w:pPr>
              <w:jc w:val="right"/>
              <w:ind w:right="770"/>
              <w:spacing w:after="0"/>
              <w:rPr>
                <w:sz w:val="20"/>
                <w:szCs w:val="20"/>
                <w:color w:val="auto"/>
              </w:rPr>
            </w:pPr>
            <w:r>
              <w:rPr>
                <w:rFonts w:ascii="Arial" w:cs="Arial" w:eastAsia="Arial" w:hAnsi="Arial"/>
                <w:sz w:val="18"/>
                <w:szCs w:val="18"/>
                <w:b w:val="1"/>
                <w:bCs w:val="1"/>
                <w:color w:val="auto"/>
              </w:rPr>
              <w:t>Total</w:t>
            </w:r>
          </w:p>
        </w:tc>
      </w:tr>
      <w:tr>
        <w:trPr>
          <w:trHeight w:val="27"/>
        </w:trPr>
        <w:tc>
          <w:tcPr>
            <w:tcW w:w="2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40" w:type="dxa"/>
            <w:vAlign w:val="bottom"/>
            <w:gridSpan w:val="5"/>
          </w:tcPr>
          <w:p>
            <w:pPr>
              <w:ind w:left="1520"/>
              <w:spacing w:after="0"/>
              <w:rPr>
                <w:sz w:val="20"/>
                <w:szCs w:val="20"/>
                <w:color w:val="auto"/>
              </w:rPr>
            </w:pPr>
            <w:r>
              <w:rPr>
                <w:rFonts w:ascii="Arial" w:cs="Arial" w:eastAsia="Arial" w:hAnsi="Arial"/>
                <w:sz w:val="18"/>
                <w:szCs w:val="18"/>
                <w:color w:val="auto"/>
              </w:rPr>
              <w:t>(in millions)</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5,234</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Mid</w:t>
            </w:r>
          </w:p>
        </w:tc>
        <w:tc>
          <w:tcPr>
            <w:tcW w:w="26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ind w:left="15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2,274</w:t>
            </w:r>
          </w:p>
        </w:tc>
      </w:tr>
      <w:tr>
        <w:trPr>
          <w:trHeight w:val="27"/>
        </w:trPr>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57"/>
        </w:trPr>
        <w:tc>
          <w:tcPr>
            <w:tcW w:w="238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9,310</w:t>
            </w:r>
          </w:p>
        </w:tc>
      </w:tr>
      <w:tr>
        <w:trPr>
          <w:trHeight w:val="20"/>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categories shown in the tables above segregate customer receivables based on the relative degrees of credit risk. The credit quality indicators for DPA revolving accounts are measured primarily as of each quarter-end date, while all other indicators are generally updated on a periodic basis.</w:t>
      </w:r>
    </w:p>
    <w:p>
      <w:pPr>
        <w:spacing w:after="0" w:line="1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DPA revolving receivables shown in the table above,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on sales-type lease receivables was $65 million and $64 million for the three months ended May 1, 2020 and May 3, 2019, respectively.</w:t>
      </w:r>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presents the net revenue, cost of net revenue, and gross margin recognized at the commencement date of sales-type leases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40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May 1, 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May 3, 2019</w:t>
            </w:r>
          </w:p>
        </w:tc>
        <w:tc>
          <w:tcPr>
            <w:tcW w:w="5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360" w:type="dxa"/>
            <w:vAlign w:val="bottom"/>
            <w:gridSpan w:val="3"/>
          </w:tcPr>
          <w:p>
            <w:pPr>
              <w:jc w:val="right"/>
              <w:ind w:right="1230"/>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 xml:space="preserve">Cost of net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1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66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18"/>
                <w:szCs w:val="18"/>
                <w:i w:val="1"/>
                <w:iCs w:val="1"/>
                <w:color w:val="auto"/>
              </w:rPr>
              <w:t>—</w:t>
            </w:r>
            <w:r>
              <w:rPr>
                <w:rFonts w:ascii="Arial" w:cs="Arial" w:eastAsia="Arial" w:hAnsi="Arial"/>
                <w:sz w:val="18"/>
                <w:szCs w:val="18"/>
                <w:color w:val="auto"/>
              </w:rPr>
              <w:t xml:space="preserve"> products</w:t>
            </w:r>
          </w:p>
        </w:tc>
        <w:tc>
          <w:tcPr>
            <w:tcW w:w="172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0"/>
        </w:trPr>
        <w:tc>
          <w:tcPr>
            <w:tcW w:w="6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following table presents the future maturity of the Company’s fixed-term customer leases and associated financing payments, and reconciles the undiscounted cash flows to the customer receivables, gross recognized on the Condensed Consolidated Statements of Financial Position as of the date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1, 2020</w:t>
            </w:r>
          </w:p>
        </w:tc>
        <w:tc>
          <w:tcPr>
            <w:tcW w:w="0" w:type="dxa"/>
            <w:vAlign w:val="bottom"/>
          </w:tcPr>
          <w:p>
            <w:pPr>
              <w:spacing w:after="0"/>
              <w:rPr>
                <w:sz w:val="1"/>
                <w:szCs w:val="1"/>
                <w:color w:val="auto"/>
              </w:rPr>
            </w:pPr>
          </w:p>
        </w:tc>
      </w:tr>
      <w:tr>
        <w:trPr>
          <w:trHeight w:val="27"/>
        </w:trPr>
        <w:tc>
          <w:tcPr>
            <w:tcW w:w="9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Years</w:t>
            </w: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 (remaining nine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2025 and beyond</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9100" w:type="dxa"/>
            <w:vAlign w:val="bottom"/>
          </w:tcPr>
          <w:p>
            <w:pPr>
              <w:ind w:left="180"/>
              <w:spacing w:after="0"/>
              <w:rPr>
                <w:sz w:val="20"/>
                <w:szCs w:val="20"/>
                <w:color w:val="auto"/>
              </w:rPr>
            </w:pPr>
            <w:r>
              <w:rPr>
                <w:rFonts w:ascii="Arial" w:cs="Arial" w:eastAsia="Arial" w:hAnsi="Arial"/>
                <w:sz w:val="18"/>
                <w:szCs w:val="18"/>
                <w:b w:val="1"/>
                <w:bCs w:val="1"/>
                <w:color w:val="auto"/>
              </w:rPr>
              <w:t>Total undiscounted cash flows</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Revolving loans</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7"/>
        </w:trPr>
        <w:tc>
          <w:tcPr>
            <w:tcW w:w="9100" w:type="dxa"/>
            <w:vAlign w:val="bottom"/>
          </w:tcPr>
          <w:p>
            <w:pPr>
              <w:ind w:left="180"/>
              <w:spacing w:after="0"/>
              <w:rPr>
                <w:sz w:val="20"/>
                <w:szCs w:val="20"/>
                <w:color w:val="auto"/>
              </w:rPr>
            </w:pPr>
            <w:r>
              <w:rPr>
                <w:rFonts w:ascii="Arial" w:cs="Arial" w:eastAsia="Arial" w:hAnsi="Arial"/>
                <w:sz w:val="18"/>
                <w:szCs w:val="18"/>
                <w:b w:val="1"/>
                <w:bCs w:val="1"/>
                <w:color w:val="auto"/>
              </w:rPr>
              <w:t>Total customer receivables, gross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9,232</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components of the Company’s operating lease portfolio included in Property, plant, and equipment, net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May 1, 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January 31, 2020</w:t>
            </w:r>
          </w:p>
        </w:tc>
      </w:tr>
      <w:tr>
        <w:trPr>
          <w:trHeight w:val="27"/>
        </w:trPr>
        <w:tc>
          <w:tcPr>
            <w:tcW w:w="68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under operating lease, gross</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5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6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under operating lease, net</w:t>
            </w: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r>
      <w:tr>
        <w:trPr>
          <w:trHeight w:val="20"/>
        </w:trPr>
        <w:tc>
          <w:tcPr>
            <w:tcW w:w="6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income relating to lease payments was $87 million and $4 million for the three months ended May 1, 2020 and May 3,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$62 million and $3 million for the three months ended May 1, 2020 and May 3, 2019,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future payments to be received by the Company as lessor in operating lease contracts as of the date indicated:</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Fiscal 2021 (remaining nine months)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Fiscal 2025 and beyond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millions)</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306</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0"/>
          <w:szCs w:val="20"/>
          <w:color w:val="auto"/>
        </w:rPr>
      </w:pPr>
    </w:p>
    <w:p>
      <w:pPr>
        <w:spacing w:after="0"/>
        <w:tabs>
          <w:tab w:leader="none" w:pos="16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53975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71120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8300" w:space="720"/>
            <w:col w:w="2100"/>
          </w:cols>
          <w:pgMar w:left="320" w:top="12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125" w:right="4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loan and lease payments and associated equipment. The following table presents DFS debt as of the dates indicated. The table excludes the allocated portion of the Company’s other borrowings, which represents the additional amount considered to fund the DFS business.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May 1, 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January 31, 2020</w:t>
            </w:r>
          </w:p>
        </w:tc>
      </w:tr>
      <w:tr>
        <w:trPr>
          <w:trHeight w:val="27"/>
        </w:trPr>
        <w:tc>
          <w:tcPr>
            <w:tcW w:w="68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DFS U.S. debt:</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Asset-based financing and securitization facilities</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2,429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2,606</w:t>
            </w:r>
          </w:p>
        </w:tc>
      </w:tr>
      <w:tr>
        <w:trPr>
          <w:trHeight w:val="27"/>
        </w:trPr>
        <w:tc>
          <w:tcPr>
            <w:tcW w:w="6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Fixed-term securitization offerings</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2,593</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6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DFS U.S. debt</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5,797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DFS international debt:</w:t>
            </w:r>
          </w:p>
        </w:tc>
        <w:tc>
          <w:tcPr>
            <w:tcW w:w="1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 facility</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Other borrowings</w:t>
            </w:r>
          </w:p>
        </w:tc>
        <w:tc>
          <w:tcPr>
            <w:tcW w:w="1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6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Dell Bank Senior Unsecured Eurobonds</w:t>
            </w:r>
          </w:p>
        </w:tc>
        <w:tc>
          <w:tcPr>
            <w:tcW w:w="15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551</w:t>
            </w:r>
          </w:p>
        </w:tc>
      </w:tr>
      <w:tr>
        <w:trPr>
          <w:trHeight w:val="27"/>
        </w:trPr>
        <w:tc>
          <w:tcPr>
            <w:tcW w:w="68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DFS international debt</w:t>
            </w:r>
          </w:p>
        </w:tc>
        <w:tc>
          <w:tcPr>
            <w:tcW w:w="15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r>
      <w:tr>
        <w:trPr>
          <w:trHeight w:val="297"/>
        </w:trPr>
        <w:tc>
          <w:tcPr>
            <w:tcW w:w="6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DFS debt</w:t>
            </w:r>
          </w:p>
        </w:tc>
        <w:tc>
          <w:tcPr>
            <w:tcW w:w="1580" w:type="dxa"/>
            <w:vAlign w:val="bottom"/>
            <w:tcBorders>
              <w:top w:val="single" w:sz="8" w:color="auto"/>
              <w:bottom w:val="single" w:sz="8" w:color="auto"/>
            </w:tcBorders>
          </w:tcPr>
          <w:p>
            <w:pPr>
              <w:jc w:val="right"/>
              <w:ind w:right="13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8,269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7,765</w:t>
            </w:r>
          </w:p>
        </w:tc>
      </w:tr>
      <w:tr>
        <w:trPr>
          <w:trHeight w:val="237"/>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short-term DFS debt</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4,397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4,152</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b w:val="1"/>
                <w:bCs w:val="1"/>
                <w:color w:val="auto"/>
              </w:rPr>
              <w:t>Total long-term DFS debt</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3,872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3,613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U.S. Debt</w:t>
      </w:r>
    </w:p>
    <w:p>
      <w:pPr>
        <w:spacing w:after="0" w:line="22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Asset-Based Financing and Securitization Facilities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maintains separate asset-based financing facilities and a securitization facility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which are revolving facilities for fixed-term leases and loans and for revolving loans, respectively. This debt is collateralized solely by the U.S. loan and lease payments and associated equipment in the facilities. The debt has a variable interest rate and the duration of the debt is based on the terms of the underlying loan and lease payment streams. As of May 1, 2020, the total debt capacity related to the U.S. asset-based financing and securitization facilities was $4.0 billion. The Company enters into interest swap agreements to effectively convert a portion of this debt from a floating rate to a fixed rate. See Note 7 of the Notes to the Condensed Consolidated Financial Statements for additional information about interest rate swaps.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U.S. securitization facility for revolving loans is effective through June 25, 2022. The Company’s two U.S. asset-based financing facilities for fixed-term leases and loans are effective through August 22, 2021 and July 26, 2022, respectively.</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asset-based financing and securitization facilities contain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May 1, 2020, these criteria were met.</w:t>
      </w:r>
    </w:p>
    <w:p>
      <w:pPr>
        <w:spacing w:after="0" w:line="16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i w:val="1"/>
          <w:iCs w:val="1"/>
          <w:color w:val="auto"/>
        </w:rPr>
        <w:t xml:space="preserve">Fixed-Term Securitization Offerings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periodically issues asset-backed debt securities under fixed-term securitization programs to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The asset-backed debt securities are collateralized solely by the U.S. fixed-term leases and loans in the offerings, which are held by Special Purpose Entities (“SPEs”), as discussed below. The interest rate on these securities is fixed and ranges from 1.91% to 5.92% per annum, and the duration of these securities is based on the terms of the underlying loan and lease payment streams.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International Debt</w:t>
      </w:r>
    </w:p>
    <w:p>
      <w:pPr>
        <w:spacing w:after="0" w:line="221"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 xml:space="preserve">Securitization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securitization facility in Europe for fixed-term leases and loans. This facility is effective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21, 2020 and has a total debt capacity of $876 million as of May 1, 2020.</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May 1, 2020, these criteria were met.</w:t>
      </w:r>
    </w:p>
    <w:p>
      <w:pPr>
        <w:spacing w:after="0" w:line="18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Other Borrowings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Company’s international financing operations, the Company has entered into revolving structured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programs related to its fixed-term lease and loan products sold in Canada, Europe, Australia, and New Zealand. The Canadian facility, which is collateralized solely by Canadian loan and lease payments and associated equipment, had a total debt capacity of $269 million as of May 1, 2020, and is effective through January 16, 2023. The European facility, which is collateralized solely by European loan and lease payments and associated equipment, had a total debt capacity of $657 million as of May 1, 2020, and is effective through June 14, 2022. The Australia and New Zealand facility, which is collateralized solely by Australia and New Zealand loan and lease payments and associated equipment, had a total debt capacity of $228 million as of May 1, 2020, and is effective through December 20, 2021.</w:t>
      </w:r>
    </w:p>
    <w:p>
      <w:pPr>
        <w:spacing w:after="0" w:line="172"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i w:val="1"/>
          <w:iCs w:val="1"/>
          <w:color w:val="auto"/>
        </w:rPr>
        <w:t xml:space="preserve">Note Payable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27, 2017, the Company entered into an unsecured credit agreement to fund receivables in Mexico. As of May 1,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the note payable is $181 million. The note bears interest at either the applicable London Interbank Offered Rate (“LIBOR”) plus 2.25%, for the borrowings denominated in U.S. dollars, or the Mexican Interbank Equilibrium Interest Rate (“TIIE”) plus 2.00%, for the borrowings denominated in Mexican pesos. The note will mature on December 1, 2020.</w:t>
      </w:r>
    </w:p>
    <w:p>
      <w:pPr>
        <w:spacing w:after="0" w:line="180" w:lineRule="exact"/>
        <w:rPr>
          <w:sz w:val="20"/>
          <w:szCs w:val="20"/>
          <w:color w:val="auto"/>
        </w:rPr>
      </w:pPr>
    </w:p>
    <w:p>
      <w:pPr>
        <w:jc w:val="both"/>
        <w:ind w:right="380"/>
        <w:spacing w:after="0" w:line="347" w:lineRule="auto"/>
        <w:rPr>
          <w:sz w:val="20"/>
          <w:szCs w:val="20"/>
          <w:color w:val="auto"/>
        </w:rPr>
      </w:pPr>
      <w:r>
        <w:rPr>
          <w:rFonts w:ascii="Arial" w:cs="Arial" w:eastAsia="Arial" w:hAnsi="Arial"/>
          <w:sz w:val="16"/>
          <w:szCs w:val="16"/>
          <w:i w:val="1"/>
          <w:iCs w:val="1"/>
          <w:color w:val="auto"/>
        </w:rPr>
        <w:t xml:space="preserve">Dell Bank Senior Unsecured Eurobonds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17, 2019, Dell Bank International D.A.C. issued 500 million Euro of 0.625% senior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 eurobonds due October 2022. The issuance of the senior unsecured eurobonds supports the expansion of the financing operations in Europe.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connection with the asset-based financing facilities, securitization facilities, and fixed-term securitization offerings discussed above, the Company transfers certain U.S. and European loan and lease payments and associated equipment to SPEs that meet the definition of a Variable Interest Entity (“VIE”) and are consolidated, along with the associated debt detailed above, into the Consolidated Financial Statements, as the Company is the primary beneficiary of those VIEs. The SPEs are bankruptcy-remote legal entities with separate assets and liabilities. The purpose of the SPEs is to facilitate the funding of customer loan and lease payments and associated equipment in the capital markets.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financing receivables and equipment under operating leases, net held by the consolidated VIEs as of the dates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May 1, 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January 31, 2020</w:t>
            </w:r>
          </w:p>
        </w:tc>
      </w:tr>
      <w:tr>
        <w:trPr>
          <w:trHeight w:val="27"/>
        </w:trPr>
        <w:tc>
          <w:tcPr>
            <w:tcW w:w="68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 held by consolidated VIEs, net:</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Short-term, net</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3,384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3,316</w:t>
            </w:r>
          </w:p>
        </w:tc>
      </w:tr>
      <w:tr>
        <w:trPr>
          <w:trHeight w:val="27"/>
        </w:trPr>
        <w:tc>
          <w:tcPr>
            <w:tcW w:w="6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net</w:t>
            </w:r>
          </w:p>
        </w:tc>
        <w:tc>
          <w:tcPr>
            <w:tcW w:w="15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3,628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Assets held by consolidated VIEs, net</w:t>
            </w:r>
          </w:p>
        </w:tc>
        <w:tc>
          <w:tcPr>
            <w:tcW w:w="1580" w:type="dxa"/>
            <w:vAlign w:val="bottom"/>
            <w:tcBorders>
              <w:top w:val="single" w:sz="8" w:color="auto"/>
              <w:bottom w:val="single" w:sz="8" w:color="auto"/>
            </w:tcBorders>
          </w:tcPr>
          <w:p>
            <w:pPr>
              <w:jc w:val="right"/>
              <w:ind w:right="13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7,012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6,664</w:t>
            </w:r>
          </w:p>
        </w:tc>
      </w:tr>
      <w:tr>
        <w:trPr>
          <w:trHeight w:val="20"/>
        </w:trPr>
        <w:tc>
          <w:tcPr>
            <w:tcW w:w="6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Loan and lease payments and associated equipment transferred via securitization through SPEs were $1.8 billion and $1.5 billion for the three months ended May 1, 2020 and May 3, 2019,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Some of the SPEs have entered into financing arrangements with multi-seller conduits that, in turn, issue asset-backed debt securities in the capital markets. The DFS debt outstanding, which is collateralized by the loan and lease payments and associated equipment held by the consolidated VIEs, was $6.5 billion and $5.9 billion as of May 1, 2020 and January 31, 2020, respectively.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securitizations in the form of over-collateralization.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Receivables Sales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manage certain concentrations of customer credit exposure, the Company may sell selected fixed-term customer receivables to unrelated third parties on a periodic basis, without recourse. The amount of customer receivables sold for this purpose was $21 million and $101 million for the three months ended May 1, 2020 and May 3, 2019, respectively. The Company’s continuing involvement in the above mentioned customer receivables is primarily limited to servicing arrangements.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Company enters into leasing transactions in which the Company is the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May 1, 2020, the remaining terms of the Company’s leases range from less than one month to 26 years.</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also enters into leasing transactions in which the Company is the lessor, primarily through customer financing arrangements offered through DFS. DFS originates leases that are primarily classified as either sales-type leases or operating leases. See Note 4 of the Notes to the Condensed Consolidated Financial Statements for more information on the DFS lease portfolio and related lease disclosures.</w:t>
      </w:r>
    </w:p>
    <w:p>
      <w:pPr>
        <w:spacing w:after="0" w:line="184"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In adopting the current lease accounting standard effective February 2, 2019, the Company elected to apply a transition method that does not require the retrospective application to periods prior to the effective date. Financial information associated with the Company’s leases in which the Company is the lessee is contained in this Note. As of May 1, 2020 and January 31, 2020, there were no material finance leases for which the Company was a lessee.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components of lease costs included in the Condensed Consolidated Statements of Income (Loss)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May 1, 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 2019</w:t>
            </w:r>
          </w:p>
        </w:tc>
        <w:tc>
          <w:tcPr>
            <w:tcW w:w="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60" w:type="dxa"/>
            <w:vAlign w:val="bottom"/>
            <w:gridSpan w:val="3"/>
          </w:tcPr>
          <w:p>
            <w:pPr>
              <w:jc w:val="right"/>
              <w:ind w:right="1150"/>
              <w:spacing w:after="0"/>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Variable costs</w:t>
            </w:r>
          </w:p>
        </w:tc>
        <w:tc>
          <w:tcPr>
            <w:tcW w:w="16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costs</w:t>
            </w:r>
          </w:p>
        </w:tc>
        <w:tc>
          <w:tcPr>
            <w:tcW w:w="1640" w:type="dxa"/>
            <w:vAlign w:val="bottom"/>
            <w:tcBorders>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0"/>
        </w:trPr>
        <w:tc>
          <w:tcPr>
            <w:tcW w:w="6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During both the three months ended May 1, 2020 and May 3, 2019, sublease income, finance lease costs, and short-term lease costs were immaterial.</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supplemental information related to operating leases included in the Condensed Consolidated Statements of Financial Position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540" w:type="dxa"/>
            <w:vAlign w:val="bottom"/>
            <w:gridSpan w:val="2"/>
          </w:tcPr>
          <w:p>
            <w:pPr>
              <w:ind w:left="1200"/>
              <w:spacing w:after="0"/>
              <w:rPr>
                <w:sz w:val="20"/>
                <w:szCs w:val="20"/>
                <w:color w:val="auto"/>
              </w:rPr>
            </w:pPr>
            <w:r>
              <w:rPr>
                <w:rFonts w:ascii="Arial" w:cs="Arial" w:eastAsia="Arial" w:hAnsi="Arial"/>
                <w:sz w:val="18"/>
                <w:szCs w:val="18"/>
                <w:b w:val="1"/>
                <w:bCs w:val="1"/>
                <w:color w:val="auto"/>
              </w:rPr>
              <w:t>Classification</w:t>
            </w:r>
          </w:p>
        </w:tc>
        <w:tc>
          <w:tcPr>
            <w:tcW w:w="180" w:type="dxa"/>
            <w:vAlign w:val="bottom"/>
          </w:tcPr>
          <w:p>
            <w:pPr>
              <w:spacing w:after="0"/>
              <w:rPr>
                <w:sz w:val="20"/>
                <w:szCs w:val="20"/>
                <w:color w:val="auto"/>
              </w:rPr>
            </w:pPr>
          </w:p>
        </w:tc>
        <w:tc>
          <w:tcPr>
            <w:tcW w:w="1780" w:type="dxa"/>
            <w:vAlign w:val="bottom"/>
            <w:gridSpan w:val="2"/>
          </w:tcPr>
          <w:p>
            <w:pPr>
              <w:ind w:left="280"/>
              <w:spacing w:after="0"/>
              <w:rPr>
                <w:sz w:val="20"/>
                <w:szCs w:val="20"/>
                <w:color w:val="auto"/>
              </w:rPr>
            </w:pPr>
            <w:r>
              <w:rPr>
                <w:rFonts w:ascii="Arial" w:cs="Arial" w:eastAsia="Arial" w:hAnsi="Arial"/>
                <w:sz w:val="18"/>
                <w:szCs w:val="18"/>
                <w:b w:val="1"/>
                <w:bCs w:val="1"/>
                <w:color w:val="auto"/>
              </w:rPr>
              <w:t>May 1, 2020</w:t>
            </w:r>
          </w:p>
        </w:tc>
        <w:tc>
          <w:tcPr>
            <w:tcW w:w="20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31, 2020</w:t>
            </w:r>
          </w:p>
        </w:tc>
      </w:tr>
      <w:tr>
        <w:trPr>
          <w:trHeight w:val="27"/>
        </w:trPr>
        <w:tc>
          <w:tcPr>
            <w:tcW w:w="386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gridSpan w:val="4"/>
          </w:tcPr>
          <w:p>
            <w:pPr>
              <w:jc w:val="right"/>
              <w:ind w:right="150"/>
              <w:spacing w:after="0"/>
              <w:rPr>
                <w:sz w:val="20"/>
                <w:szCs w:val="20"/>
                <w:color w:val="auto"/>
              </w:rPr>
            </w:pPr>
            <w:r>
              <w:rPr>
                <w:rFonts w:ascii="Arial" w:cs="Arial" w:eastAsia="Arial" w:hAnsi="Arial"/>
                <w:sz w:val="18"/>
                <w:szCs w:val="18"/>
                <w:color w:val="auto"/>
                <w:w w:val="93"/>
              </w:rPr>
              <w:t>(in millions, except for term and discount rate)</w:t>
            </w:r>
          </w:p>
        </w:tc>
      </w:tr>
      <w:tr>
        <w:trPr>
          <w:trHeight w:val="27"/>
        </w:trPr>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 of use (“ROU”) assets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1,780</w:t>
            </w:r>
          </w:p>
        </w:tc>
      </w:tr>
      <w:tr>
        <w:trPr>
          <w:trHeight w:val="324"/>
        </w:trPr>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operating lease liabilities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432</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Non-current operating lease liabilities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1,360</w:t>
            </w:r>
          </w:p>
        </w:tc>
      </w:tr>
      <w:tr>
        <w:trPr>
          <w:trHeight w:val="27"/>
        </w:trPr>
        <w:tc>
          <w:tcPr>
            <w:tcW w:w="38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3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1,792</w:t>
            </w:r>
          </w:p>
        </w:tc>
      </w:tr>
      <w:tr>
        <w:trPr>
          <w:trHeight w:val="20"/>
        </w:trPr>
        <w:tc>
          <w:tcPr>
            <w:tcW w:w="3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311"/>
        </w:trPr>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Weighted-average remaining lease term (in years)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8.57</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leases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3"/>
          </w:tcPr>
          <w:p>
            <w:pPr>
              <w:ind w:left="102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ind w:left="240"/>
              <w:spacing w:after="0"/>
              <w:rPr>
                <w:sz w:val="20"/>
                <w:szCs w:val="20"/>
                <w:color w:val="auto"/>
              </w:rPr>
            </w:pPr>
            <w:r>
              <w:rPr>
                <w:rFonts w:ascii="Arial" w:cs="Arial" w:eastAsia="Arial" w:hAnsi="Arial"/>
                <w:sz w:val="18"/>
                <w:szCs w:val="18"/>
                <w:b w:val="1"/>
                <w:bCs w:val="1"/>
                <w:color w:val="auto"/>
              </w:rPr>
              <w:t>May 1, 2020</w:t>
            </w:r>
          </w:p>
        </w:tc>
        <w:tc>
          <w:tcPr>
            <w:tcW w:w="600" w:type="dxa"/>
            <w:vAlign w:val="bottom"/>
          </w:tcPr>
          <w:p>
            <w:pPr>
              <w:spacing w:after="0"/>
              <w:rPr>
                <w:sz w:val="20"/>
                <w:szCs w:val="20"/>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May 3, 2019</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2"/>
          </w:tcPr>
          <w:p>
            <w:pPr>
              <w:ind w:left="1400"/>
              <w:spacing w:after="0"/>
              <w:rPr>
                <w:sz w:val="20"/>
                <w:szCs w:val="20"/>
                <w:color w:val="auto"/>
              </w:rPr>
            </w:pPr>
            <w:r>
              <w:rPr>
                <w:rFonts w:ascii="Arial" w:cs="Arial" w:eastAsia="Arial" w:hAnsi="Arial"/>
                <w:sz w:val="18"/>
                <w:szCs w:val="18"/>
                <w:color w:val="auto"/>
              </w:rPr>
              <w:t>(in millions)</w:t>
            </w:r>
          </w:p>
        </w:tc>
        <w:tc>
          <w:tcPr>
            <w:tcW w:w="16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131</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324"/>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table presents the future maturity of the Company’s operating lease liabilities under non-cancelable leases and reconciles the undiscounted cash flows for these leases to the lease liability recognized on the Condensed Consolidated Statements of Financial Position as of the date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1, 2020</w:t>
            </w:r>
          </w:p>
        </w:tc>
        <w:tc>
          <w:tcPr>
            <w:tcW w:w="0" w:type="dxa"/>
            <w:vAlign w:val="bottom"/>
          </w:tcPr>
          <w:p>
            <w:pPr>
              <w:spacing w:after="0"/>
              <w:rPr>
                <w:sz w:val="1"/>
                <w:szCs w:val="1"/>
                <w:color w:val="auto"/>
              </w:rPr>
            </w:pPr>
          </w:p>
        </w:tc>
      </w:tr>
      <w:tr>
        <w:trPr>
          <w:trHeight w:val="27"/>
        </w:trPr>
        <w:tc>
          <w:tcPr>
            <w:tcW w:w="9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Years</w:t>
            </w: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 (remaining nine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2025</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9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00" w:type="dxa"/>
            <w:vAlign w:val="bottom"/>
          </w:tcPr>
          <w:p>
            <w:pPr>
              <w:ind w:left="600"/>
              <w:spacing w:after="0"/>
              <w:rPr>
                <w:sz w:val="20"/>
                <w:szCs w:val="20"/>
                <w:color w:val="auto"/>
              </w:rPr>
            </w:pPr>
            <w:r>
              <w:rPr>
                <w:rFonts w:ascii="Arial" w:cs="Arial" w:eastAsia="Arial" w:hAnsi="Arial"/>
                <w:sz w:val="18"/>
                <w:szCs w:val="18"/>
                <w:color w:val="auto"/>
              </w:rPr>
              <w:t>Current operating lease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Non-current operating lease liabilities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9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amount of future lease commitments after Fiscal 2025 is primarily for the ground lease on VMware, Inc.’s Palo Alto, California headquarter facilities, which expires in Fiscal 2047.</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May 1, 2020, the Company has additional operating leases that have not yet commenced of $697 million. These operating leases will commence during Fiscal 2021 with lease terms of one year to 16 years.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outstanding debt as of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1, 2020</w:t>
            </w: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January 31, 2020</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Debt</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Senior Secured Credit Facilities:</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2.75% Term Loan B-1 Facility due September 2025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2.16% Term Loan A-4 Facility due December 2023</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2.32% Term Loan A-6 Facility due March 2024</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First Lien Notes:</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4.42% due June 2021</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5.45% due June 2023</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3,750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4.00% due July 2024</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5.85% due July 2025</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6.02% due June 2026</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4.90% due October 2026</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6.10% due July 2027</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5.30% due October 2029</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6.20% due July 2030</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8.10% due July 2036</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8.35% due July 2046</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Unsecured Debt</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Unsecured Notes and Debentures: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4.625% due April 2021</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7.10% due April 2028</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6.50% due April 2038</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5.40% due September 2040</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5.875% due June 2021</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7.125% due June 2024</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1,625</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EMC Notes: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2.650% due June 2020</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3.375% due June 2023</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Debt of Public Subsidiary</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VMware Notes: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2.30% due August 2020</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2.95% due August 2022</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4.50% due May 2025</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4.65% due May 2027</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3.90% due August 2027</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4.70% due May 2030</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VMware Term Loan Facility</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DFS Debt (Note 4)</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4.03% Margin Loan Facility due April 2022</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52,665</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858"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 w:right="339" w:bottom="858"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1, 2020</w:t>
            </w: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January 31, 2020</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52,665</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Unamortized discount, net of unamortized premium</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97"/>
        </w:trPr>
        <w:tc>
          <w:tcPr>
            <w:tcW w:w="6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debt, carrying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56,728</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52,056</w:t>
            </w:r>
          </w:p>
        </w:tc>
      </w:tr>
      <w:tr>
        <w:trPr>
          <w:trHeight w:val="237"/>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short-term debt, carrying value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7,737</w:t>
            </w: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b w:val="1"/>
                <w:bCs w:val="1"/>
                <w:color w:val="auto"/>
              </w:rPr>
              <w:t>Total long-term debt, carrying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48,353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44,319</w:t>
            </w:r>
          </w:p>
        </w:tc>
      </w:tr>
    </w:tbl>
    <w:p>
      <w:pPr>
        <w:spacing w:after="0" w:line="39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During the three months ended May 1, 2020, the net increase in the Company’s debt balance was primarily due to new debt issuances of $2.25 billion of First Lien Notes on April 9, 2020 and $2.0 billion of VMware Notes on April 7, 2020, both described below, and an additional $0.5 billion, net, in DFS debt to support the expansion of its financing receivables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Debt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Senior Secured Credit Facilities </w:t>
      </w:r>
      <w:r>
        <w:rPr>
          <w:rFonts w:ascii="Arial" w:cs="Arial" w:eastAsia="Arial" w:hAnsi="Arial"/>
          <w:sz w:val="18"/>
          <w:szCs w:val="18"/>
          <w:color w:val="auto"/>
        </w:rPr>
        <w:t>— The Company has entered into a credit agreement that provides for senior secured credit facilities (the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Facilities”) comprising (a) term loan facilities and (b) a senior secured Revolving Credit Facility, which provides for a borrowing capacity of up to $4.5 billion for general corporate purposes, including capacity for up to $0.5 billion of letters of credit and for borrowings of up to $0.4 billion under swing-line loans.</w:t>
      </w:r>
    </w:p>
    <w:p>
      <w:pPr>
        <w:spacing w:after="0" w:line="22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of May 1, 2020, available borrowings under the Revolving Credit Facility totaled $4.5 billion. The Senior Secured Credit Facilities provide that the borrowers have the right at any time, subject to customary conditions, to request incremental term loans or incremental revolving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Senior Secured Credit Facilities bear interest at a rate per annum equal to an applicable margin, plus, at the borrowers’ option, either</w:t>
      </w:r>
    </w:p>
    <w:p>
      <w:pPr>
        <w:spacing w:after="0" w:line="46" w:lineRule="exact"/>
        <w:rPr>
          <w:sz w:val="20"/>
          <w:szCs w:val="20"/>
          <w:color w:val="auto"/>
        </w:rPr>
      </w:pPr>
    </w:p>
    <w:p>
      <w:pPr>
        <w:ind w:right="220" w:firstLine="8"/>
        <w:spacing w:after="0" w:line="253"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base rate, or (b) the London Interbank Offered Rate (“LIBOR”). The Term Loan B-1 Facility bears interest at LIBOR plus an applicable margin of 2.00% or a base rate plus an applicable margin of 1.00%. The Term Loan A-4 Facility and the Term Loan A-6 Facility bear interest at LIBOR plus an applicable margin ranging from 1.25% to 2.00% or a base rate plus an applicable margin ranging from 0.25% to 1.00%. Interest is payable, in the case of loans bearing interest based on LIBOR, at the end of each interest period (but at least every three months), in arrears and, in the case of loans bearing interest based on the base rate, quarterly in arrears.</w:t>
      </w:r>
    </w:p>
    <w:p>
      <w:pPr>
        <w:spacing w:after="0" w:line="1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Term Loan B-1 Facility amortizes in equal quarterly installments in aggregate annual amounts equal to 1% of the original principal amount. The Term Loan A-4 Facility amortizes in equal quarterly installments in aggregate annual amounts equal to 5% of the original principal amount in each of the first four years after the facility closing date of December 20, 2018, and 80% of the original principal amount in the fifth year after December 20, 2018. The Term Loan A-6 Facility amortizes in equal quarterly installments in aggregate annual amounts equal to 5% of the original principal amount in each of the first four years after the facility closing date of March 13, 2019, and 80% of the original principal amount in the fifth year after March 13, 2019. The Revolving Credit Facility has no amortization.</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borrowers may voluntarily repay outstanding loans under the term loan facilities and the Revolving Credit Facility at any time without premium or penalty, other than customary “breakage” costs.</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All obligations of the borrowers under the Senior Secured Credit Facilities and certain swap agreements, cash management arrangements, and certain letters of credit provided by any lender or agent party to the Senior Secured Credit Facilities or any of its affiliates and certain other persons are secured by</w:t>
      </w:r>
    </w:p>
    <w:p>
      <w:pPr>
        <w:ind w:right="40" w:firstLine="8"/>
        <w:spacing w:after="0" w:line="216" w:lineRule="exact"/>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first-priority security interest in certain tangible and intangible assets of the borrowers and the guarantors and (b) a first-priority pledge of 100% of the capital stock of the borrowers, Dell Inc., a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the Company (</w:t>
      </w:r>
      <w:r>
        <w:rPr>
          <w:rFonts w:ascii="Arial" w:cs="Arial" w:eastAsia="Arial" w:hAnsi="Arial"/>
          <w:sz w:val="16"/>
          <w:szCs w:val="16"/>
          <w:color w:val="auto"/>
        </w:rPr>
        <w:t>“</w:t>
      </w:r>
      <w:r>
        <w:rPr>
          <w:rFonts w:ascii="Arial" w:cs="Arial" w:eastAsia="Arial" w:hAnsi="Arial"/>
          <w:sz w:val="18"/>
          <w:szCs w:val="18"/>
          <w:color w:val="auto"/>
        </w:rPr>
        <w:t>Dell</w:t>
      </w:r>
      <w:r>
        <w:rPr>
          <w:rFonts w:ascii="Arial" w:cs="Arial" w:eastAsia="Arial" w:hAnsi="Arial"/>
          <w:sz w:val="16"/>
          <w:szCs w:val="16"/>
          <w:color w:val="auto"/>
        </w:rPr>
        <w:t>”</w:t>
      </w:r>
      <w:r>
        <w:rPr>
          <w:rFonts w:ascii="Arial" w:cs="Arial" w:eastAsia="Arial" w:hAnsi="Arial"/>
          <w:sz w:val="18"/>
          <w:szCs w:val="18"/>
          <w:color w:val="auto"/>
        </w:rPr>
        <w:t>), and each wholly-owned material restricted subsidiary of the borrowers and the guarantors, in each case subject to certain thresholds, exceptions, and permitted liens.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First Lien Notes </w:t>
      </w:r>
      <w:r>
        <w:rPr>
          <w:rFonts w:ascii="Arial" w:cs="Arial" w:eastAsia="Arial" w:hAnsi="Arial"/>
          <w:sz w:val="16"/>
          <w:szCs w:val="16"/>
          <w:color w:val="auto"/>
        </w:rPr>
        <w:t>— Dell International L.L.C. and EMC Corporation, both of which are wholly-owned subsidiaries of Dell Technologies Inc.,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offerings of multiple series of senior secured notes (collectively, the “First Lien Notes”) which were issued on June 1, 2016, March 20, 2019, and April 9, 2020 in aggregate principal amounts of $20.0 billion, $4.5 billion, and $2.25 billion, respectively. Interest on the First Lien Notes is payable semiannually. The First Lien Notes are secured on a pari passu basis with the Senior Secured Credit Facilities, on a first-priority basis by substantially all of the tangible and intangible assets of the issuers and guarantors that secure obligations under the Senior Secured Credit Facilities, including pledges of all capital stock of the issuers, Dell, and certain wholly-owned material subsidiaries of the issuers and the guarantors, subject to certain exceptions.</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agreed to use commercially reasonable efforts to register with the SEC notes having terms substantially identical to the terms of the First Lien Notes as part of an offer to exchange such registered notes for the First Lien Notes. The Company will be obligated to pay additional interest on the First Lien Notes if it fails to consummate such an exchange offer within five years after the closing date of the EMC merger transaction, in the case of the First Lien Notes issued on June 1, 2016 and within five years after their respective issue dates, in the case of the First Lien Notes issued on March 20, 2019 and April 9, 2020.</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 xml:space="preserve">China Revolving Credit Facility </w:t>
      </w:r>
      <w:r>
        <w:rPr>
          <w:rFonts w:ascii="Arial" w:cs="Arial" w:eastAsia="Arial" w:hAnsi="Arial"/>
          <w:sz w:val="18"/>
          <w:szCs w:val="18"/>
          <w:color w:val="auto"/>
        </w:rPr>
        <w:t>— During the fiscal year ended January 31, 2020, the Company renewed its credit agreement for a China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bank lender, which provided an uncommitted line with an aggregate principal amount not to exceed $500 million at an interest rate of LIBOR plus 0.6% per annum. The facility was terminated upon expiration on February 26,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Debt</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Unsecured Notes and Debentures </w:t>
      </w:r>
      <w:r>
        <w:rPr>
          <w:rFonts w:ascii="Arial" w:cs="Arial" w:eastAsia="Arial" w:hAnsi="Arial"/>
          <w:sz w:val="18"/>
          <w:szCs w:val="18"/>
          <w:color w:val="auto"/>
        </w:rPr>
        <w:t>— The Company has outstanding unsecured notes and debentures (collectively, the “Unsecured Notes and Debentures”)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issued by Dell prior to the acquisition of Dell by Dell Technologies Inc. in the going-private transaction that closed in October 2013. Interest on these borrowings is payable semiannually.</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The senior unsecured notes (collectively, the “Senior Notes”) were issued on June 22, 2016 in an aggregate principal amount of $3.25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Interest on these borrowings is payable semiannually.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EMC Notes </w:t>
      </w:r>
      <w:r>
        <w:rPr>
          <w:rFonts w:ascii="Arial" w:cs="Arial" w:eastAsia="Arial" w:hAnsi="Arial"/>
          <w:sz w:val="18"/>
          <w:szCs w:val="18"/>
          <w:color w:val="auto"/>
        </w:rPr>
        <w:t>— On September 7, 2016, EMC had outstanding $2.5 billion aggregate principal amount of its 1.875% Notes due June 2018,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fully repaid during the three months ended August 3, 2018, $2.0 billion aggregate principal amount of its 2.650% Notes due June 2020, and $1.0 billion aggregate principal amount of its 3.375% Notes due June 2023 (collectively, the “EMC Notes”). Interest on these borrowings is payable semiannually.</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VMware Notes </w:t>
      </w:r>
      <w:r>
        <w:rPr>
          <w:rFonts w:ascii="Arial" w:cs="Arial" w:eastAsia="Arial" w:hAnsi="Arial"/>
          <w:sz w:val="18"/>
          <w:szCs w:val="18"/>
          <w:color w:val="auto"/>
        </w:rPr>
        <w:t>— VMware, Inc. completed public offerings of unsecured senior notes in the aggregate amounts of $4.0 billion and $2.0 billion on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21, 2017 and April 7, 2020, respectively (the “VMware Notes”). None of the net proceeds of such borrowings will be made available to support the operations or satisfy any corporate purposes of Dell Technologies, other than the operations and corporate purposes of VMware, Inc. and VMware, Inc.’s subsidiaries. Interest on these borrowings is payable semiannually.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VMware Revolving Credit Facility </w:t>
      </w:r>
      <w:r>
        <w:rPr>
          <w:rFonts w:ascii="Arial" w:cs="Arial" w:eastAsia="Arial" w:hAnsi="Arial"/>
          <w:sz w:val="17"/>
          <w:szCs w:val="17"/>
          <w:color w:val="auto"/>
        </w:rPr>
        <w:t>— On September 12, 2017, VMware, Inc. entered into an unsecured credit agreement, establishing a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(the “VMware Revolving Credit Facility”) with a syndicate of lenders that provides the company with a borrowing capacity of up to $1.0 billion for VMware, Inc. general corporate purposes. Commitments under the VMware Revolving Credit Facility are available for a period of five years, which may be extended, subject to the satisfaction of certain conditions, by up to two one year periods. The credit agreement contains certain representations, warranties, and covenants. Commitment fees, interest rates, and other terms of borrowing under the VMware Revolving Credit Facility may vary based on VMware, Inc.’s external credit ratings. None of the net proceeds of such borrowings will be made available to support the operations or satisfy any corporate purposes of Dell Technologies, other than the operations and corporate purposes of VMware, Inc. and VMware, Inc.’s subsidiaries. As of May 1, 2020, there were no outstanding borrowings under the VMware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i w:val="1"/>
          <w:iCs w:val="1"/>
          <w:color w:val="auto"/>
        </w:rPr>
        <w:t xml:space="preserve">VMware Term Loan Facility </w:t>
      </w:r>
      <w:r>
        <w:rPr>
          <w:rFonts w:ascii="Arial" w:cs="Arial" w:eastAsia="Arial" w:hAnsi="Arial"/>
          <w:sz w:val="18"/>
          <w:szCs w:val="18"/>
          <w:color w:val="auto"/>
        </w:rPr>
        <w:t>— On September 26, 2019, VMware, Inc. entered into a senior unsecured term loan facility (the “VMware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syndicate of lenders that provided VMware, Inc. with a borrowing capacity of up to $2.0 billion through February 7, 2020, for VMware, Inc. general corporate purposes. The VMware Term Loan Facility matures on the 364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initial funding under the facility. The VMware Term Loan Facility bears interest at LIBOR plus 0.75% to 1.25%, or an alternative base rate plus 0.00% to 0.25%, depending on VMware Inc.’s external credit ratings.</w:t>
      </w: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May 1, 2020 and January 31, 2020, the outstanding borrowings under the VMware Term Loan Facility were $1.5 billion, with no remaining amount available for additional borrowings. The VMware Term Loan Facility contains certain representations, warranties, and covenants. None of the net proceeds of such borrowings will be made available to support the operations or satisfy any corporate purposes of Dell Technologies, other than the operations and corporate purposes of VMware, Inc. and VMware, Inc.’s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4 and Note 7 of the Notes to the Condensed Consolidated Financial Statements, respectively, for discussion of DFS debt and the interest rate swap agreements that hedge a portion of that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i w:val="1"/>
          <w:iCs w:val="1"/>
          <w:color w:val="auto"/>
        </w:rPr>
        <w:t xml:space="preserve">Margin Loan Facility </w:t>
      </w:r>
      <w:r>
        <w:rPr>
          <w:rFonts w:ascii="Arial" w:cs="Arial" w:eastAsia="Arial" w:hAnsi="Arial"/>
          <w:sz w:val="17"/>
          <w:szCs w:val="17"/>
          <w:color w:val="auto"/>
        </w:rPr>
        <w:t>— On April 12, 2017, the Company entered into the Margin Loan Facility in an aggregate principal amount of $2.0 billion,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VMW Holdco LLC, a wholly-owned subsidiary of EMC, is the borrower. In connection with the Class V transaction described in Note 1 of the Notes to the Condensed Consolidated Financial Statements, on December 20, 2018, the Company amended the Margin Loan Facility to increase the aggregate principal amount to $3.35 billion. In connection with obtaining the Term Loan A-6 Facility during the fiscal year ended January 31, 2020, the Company increased the aggregate principal amount of the Margin Loan Facility to $4.0 billion.</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months ended May 1, 2020, due to volatility in the U.S. stock market resulting from the outbreak of COVID-19, VMware Holdco LLC proactively pledged additional shares of VMware, Inc. common stock to secure its obligations under the Margin Loan Facility agreement. This resulted in an aggregate number of shares pledged of approximately 76 million shares of Class B common stock of VMware, Inc. and approximately 24 million shares of Class A common stock of VMware, Inc.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Loans under the Margin Loan Facility bear interest at a rate per annum payable, at the borrower’s option, either at (a) a base rate plus 1.25% per annum or</w:t>
      </w:r>
    </w:p>
    <w:p>
      <w:pPr>
        <w:spacing w:after="0" w:line="46" w:lineRule="exact"/>
        <w:rPr>
          <w:sz w:val="20"/>
          <w:szCs w:val="20"/>
          <w:color w:val="auto"/>
        </w:rPr>
      </w:pPr>
    </w:p>
    <w:p>
      <w:pPr>
        <w:jc w:val="both"/>
        <w:ind w:right="60" w:firstLine="8"/>
        <w:spacing w:after="0" w:line="255"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LIBOR-based rate plus 2.25% per annum. Interest under the Margin Loan Facility is payable quarterly. The Margin Loan Facility will mature in April 2022. The borrower may voluntarily repay outstanding loans under the Margin Loan Facility at any time without premium or penalty, other than customary “breakage” costs, subject to certain minimum threshold amounts for prepayment.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Future Maturities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future maturities of the Company’s debt as of May 1, 2020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center"/>
              <w:ind w:left="499"/>
              <w:spacing w:after="0"/>
              <w:rPr>
                <w:sz w:val="20"/>
                <w:szCs w:val="20"/>
                <w:color w:val="auto"/>
              </w:rPr>
            </w:pPr>
            <w:r>
              <w:rPr>
                <w:rFonts w:ascii="Arial" w:cs="Arial" w:eastAsia="Arial" w:hAnsi="Arial"/>
                <w:sz w:val="16"/>
                <w:szCs w:val="16"/>
                <w:b w:val="1"/>
                <w:bCs w:val="1"/>
                <w:color w:val="auto"/>
                <w:w w:val="92"/>
              </w:rPr>
              <w:t>Maturities by Fiscal Year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2021 (remaining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nine months)</w:t>
            </w: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rPr>
              <w:t>(in millions)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Senior Secured Credit Facilities and First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Lien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31,857</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Unsecured Notes and Debentures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1,352</w:t>
            </w: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and EMC Notes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4,300</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VMware Notes</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7,500</w:t>
            </w: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DFS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8,269</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Margin Loan Facility</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17"/>
        </w:trPr>
        <w:tc>
          <w:tcPr>
            <w:tcW w:w="2820" w:type="dxa"/>
            <w:vAlign w:val="bottom"/>
          </w:tcPr>
          <w:p>
            <w:pPr>
              <w:ind w:left="180"/>
              <w:spacing w:after="0"/>
              <w:rPr>
                <w:sz w:val="20"/>
                <w:szCs w:val="20"/>
                <w:color w:val="auto"/>
              </w:rPr>
            </w:pPr>
            <w:r>
              <w:rPr>
                <w:rFonts w:ascii="Arial" w:cs="Arial" w:eastAsia="Arial" w:hAnsi="Arial"/>
                <w:sz w:val="16"/>
                <w:szCs w:val="16"/>
                <w:color w:val="auto"/>
              </w:rPr>
              <w:t>Total maturities, principal amount</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7,191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8,690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7,867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22,485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57,347</w:t>
            </w: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Associated carrying value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43"/>
        </w:trPr>
        <w:tc>
          <w:tcPr>
            <w:tcW w:w="2820" w:type="dxa"/>
            <w:vAlign w:val="bottom"/>
          </w:tcPr>
          <w:p>
            <w:pPr>
              <w:ind w:left="180"/>
              <w:spacing w:after="0"/>
              <w:rPr>
                <w:sz w:val="20"/>
                <w:szCs w:val="20"/>
                <w:color w:val="auto"/>
              </w:rPr>
            </w:pPr>
            <w:r>
              <w:rPr>
                <w:rFonts w:ascii="Arial" w:cs="Arial" w:eastAsia="Arial" w:hAnsi="Arial"/>
                <w:sz w:val="16"/>
                <w:szCs w:val="16"/>
                <w:color w:val="auto"/>
                <w:w w:val="95"/>
              </w:rPr>
              <w:t>Total maturities, carrying value amount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7,189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8,647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7,820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3,353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22,073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56,728</w:t>
            </w: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 xml:space="preserve">Covenants and Unrestricted Net Assets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credit agreement for the Senior Secured Credit Facilities contains customary negative covenants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limit the ability of Denali Intermediate Inc., a wholly-owned subsidiary of Dell Technologies (“Dell Intermediate”), Dell, and Dell’s and Denali Intermediate’s other restricted subsidiaries to incur debt, create liens, make fundamental changes, enter into asset sales, make certain investments, pay dividends or distribute or redeem certain equity interests, prepay or redeem certain debt, and enter into certain transactions with affiliates. The indenture governing the Senior Notes contains customary negative covenants that generally limit the ability of Denali Intermediate, Dell, and Dell’s and Denali Intermediate’s other restricted subsidiaries to incur additional debt or issue certain preferred shares, pay dividends on or make other distributions in respect of capital stock or make other restricted payments, make certain investments, sell or transfer certain assets, create liens on certain assets to secure debt, consolidate, merge, sell, or otherwise dispose of all or substantially all assets, enter into certain transactions with affiliates, and designate subsidiaries as unrestricted subsidiaries. The negative covenants under such credit agreements and indenture are subject to certain exceptions, qualifications, and “baskets.” The indentures governing the First Lien Notes, the Unsecured Notes and Debentures, and the EMC Notes variously impose limitations, subject to specified exceptions, on creating certain liens, entering into sale and lease-back transactions, and entering into certain asset sales. The foregoing credit agreements and indentures contain customary events of default, including failure to make required payments, failure to comply with covenants, and the occurrence of certain events of bankruptcy and insolvency.</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May 1, 2020, the Company had certain consolidated subsidiaries that were designated as unrestricted subsidiaries for all purposes of the applicable credit agreements and the indentures governing the First Lien Notes and the Senior Notes. Substantially all of the net assets of the Company’s consolidated subsidiaries were restricted, with the exception of the Company’s unrestricted subsidiaries, primarily VMware, Inc., Secureworks, and their respective subsidiaries, as of May 1, 2020.</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Term Loan A-4 Facility, the Term Loan A-6 Facility, and the Revolving Credit Facility are subject to a first lien leverage ratio covenant that is tested at the end of each fiscal quarter of Dell with respect to Dell’s preceding four fiscal quarters. The Company was in compliance with all financial covenants as of May 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INSTRUMENTS AND HEDGING ACTIVITIES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 items as the earnings effects of the hedged items. For derivatives designated as cash flow hedges, the Company assesses hedge effectiveness both at the onset of the hedge and at regular intervals throughout the life of the derivative. The Company does not have any derivatives designated as fair value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16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three months ended May 1, 2020 and May 3, 2019, the Company did not discontinue any cash flow hedges related to foreign exchange contracts that had a material impact on the Company’s results of operations due to the probability that the forecasted cash flows would not occur.</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connection with expanded offerings of DFS in Europe, forward contracts are used to hedge financing receivables denominated in foreign currencies other than Euro. These contracts are not designated for hedge accounting and most expire within three years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three years or less.</w:t>
      </w:r>
    </w:p>
    <w:p>
      <w:pPr>
        <w:spacing w:after="0" w:line="14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Interest rate swaps are utilized to manage the interest rate risk, at a portfolio level, associated with DFS operations in Europe. The interest rate swaps economically convert the fixed rate on financing receivables to a three-month Euribor floating rate basis in order to match the floating rate nature of the banks’ funding pool. These contracts are not designated for hedge accounting and most expire within five years or less.</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0D0D0D"/>
        </w:rPr>
        <w:t xml:space="preserve">The Company utilizes cross currency amortizing swaps to hedge the currency and interest rate risk exposure associated with the securitization program that was established in Europe in January 2017. The cross currency swaps combine a Euro-based interest rate swap with a British Pound or U.S. Dollar foreign exchange forward contract in which the Company pays a fixed British Pound or U.S. Dollar amount and receives a floating amount in Euros linked to the one-month Euribor. The notional value of the swaps amortizes in line with the expected cash flows and run-off of the securitized assets. The swaps are not designated for hedge accounting and expire within </w:t>
      </w:r>
      <w:r>
        <w:rPr>
          <w:rFonts w:ascii="Arial" w:cs="Arial" w:eastAsia="Arial" w:hAnsi="Arial"/>
          <w:sz w:val="17"/>
          <w:szCs w:val="17"/>
          <w:color w:val="000000"/>
        </w:rPr>
        <w:t>five years</w:t>
      </w:r>
      <w:r>
        <w:rPr>
          <w:rFonts w:ascii="Arial" w:cs="Arial" w:eastAsia="Arial" w:hAnsi="Arial"/>
          <w:sz w:val="17"/>
          <w:szCs w:val="17"/>
          <w:color w:val="0D0D0D"/>
        </w:rPr>
        <w:t xml:space="preserve"> or less.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Derivative Instruments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1"/>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Notional Amounts of Outstanding Derivative Instruments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7"/>
        </w:trPr>
        <w:tc>
          <w:tcPr>
            <w:tcW w:w="414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2020</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31, 2020</w:t>
            </w:r>
          </w:p>
        </w:tc>
      </w:tr>
      <w:tr>
        <w:trPr>
          <w:trHeight w:val="27"/>
        </w:trPr>
        <w:tc>
          <w:tcPr>
            <w:tcW w:w="4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4"/>
          </w:tcPr>
          <w:p>
            <w:pPr>
              <w:spacing w:after="0"/>
              <w:rPr>
                <w:sz w:val="2"/>
                <w:szCs w:val="2"/>
                <w:color w:val="auto"/>
              </w:rPr>
            </w:pPr>
          </w:p>
        </w:tc>
      </w:tr>
      <w:tr>
        <w:trPr>
          <w:trHeight w:val="237"/>
        </w:trPr>
        <w:tc>
          <w:tcPr>
            <w:tcW w:w="4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gridSpan w:val="4"/>
          </w:tcPr>
          <w:p>
            <w:pPr>
              <w:jc w:val="right"/>
              <w:ind w:right="1290"/>
              <w:spacing w:after="0"/>
              <w:rPr>
                <w:sz w:val="20"/>
                <w:szCs w:val="20"/>
                <w:color w:val="auto"/>
              </w:rPr>
            </w:pPr>
            <w:r>
              <w:rPr>
                <w:rFonts w:ascii="Arial" w:cs="Arial" w:eastAsia="Arial" w:hAnsi="Arial"/>
                <w:sz w:val="18"/>
                <w:szCs w:val="18"/>
                <w:color w:val="auto"/>
              </w:rPr>
              <w:t>(in millions)</w:t>
            </w:r>
          </w:p>
        </w:tc>
      </w:tr>
      <w:tr>
        <w:trPr>
          <w:trHeight w:val="27"/>
        </w:trPr>
        <w:tc>
          <w:tcPr>
            <w:tcW w:w="4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Foreign exchange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Designated as cash flow hedging instruments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8,910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8,703</w:t>
            </w:r>
          </w:p>
        </w:tc>
      </w:tr>
      <w:tr>
        <w:trPr>
          <w:trHeight w:val="27"/>
        </w:trPr>
        <w:tc>
          <w:tcPr>
            <w:tcW w:w="4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Non-designated as hedging instruments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w:t>
            </w:r>
          </w:p>
        </w:tc>
      </w:tr>
      <w:tr>
        <w:trPr>
          <w:trHeight w:val="297"/>
        </w:trPr>
        <w:tc>
          <w:tcPr>
            <w:tcW w:w="7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16,414</w:t>
            </w:r>
          </w:p>
        </w:tc>
      </w:tr>
      <w:tr>
        <w:trPr>
          <w:trHeight w:val="237"/>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Interest rate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Non-designated as hedging instruments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4,043</w:t>
            </w:r>
          </w:p>
        </w:tc>
      </w:tr>
    </w:tbl>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Effect of Derivative Instruments Designated as Hedging Instruments on the Condensed Consolidated Statements of Financial Position and the Condensed Consolidated Statements of Income (Loss)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Derivatives in Cash Flow Hedging</w:t>
            </w:r>
          </w:p>
        </w:tc>
        <w:tc>
          <w:tcPr>
            <w:tcW w:w="140" w:type="dxa"/>
            <w:vAlign w:val="bottom"/>
          </w:tcPr>
          <w:p>
            <w:pPr>
              <w:spacing w:after="0"/>
              <w:rPr>
                <w:sz w:val="14"/>
                <w:szCs w:val="14"/>
                <w:color w:val="auto"/>
              </w:rPr>
            </w:pPr>
          </w:p>
        </w:tc>
        <w:tc>
          <w:tcPr>
            <w:tcW w:w="230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Gain (Loss) Recognized in</w:t>
            </w:r>
          </w:p>
        </w:tc>
        <w:tc>
          <w:tcPr>
            <w:tcW w:w="100" w:type="dxa"/>
            <w:vAlign w:val="bottom"/>
          </w:tcPr>
          <w:p>
            <w:pPr>
              <w:spacing w:after="0"/>
              <w:rPr>
                <w:sz w:val="14"/>
                <w:szCs w:val="14"/>
                <w:color w:val="auto"/>
              </w:rPr>
            </w:pPr>
          </w:p>
        </w:tc>
        <w:tc>
          <w:tcPr>
            <w:tcW w:w="3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Location of Gain (Loss) Reclassified from</w:t>
            </w:r>
          </w:p>
        </w:tc>
        <w:tc>
          <w:tcPr>
            <w:tcW w:w="220" w:type="dxa"/>
            <w:vAlign w:val="bottom"/>
          </w:tcPr>
          <w:p>
            <w:pPr>
              <w:spacing w:after="0"/>
              <w:rPr>
                <w:sz w:val="14"/>
                <w:szCs w:val="14"/>
                <w:color w:val="auto"/>
              </w:rPr>
            </w:pPr>
          </w:p>
        </w:tc>
        <w:tc>
          <w:tcPr>
            <w:tcW w:w="22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2"/>
              </w:rPr>
              <w:t>Gain (Loss) Reclassified from</w:t>
            </w:r>
          </w:p>
        </w:tc>
        <w:tc>
          <w:tcPr>
            <w:tcW w:w="0" w:type="dxa"/>
            <w:vAlign w:val="bottom"/>
          </w:tcPr>
          <w:p>
            <w:pPr>
              <w:spacing w:after="0"/>
              <w:rPr>
                <w:sz w:val="1"/>
                <w:szCs w:val="1"/>
                <w:color w:val="auto"/>
              </w:rPr>
            </w:pPr>
          </w:p>
        </w:tc>
      </w:tr>
      <w:tr>
        <w:trPr>
          <w:trHeight w:val="148"/>
        </w:trPr>
        <w:tc>
          <w:tcPr>
            <w:tcW w:w="2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4"/>
              </w:rPr>
              <w:t>Accumulated OCI, Net of Tax, on</w:t>
            </w:r>
          </w:p>
        </w:tc>
        <w:tc>
          <w:tcPr>
            <w:tcW w:w="100" w:type="dxa"/>
            <w:vAlign w:val="bottom"/>
          </w:tcPr>
          <w:p>
            <w:pPr>
              <w:spacing w:after="0"/>
              <w:rPr>
                <w:sz w:val="12"/>
                <w:szCs w:val="12"/>
                <w:color w:val="auto"/>
              </w:rPr>
            </w:pPr>
          </w:p>
        </w:tc>
        <w:tc>
          <w:tcPr>
            <w:tcW w:w="3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Relationships</w:t>
            </w:r>
          </w:p>
        </w:tc>
        <w:tc>
          <w:tcPr>
            <w:tcW w:w="140" w:type="dxa"/>
            <w:vAlign w:val="bottom"/>
          </w:tcPr>
          <w:p>
            <w:pPr>
              <w:spacing w:after="0"/>
              <w:rPr>
                <w:sz w:val="16"/>
                <w:szCs w:val="16"/>
                <w:color w:val="auto"/>
              </w:rPr>
            </w:pPr>
          </w:p>
        </w:tc>
        <w:tc>
          <w:tcPr>
            <w:tcW w:w="230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6"/>
                <w:szCs w:val="16"/>
                <w:color w:val="auto"/>
              </w:rPr>
            </w:pPr>
          </w:p>
        </w:tc>
        <w:tc>
          <w:tcPr>
            <w:tcW w:w="3240" w:type="dxa"/>
            <w:vAlign w:val="bottom"/>
            <w:gridSpan w:val="2"/>
          </w:tcPr>
          <w:p>
            <w:pPr>
              <w:ind w:left="640"/>
              <w:spacing w:after="0"/>
              <w:rPr>
                <w:sz w:val="20"/>
                <w:szCs w:val="20"/>
                <w:color w:val="auto"/>
              </w:rPr>
            </w:pPr>
            <w:r>
              <w:rPr>
                <w:rFonts w:ascii="Arial" w:cs="Arial" w:eastAsia="Arial" w:hAnsi="Arial"/>
                <w:sz w:val="14"/>
                <w:szCs w:val="14"/>
                <w:b w:val="1"/>
                <w:bCs w:val="1"/>
                <w:color w:val="auto"/>
              </w:rPr>
              <w:t>Accumulated OCI into Income</w:t>
            </w:r>
          </w:p>
        </w:tc>
        <w:tc>
          <w:tcPr>
            <w:tcW w:w="220" w:type="dxa"/>
            <w:vAlign w:val="bottom"/>
          </w:tcPr>
          <w:p>
            <w:pPr>
              <w:spacing w:after="0"/>
              <w:rPr>
                <w:sz w:val="16"/>
                <w:szCs w:val="16"/>
                <w:color w:val="auto"/>
              </w:rPr>
            </w:pPr>
          </w:p>
        </w:tc>
        <w:tc>
          <w:tcPr>
            <w:tcW w:w="226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Accumulated OCI into Income</w:t>
            </w: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center"/>
              <w:ind w:right="96"/>
              <w:spacing w:after="0"/>
              <w:rPr>
                <w:sz w:val="20"/>
                <w:szCs w:val="20"/>
                <w:color w:val="auto"/>
              </w:rPr>
            </w:pPr>
            <w:r>
              <w:rPr>
                <w:rFonts w:ascii="Arial" w:cs="Arial" w:eastAsia="Arial" w:hAnsi="Arial"/>
                <w:sz w:val="16"/>
                <w:szCs w:val="16"/>
                <w:color w:val="auto"/>
                <w:w w:val="98"/>
              </w:rPr>
              <w:t>(in millions)</w:t>
            </w:r>
          </w:p>
        </w:tc>
        <w:tc>
          <w:tcPr>
            <w:tcW w:w="100" w:type="dxa"/>
            <w:vAlign w:val="bottom"/>
          </w:tcPr>
          <w:p>
            <w:pPr>
              <w:spacing w:after="0"/>
              <w:rPr>
                <w:sz w:val="20"/>
                <w:szCs w:val="20"/>
                <w:color w:val="auto"/>
              </w:rPr>
            </w:pPr>
          </w:p>
        </w:tc>
        <w:tc>
          <w:tcPr>
            <w:tcW w:w="3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center"/>
              <w:ind w:right="134"/>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w w:val="89"/>
              </w:rPr>
              <w:t>For the three months ended May 1, 2020</w:t>
            </w:r>
          </w:p>
        </w:tc>
        <w:tc>
          <w:tcPr>
            <w:tcW w:w="14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 of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Interest rate contracts</w:t>
            </w:r>
          </w:p>
        </w:tc>
        <w:tc>
          <w:tcPr>
            <w:tcW w:w="14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Interest and other, net</w:t>
            </w:r>
          </w:p>
        </w:tc>
        <w:tc>
          <w:tcPr>
            <w:tcW w:w="220" w:type="dxa"/>
            <w:vAlign w:val="bottom"/>
          </w:tcPr>
          <w:p>
            <w:pPr>
              <w:spacing w:after="0"/>
              <w:rPr>
                <w:sz w:val="21"/>
                <w:szCs w:val="21"/>
                <w:color w:val="auto"/>
              </w:rPr>
            </w:pP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w w:val="89"/>
              </w:rPr>
              <w:t>For the three months ended May 3, 2019</w:t>
            </w:r>
          </w:p>
        </w:tc>
        <w:tc>
          <w:tcPr>
            <w:tcW w:w="14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Total 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 of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Interest rate contracts</w:t>
            </w:r>
          </w:p>
        </w:tc>
        <w:tc>
          <w:tcPr>
            <w:tcW w:w="140" w:type="dxa"/>
            <w:vAlign w:val="bottom"/>
          </w:tcPr>
          <w:p>
            <w:pPr>
              <w:spacing w:after="0"/>
              <w:rPr>
                <w:sz w:val="21"/>
                <w:szCs w:val="21"/>
                <w:color w:val="auto"/>
              </w:rPr>
            </w:pPr>
          </w:p>
        </w:tc>
        <w:tc>
          <w:tcPr>
            <w:tcW w:w="2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40" w:type="dxa"/>
            <w:vAlign w:val="bottom"/>
            <w:gridSpan w:val="2"/>
          </w:tcPr>
          <w:p>
            <w:pPr>
              <w:ind w:left="40"/>
              <w:spacing w:after="0"/>
              <w:rPr>
                <w:sz w:val="20"/>
                <w:szCs w:val="20"/>
                <w:color w:val="auto"/>
              </w:rPr>
            </w:pPr>
            <w:r>
              <w:rPr>
                <w:rFonts w:ascii="Arial" w:cs="Arial" w:eastAsia="Arial" w:hAnsi="Arial"/>
                <w:sz w:val="18"/>
                <w:szCs w:val="18"/>
                <w:color w:val="auto"/>
              </w:rPr>
              <w:t>Interest and other, net</w:t>
            </w:r>
          </w:p>
        </w:tc>
        <w:tc>
          <w:tcPr>
            <w:tcW w:w="220" w:type="dxa"/>
            <w:vAlign w:val="bottom"/>
          </w:tcPr>
          <w:p>
            <w:pPr>
              <w:spacing w:after="0"/>
              <w:rPr>
                <w:sz w:val="21"/>
                <w:szCs w:val="21"/>
                <w:color w:val="auto"/>
              </w:rPr>
            </w:pP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Derivative Instruments Not Designated as Hedging Instruments on the Condensed Consolidated Statements of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May 1, 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 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ind w:left="100"/>
              <w:spacing w:after="0"/>
              <w:rPr>
                <w:sz w:val="20"/>
                <w:szCs w:val="20"/>
                <w:color w:val="auto"/>
              </w:rPr>
            </w:pPr>
            <w:r>
              <w:rPr>
                <w:rFonts w:ascii="Arial" w:cs="Arial" w:eastAsia="Arial" w:hAnsi="Arial"/>
                <w:sz w:val="18"/>
                <w:szCs w:val="18"/>
                <w:b w:val="1"/>
                <w:bCs w:val="1"/>
                <w:color w:val="auto"/>
                <w:w w:val="91"/>
              </w:rPr>
              <w:t>Location of Gain (Loss) Recognized</w:t>
            </w:r>
          </w:p>
        </w:tc>
      </w:tr>
      <w:tr>
        <w:trPr>
          <w:trHeight w:val="27"/>
        </w:trPr>
        <w:tc>
          <w:tcPr>
            <w:tcW w:w="38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60" w:type="dxa"/>
            <w:vAlign w:val="bottom"/>
            <w:gridSpan w:val="3"/>
          </w:tcPr>
          <w:p>
            <w:pPr>
              <w:jc w:val="right"/>
              <w:ind w:right="1170"/>
              <w:spacing w:after="0"/>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Gain (Loss) Recognized:</w:t>
            </w:r>
          </w:p>
        </w:tc>
        <w:tc>
          <w:tcPr>
            <w:tcW w:w="1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640" w:type="dxa"/>
            <w:vAlign w:val="bottom"/>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Interest and other, net</w:t>
            </w:r>
          </w:p>
        </w:tc>
      </w:tr>
      <w:tr>
        <w:trPr>
          <w:trHeight w:val="27"/>
        </w:trPr>
        <w:tc>
          <w:tcPr>
            <w:tcW w:w="3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r>
      <w:tr>
        <w:trPr>
          <w:trHeight w:val="257"/>
        </w:trPr>
        <w:tc>
          <w:tcPr>
            <w:tcW w:w="3840" w:type="dxa"/>
            <w:vAlign w:val="bottom"/>
          </w:tcPr>
          <w:p>
            <w:pPr>
              <w:ind w:left="18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4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20"/>
        </w:trPr>
        <w:tc>
          <w:tcPr>
            <w:tcW w:w="3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 in the Condensed Consolidated Statements of Financial Position</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presents its foreign exchange derivative instruments on a net basis in the Condensed Consolidated Statements of Financial Position due to the right of offset by its counterparties under master netting arrangements. The following tables present the fair value of those derivative instruments presented on a gross basis as of the dates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May 1, 2020</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 Non-</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Other Current</w:t>
            </w:r>
          </w:p>
        </w:tc>
        <w:tc>
          <w:tcPr>
            <w:tcW w:w="1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Other Non-</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Other Current</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Current</w:t>
            </w: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Current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Liabilities</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16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27"/>
        </w:trPr>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1"/>
              </w:rPr>
              <w:t>January 31, 2020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 Non-</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Other Current</w:t>
            </w:r>
          </w:p>
        </w:tc>
        <w:tc>
          <w:tcPr>
            <w:tcW w:w="14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Other Non-</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Other Current</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Current</w:t>
            </w: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Current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Liabilities</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16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gross amounts of the Company’s derivative instruments, amounts offset due to master netting agreements with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Company’s counterparties, and the net amounts recognized in the Condensed Consolidated Statements of Financial Position as of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ind w:left="760"/>
              <w:spacing w:after="0"/>
              <w:rPr>
                <w:sz w:val="20"/>
                <w:szCs w:val="20"/>
                <w:color w:val="auto"/>
              </w:rPr>
            </w:pPr>
            <w:r>
              <w:rPr>
                <w:rFonts w:ascii="Arial" w:cs="Arial" w:eastAsia="Arial" w:hAnsi="Arial"/>
                <w:sz w:val="18"/>
                <w:szCs w:val="18"/>
                <w:b w:val="1"/>
                <w:bCs w:val="1"/>
                <w:color w:val="auto"/>
              </w:rPr>
              <w:t>May 1, 2020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Gross Amounts not Offset in the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4"/>
              </w:rPr>
              <w:t>Assets/</w:t>
            </w:r>
          </w:p>
        </w:tc>
        <w:tc>
          <w:tcPr>
            <w:tcW w:w="180" w:type="dxa"/>
            <w:vAlign w:val="bottom"/>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(Liabilities)</w:t>
            </w:r>
          </w:p>
        </w:tc>
        <w:tc>
          <w:tcPr>
            <w:tcW w:w="180" w:type="dxa"/>
            <w:vAlign w:val="bottom"/>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Offset in the</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Cash Collateral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ind w:left="78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270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January 31, 2020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Gross Amounts not Offset in the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4"/>
              </w:rPr>
              <w:t>Assets/</w:t>
            </w:r>
          </w:p>
        </w:tc>
        <w:tc>
          <w:tcPr>
            <w:tcW w:w="180" w:type="dxa"/>
            <w:vAlign w:val="bottom"/>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(Liabilities)</w:t>
            </w:r>
          </w:p>
        </w:tc>
        <w:tc>
          <w:tcPr>
            <w:tcW w:w="180" w:type="dxa"/>
            <w:vAlign w:val="bottom"/>
          </w:tcPr>
          <w:p>
            <w:pPr>
              <w:spacing w:after="0"/>
              <w:rPr>
                <w:sz w:val="4"/>
                <w:szCs w:val="4"/>
                <w:color w:val="auto"/>
              </w:rPr>
            </w:pPr>
          </w:p>
        </w:tc>
        <w:tc>
          <w:tcPr>
            <w:tcW w:w="2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Offset in the</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Cash Collateral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3"/>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270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COMBINATIONS, GOODWILL AND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Acquisition</w:t>
      </w: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Nyansa, Inc.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May 1, 2020, VMware, Inc. completed the acquisition of Nyansa, Inc., a developer of artificial intelligence-based network analytics, to accelerate the delivery of end-to-end monitoring and troubleshooting capabilities within VMware SD-WAN by VeloCloud. The total purchase price, net of cash acquired, was $38 million. The purchase price primarily included $14 million of identifiable intangible assets and $24 million of goodwill that is not expected to be deductible for tax purposes. The identifiable intangible assets, which primarily consisted of completed technology, have estimated useful lives of one year to four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Infrastructure Solutions Group, Client Solutions Group, and VMware reporting units are consistent with the reportable segments identified in Note 17 of the Notes to the Condensed Consolidated Financial Statements. Offerings within Other businesses as defined below represent separate reporting units.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goodwill allocated to the Company’s reportable segments and changes in the carrying amount of goodwill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Infrastructure</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Client Solutions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Other Businesses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Solutions Group</w:t>
            </w:r>
          </w:p>
        </w:tc>
        <w:tc>
          <w:tcPr>
            <w:tcW w:w="28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Group</w:t>
            </w:r>
          </w:p>
        </w:tc>
        <w:tc>
          <w:tcPr>
            <w:tcW w:w="16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VMware</w:t>
            </w:r>
          </w:p>
        </w:tc>
        <w:tc>
          <w:tcPr>
            <w:tcW w:w="38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(a)</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as of January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41,691</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Goodwill acquired (b)</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Reclassification to assets held for sale (c)</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as of May 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40,248</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May 1, 2020, goodwill allocated to Other businesses consists of Secureworks, Virtustream, and Boomi.</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Inc. business combination completed during the three months ended May 1, 2020, as discussed above.</w:t>
      </w:r>
    </w:p>
    <w:p>
      <w:pPr>
        <w:spacing w:after="0" w:line="9"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three months ended May 1, 2020, RSA Security’s goodwill was reclassified to current assets held for sale on the Condensed Consolidated Statements of Financial Position due to the Company’s entry into a definitive agreement to sell RSA Security. See Note 1 of the Notes to the Condensed Consolidated Financial Statements for additional information about the pending sale of RSA Security.</w:t>
      </w:r>
    </w:p>
    <w:p>
      <w:pPr>
        <w:spacing w:after="0" w:line="16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u w:val="single" w:color="auto"/>
          <w:color w:val="auto"/>
        </w:rPr>
        <w:t>Goodwill Impairment Tests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and indefinite-lived intangible assets are tested for impairment annually during the third fiscal quarter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whenever events or circumstances may indicate that an impairment has occurred. As a result of the changes in the current economic environment related to the COVID-19 pandemic, the Company considered whether there was a potential triggering event requiring the evaluation of whether goodwill of any of the reporting units should be tested for impairment. The Company determined there was no triggering event and no impairment test was performed as of May 1, 2020.</w:t>
      </w:r>
    </w:p>
    <w:p>
      <w:pPr>
        <w:spacing w:after="0" w:line="187"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For our annual impairment review in the third quarter of Fiscal 2020,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performing a quantitative goodwill impairment test to measure the fair value of each goodwill reporting unit relative to its carrying amount, and to determine the amount of goodwill impairment loss to be recognized, if any.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unless the reporting unit relates to a publicly-traded entity (VMware, Inc. or Secureworks), in which case the fair value is determined based primarily on the public company market valuation. The discounted cash flow and public company multiples methodologies require significant judgment, including estimation of future cash flows, which is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 of the indefinite-lived trade names is generally estimated using discounted cash flow methodologies. The discounted cash flow methodology requires significant judgment, including estimation of future revenue, which is dependent on internal forecasts, the estimation of the long-term revenue growth rate of the Company’s business and the determination of the Company’s weighted average cost of capital and royalty rates. Changes in these estimates and assumptions could materially affect the fair value of the indefinite-lived intangible assets, potentially resulting in a non-cash impairment charge.</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on the results of the annual impairment test performed during the fiscal year ended January 31, 2020, the fair values of each of the reporting units exceeded their carrying values. Based on this annual impairment test, it was determined that the fair value of the RSA Security reporting unit exceeded its carrying value by 13% as of November 1, 2019. The Company’s entry into a definitive agreement to sell RSA Security for $2.075 billion, as discussed in Note 1 of the Notes to the Condensed Consolidated Financial Statements, provided a new fair value indication that the RSA Security reporting unit exceeds its carrying value. Accordingly, subsequent to the annual impairment test, based on fair value indicators as of January 31, 2020 and May 1, 2020, it was determined that the fair value of the RSA Security reporting unit exceeded its carrying amount by 20%.</w:t>
      </w:r>
    </w:p>
    <w:p>
      <w:pPr>
        <w:spacing w:after="0" w:line="1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fiscal year ended January 31, 2020, an interim impairment assessment of Virtustream was required. There are no remaining balances of Virtustream goodwill, intangible assets, or property, plant, and equipment as of January 31, 2020 following the gross impairment charges of $619 million and $190 million recognized during the fiscal years ended January 31, 2020 and February 1, 2019, respectively.</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May 1, 2020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January 31, 2020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8"/>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Amortization</w:t>
            </w:r>
          </w:p>
        </w:tc>
        <w:tc>
          <w:tcPr>
            <w:tcW w:w="28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34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2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r>
      <w:tr>
        <w:trPr>
          <w:trHeight w:val="27"/>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9,129</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15,376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4,733</w:t>
            </w: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37"/>
        </w:trPr>
        <w:tc>
          <w:tcPr>
            <w:tcW w:w="294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13,072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39,963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14,352</w:t>
            </w: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r>
      <w:tr>
        <w:trPr>
          <w:trHeight w:val="257"/>
        </w:trPr>
        <w:tc>
          <w:tcPr>
            <w:tcW w:w="2940" w:type="dxa"/>
            <w:vAlign w:val="bottom"/>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42,780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16,827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43,718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18,107</w:t>
            </w: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Amortization expense related to definite-lived intangible assets was approximately $855 million and $1.2 billion for the three months ended May 1, 2020 and May 3, 2019, respectively. There were no material impairment charges related to intangible assets during the three months ended May 1, 2020 and May 3, 2019.</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May 1, 2020, the Company recognized proceeds and a gain of $120 million from the sale of certain internally developed intellectual property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estimated future annual pre-tax amortization expense of definite-lived intangible assets as of the date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1, 2020</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Years</w:t>
            </w:r>
          </w:p>
        </w:tc>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5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(remaining nine months)</w:t>
            </w:r>
          </w:p>
        </w:tc>
        <w:tc>
          <w:tcPr>
            <w:tcW w:w="5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2022</w:t>
            </w:r>
          </w:p>
        </w:tc>
        <w:tc>
          <w:tcPr>
            <w:tcW w:w="5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2024</w:t>
            </w:r>
          </w:p>
        </w:tc>
        <w:tc>
          <w:tcPr>
            <w:tcW w:w="5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5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jc w:val="right"/>
              <w:ind w:right="3290"/>
              <w:spacing w:after="0"/>
              <w:rPr>
                <w:sz w:val="20"/>
                <w:szCs w:val="20"/>
                <w:color w:val="auto"/>
              </w:rPr>
            </w:pPr>
            <w:r>
              <w:rPr>
                <w:rFonts w:ascii="Arial" w:cs="Arial" w:eastAsia="Arial" w:hAnsi="Arial"/>
                <w:sz w:val="18"/>
                <w:szCs w:val="18"/>
                <w:color w:val="auto"/>
              </w:rPr>
              <w:t>39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8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REVENUE</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 Deferred revenue is recorded for support and deployment services, software maintenance, professional services, training,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software-as-a-service when the Company has a right to invoice or payments have been received for undelivered products or services where transfer of control has not occurred.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as the Company’s performance obligations under the contract are completed.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Company’s deferred revenue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1, 2020</w:t>
            </w:r>
          </w:p>
        </w:tc>
        <w:tc>
          <w:tcPr>
            <w:tcW w:w="520" w:type="dxa"/>
            <w:vAlign w:val="bottom"/>
          </w:tcPr>
          <w:p>
            <w:pPr>
              <w:spacing w:after="0"/>
              <w:rPr>
                <w:sz w:val="20"/>
                <w:szCs w:val="20"/>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May 3, 2019</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6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Deferred revenue at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27,800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24,010</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deferrals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(4,732)</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revenue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27,617</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24,178</w:t>
            </w: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deferred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13,043</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Long-term 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12,851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11,135</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ind w:left="260" w:right="60" w:hanging="252"/>
        <w:spacing w:after="0" w:line="260" w:lineRule="auto"/>
        <w:tabs>
          <w:tab w:leader="none" w:pos="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Reclassification of RSA Security deferred revenue to liabilities held for sale as of May 1, 2020. See Note 1 of the Notes to the Condensed Consolidated Financial Statements for more information about the pending divestiture of RSA Security.</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Remaining Performance Obligations </w:t>
      </w:r>
      <w:r>
        <w:rPr>
          <w:rFonts w:ascii="Arial" w:cs="Arial" w:eastAsia="Arial" w:hAnsi="Arial"/>
          <w:sz w:val="18"/>
          <w:szCs w:val="18"/>
          <w:color w:val="auto"/>
        </w:rPr>
        <w:t>— Remaining performance obligations represent the aggregate amount of the transaction price allocated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May 1, 2020 was approximately $37 billion. The Company expects to recognize approximately 63% of remaining performance obligations as revenue in the next twelve months, and the remainder thereafter.</w:t>
      </w:r>
    </w:p>
    <w:p>
      <w:pPr>
        <w:spacing w:after="0" w:line="18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spacing w:after="0" w:line="1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a determination is made. For some matters, the amount of liability is not probable or the amount cannot be reasonably estimated and therefore accruals have not been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Company’s significant legal matters and other proceedings:</w:t>
      </w:r>
    </w:p>
    <w:p>
      <w:pPr>
        <w:spacing w:after="0" w:line="225" w:lineRule="exact"/>
        <w:rPr>
          <w:sz w:val="20"/>
          <w:szCs w:val="20"/>
          <w:color w:val="auto"/>
        </w:rPr>
      </w:pPr>
    </w:p>
    <w:p>
      <w:pPr>
        <w:jc w:val="both"/>
        <w:ind w:left="660" w:right="60"/>
        <w:spacing w:after="0" w:line="287" w:lineRule="auto"/>
        <w:rPr>
          <w:sz w:val="20"/>
          <w:szCs w:val="20"/>
          <w:color w:val="auto"/>
        </w:rPr>
      </w:pPr>
      <w:r>
        <w:rPr>
          <w:rFonts w:ascii="Arial" w:cs="Arial" w:eastAsia="Arial" w:hAnsi="Arial"/>
          <w:sz w:val="16"/>
          <w:szCs w:val="16"/>
          <w:i w:val="1"/>
          <w:iCs w:val="1"/>
          <w:color w:val="auto"/>
        </w:rPr>
        <w:t xml:space="preserve">Class Actions Related to the Class V Transaction </w:t>
      </w:r>
      <w:r>
        <w:rPr>
          <w:rFonts w:ascii="Arial" w:cs="Arial" w:eastAsia="Arial" w:hAnsi="Arial"/>
          <w:sz w:val="16"/>
          <w:szCs w:val="16"/>
          <w:color w:val="auto"/>
        </w:rPr>
        <w:t>— Four purported stockholders brought putative class action complaints arising out of the Class</w:t>
      </w:r>
      <w:r>
        <w:rPr>
          <w:rFonts w:ascii="Arial" w:cs="Arial" w:eastAsia="Arial" w:hAnsi="Arial"/>
          <w:sz w:val="16"/>
          <w:szCs w:val="16"/>
          <w:i w:val="1"/>
          <w:iCs w:val="1"/>
          <w:color w:val="auto"/>
        </w:rPr>
        <w:t xml:space="preserve"> </w:t>
      </w:r>
      <w:r>
        <w:rPr>
          <w:rFonts w:ascii="Arial" w:cs="Arial" w:eastAsia="Arial" w:hAnsi="Arial"/>
          <w:sz w:val="16"/>
          <w:szCs w:val="16"/>
          <w:color w:val="auto"/>
        </w:rPr>
        <w:t>V transaction described in Note 1of the Notes to the Condensed Consolidated Financial Statements. The actions were captioned Hallandale Beach Police and Fire Retirement Plan v. Michael Dell et al. (Civil Action No. 2018-0816-JTL), Howard Karp v. Michael Dell et al. (Civil Action No.</w:t>
      </w:r>
    </w:p>
    <w:p>
      <w:pPr>
        <w:spacing w:after="0" w:line="2"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2019-0032-JTL), Miramar Police Officers’ Retirement Plan v. Michael Dell et al. (Civil Action No. 2019-0049-JTL), and Steamfitters Local 449 Pension Plan v. Michael Dell et al. (Civil Action No. 2019-0115-JTL). The four actions were consolidated in the Delaware Chancery Court into In Re Dell Class V Litigation (Consol. C.A. No. 2018-0816-JTL), which names as defendants the Company’s board of directors and certain stockholders of the Company, including Michael S. Dell. The plaintiffs generally allege that the defendants breached their fiduciary duties to the former holders of Class V Common Stock in connection with the Class V transaction by allegedly causing the Company to enter into a transaction that favored the interests of the controlling stockholders at the expense of such former stockholders. The plaintiffs seek, among other remedies, a judicial declaration that the defendants breached their fiduciary duties and an award of damages, fees, and costs. The plaintiffs filed an amended complaint in August 2019 making substantially similar allegations to those described above. The defendants filed a motion to dismiss the action in September 2019. The plaintiffs replied to the motion to dismiss in November 2019, and the defendants filed a reply in December 2019. A hearing on the motion to dismiss was held on March 13, 2020. The Court has taken this motion under consideration.</w:t>
      </w:r>
    </w:p>
    <w:p>
      <w:pPr>
        <w:spacing w:after="0" w:line="169"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i w:val="1"/>
          <w:iCs w:val="1"/>
          <w:color w:val="auto"/>
        </w:rPr>
        <w:t xml:space="preserve">Patent Litigation </w:t>
      </w:r>
      <w:r>
        <w:rPr>
          <w:rFonts w:ascii="Arial" w:cs="Arial" w:eastAsia="Arial" w:hAnsi="Arial"/>
          <w:sz w:val="17"/>
          <w:szCs w:val="17"/>
          <w:color w:val="auto"/>
        </w:rPr>
        <w:t>— On April 25, 2019, Cirba Inc. (“Cirba”) filed a lawsuit against VMware, Inc. in the United States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Delaware, alleging two patent infringement claims and three trademark infringement-related claims. On May 6, 2019, Cirba filed a motion seeking a preliminary injunction tied to one of the two patents it alleges VMware, Inc. infringes. Following a hearing on August 6, 2019, the Court denied Cirba’s preliminary injunction motion and set the case for trial in mid-January 2020. On August 20, 2019, VMware, Inc. filed counterclaims against Cirba, asserting among other claims that Cirba is infringing four VMware, Inc. patents. The Delaware Court severed those claims from the January 2020 trial on Cirba’s claims, and the trial on VMware, Inc.’s patent claims is currently set for September 2021. On October 22, 2019, VMware, Inc. filed a separate patent infringement lawsuit against Cirba in the United States District Court for the Eastern District of Virginia, asserting that Cirba infringes four additional VMware, Inc. patents. The trial on Cirba’s claims in Delaware was completed on January 23, 2020, and on January 24, 2020, the jury returned a verdict finding that VMware, Inc. willfully infringed the two asserted patents and awarding approximately $237 million in damages. The jury further found that VMware, Inc. was not liable on Cirba’s trademark infringement-related claims. A total of $237 million was accrued for the Delaware action during the fiscal year ended January 31, 2020 and reflects the estimated losses that are considered both probable and reasonably estimable at this time. The parties have completed the post-trial briefing stage in the Delaware Court, with the hearing on those motions having occurred on May 15, 2020. The Court has taken those motions under consideration. VMware, Inc. intends to vigorously defend itself in this matter, including having sought to overturn the jury’s verdict in the first Delaware trial during the post-trial briefing stage and, if necessary, on appeal. In its post-trial motions, Cirba sought a permanent injunction, enhanced damages, and attorneys’ fees in the Delaware action. As noted above, VMware, Inc. intends to pursue arguments both in the Delaware Court and, if necessary, the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Federal Circuit to overturn the jury’s verdict. Final resolution of this matter could be materially different from the amount accrued. The amount accrued for this matter is included in Accrued and other in the Condensed Consolidated Statements of Financial Position as of May 1, 2020 and January 31, 2020, and the charge was classified in Selling, general and administrative in the Consolidated Statements of Income (Loss) during the fiscal year ended January 31, 2020.</w:t>
      </w:r>
    </w:p>
    <w:p>
      <w:pPr>
        <w:spacing w:after="0" w:line="187" w:lineRule="exact"/>
        <w:rPr>
          <w:sz w:val="20"/>
          <w:szCs w:val="20"/>
          <w:color w:val="auto"/>
        </w:rPr>
      </w:pPr>
    </w:p>
    <w:p>
      <w:pPr>
        <w:jc w:val="both"/>
        <w:ind w:left="660" w:right="40"/>
        <w:spacing w:after="0" w:line="263"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 The various legal proceedings in which Dell is involved include commercial and intellectual property litigation. Dell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anticipate that any of these matters will have a material adverse effect on its business, financial condition, results of operations, or cash flows.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May 1, 2020,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variables, including the nature, timing, and amount of any associated expenses, amounts paid in settlement, damages, or other remedies or consequences.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ordinary course of business, the Company enters into contractual arrangements under which it may agree to indemnify the third party to such arrangements from any losses incurred relating to the services it performs on behalf of the Company or for losses arising from certain events as defined in the particular contract, such as litigation or claims relating to past performance. Such indemnification obligations may not be subject to maximum loss clauses. Historically, payments related to these indemnifications have not been material to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320" w:top="125" w:right="3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AND OTHER TAXES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three months ended May 1, 2020, the Company’s effective income tax rate was -33.8% on pre-tax income of $136 million. For the three months ended May 3, 2019, the Company’s effective income tax rate was 330.1% on pre-tax losses of $143 million. The change in the Company’s effective tax rate is primarily driven by discrete tax items and a change in the Company’s jurisdictional mix of income. For the three months ended May 1, 2020, the Company’s effective income tax rate benefit includes a discrete tax benefit of $59 million from an intra-entity asset transfer of certain of Pivotal’s intellectual property to an Irish subsidiary that was completed by VMware, Inc. during the quarter. For the three months ended May 3, 2019, the Company’s effective tax rate includes a discrete tax benefit of $405 million related to a similar intra-entity asset transfer. The tax benefit for each intra-entity asset transfer was recorded as a deferred tax asset in the period of transaction and represents the book and tax basis difference on the transferred assets measured based on the intellectual property’s current fair value and applicable Irish statutory tax rate. The Company applied significant judgment when determining the fair value of the intellectual property, which serves as the tax basis of the deferred tax asset, and in evaluating the associated tax laws in the applicable jurisdictions. The tax deductions for amortization of the assets will be recognized in the future, and any amortization not deducted for tax purposes will be carried forward indefinitely under Irish tax laws. The Company expects to be able to realize the deferred tax assets resulting from these intra-entity asset transfers.</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differences between the estimated effective income tax rates and the U.S. federal statutory rate of 21% principally result from the Company’s geographical distribution of income, differences between the book and tax treatment of certain items, and the discrete tax items discussed above. In certain jurisdictions, the Company’s tax rate is significantly less than the applicable statutory rate as a result of tax holidays. The majority of the Company’s foreign income that is subject to these tax holidays and lower tax rates is attributable to Singapore, China, and Malaysia. A significant portion of these income tax benefits relates to a tax holiday that will be effective until January 31, 2029. The Company’s other tax holidays will expire in whole or in part during fiscal years 2022 through 2030. Many of these tax holidays and reduced tax rates may be extended when certain conditions are met or may be terminated early if certain conditions are not met. As of May 1, 2020, the Company was not aware of any matters of non-compliance related to these tax holidays. The effective income tax rate for future quarters of Fiscal 2021 may be impacted by the actual mix of jurisdictions in which income is generated.</w:t>
      </w:r>
    </w:p>
    <w:p>
      <w:pPr>
        <w:spacing w:after="0" w:line="16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December 2019, the Company received a Revenue Agent’s Report for the examination by the Internal Revenue Service (“IRS”) of fiscal years 2010 through 2014. The Company has protested certain proposed assessments within the IRS administrative procedures. This process has been progressing and although the timing of any resolution remains uncertain, the Company anticipates reaching a settlement with the IRS in Fiscal 2021. The IRS has started its examination of fiscal years 2015 through 2019. The Company believes it has valid positions supporting its tax returns and that it is adequately reserved.</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also currently under income tax audits in various state and foreign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the fiscal year ended January 29, 2010.</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Judgment is required in evaluating the Company’s uncertain tax positions and determining the Company’s provision for income taxes. The unrecognized tax benefits were $2.5 billion as of both May 1, 2020 and January 31, 2020, and are included in accrued and other and other non-current liabilities in the Condensed Consolidated Statements of Financial Position. Although timing of resolution or closure of uncertain tax positions is not certain, the Company believes it is reasonably possible that certain tax matters in various jurisdictions, including those matters discussed above, could be concluded within the next twelve months. The resolution of these audits could reduce the Company’s unrecognized tax benefits by an estimated amount of between $550 million and $850 million. Such a reduction will have a material impact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125" w:right="4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ACCUMULATED OTHER COMPREHENSIVE INCOME (LOSS)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Accumulated other comprehensive income (loss) is presented in stockholders’ equity (deficit) in the Condensed Consolidated Statements of Financial Position and consists of amounts related to foreign currency translation adjustments, unrealized net gains (losses) on cash flow hedges, and actuarial net gains (losses) from pension and other postretirement plans.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net of tax, by the following components as of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Foreign Currency</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Translation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and Other</w:t>
            </w: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Comprehensive Income</w:t>
            </w:r>
          </w:p>
        </w:tc>
      </w:tr>
      <w:tr>
        <w:trPr>
          <w:trHeight w:val="210"/>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Adjustments</w:t>
            </w:r>
          </w:p>
        </w:tc>
        <w:tc>
          <w:tcPr>
            <w:tcW w:w="1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 Hedges</w:t>
            </w: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Postretirement Plans</w:t>
            </w:r>
          </w:p>
        </w:tc>
        <w:tc>
          <w:tcPr>
            <w:tcW w:w="120" w:type="dxa"/>
            <w:vAlign w:val="bottom"/>
          </w:tcPr>
          <w:p>
            <w:pPr>
              <w:spacing w:after="0"/>
              <w:rPr>
                <w:sz w:val="18"/>
                <w:szCs w:val="18"/>
                <w:color w:val="auto"/>
              </w:rPr>
            </w:pPr>
          </w:p>
        </w:tc>
        <w:tc>
          <w:tcPr>
            <w:tcW w:w="1560" w:type="dxa"/>
            <w:vAlign w:val="bottom"/>
          </w:tcPr>
          <w:p>
            <w:pPr>
              <w:jc w:val="right"/>
              <w:ind w:right="552"/>
              <w:spacing w:after="0"/>
              <w:rPr>
                <w:sz w:val="20"/>
                <w:szCs w:val="20"/>
                <w:color w:val="auto"/>
              </w:rPr>
            </w:pPr>
            <w:r>
              <w:rPr>
                <w:rFonts w:ascii="Arial" w:cs="Arial" w:eastAsia="Arial" w:hAnsi="Arial"/>
                <w:sz w:val="16"/>
                <w:szCs w:val="16"/>
                <w:b w:val="1"/>
                <w:bCs w:val="1"/>
                <w:color w:val="auto"/>
              </w:rPr>
              <w:t>(Loss)</w:t>
            </w:r>
          </w:p>
        </w:tc>
      </w:tr>
      <w:tr>
        <w:trPr>
          <w:trHeight w:val="33"/>
        </w:trPr>
        <w:tc>
          <w:tcPr>
            <w:tcW w:w="4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5"/>
          </w:tcPr>
          <w:p>
            <w:pPr>
              <w:ind w:left="114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January 31,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160" w:type="dxa"/>
            <w:vAlign w:val="bottom"/>
          </w:tcPr>
          <w:p>
            <w:pPr>
              <w:ind w:left="28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4160" w:type="dxa"/>
            <w:vAlign w:val="bottom"/>
          </w:tcPr>
          <w:p>
            <w:pPr>
              <w:ind w:left="500"/>
              <w:spacing w:after="0"/>
              <w:rPr>
                <w:sz w:val="20"/>
                <w:szCs w:val="20"/>
                <w:color w:val="auto"/>
              </w:rPr>
            </w:pPr>
            <w:r>
              <w:rPr>
                <w:rFonts w:ascii="Arial" w:cs="Arial" w:eastAsia="Arial" w:hAnsi="Arial"/>
                <w:sz w:val="18"/>
                <w:szCs w:val="18"/>
                <w:color w:val="auto"/>
              </w:rPr>
              <w:t>Total change for the period</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1"/>
              </w:rPr>
              <w:t>Less: Change in comprehensive loss attributable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 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i w:val="1"/>
                <w:iCs w:val="1"/>
                <w:color w:val="auto"/>
              </w:rPr>
              <w:t>Balances as of May 1,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Amounts related to the Company’s cash flow hedges are reclassified to net income during the same period in which the items being hedged are recognized in earnings. See Note 7 of the Notes to the Condensed Consolidated Financial Statements for more information on the Company’s derivative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reclassifications out of accumulated other comprehensive income (loss), net of tax, to net income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May 1, 2020</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3, 2019</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Hedges</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Pensions</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Hedges</w:t>
            </w:r>
          </w:p>
        </w:tc>
        <w:tc>
          <w:tcPr>
            <w:tcW w:w="1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Pensions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3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Total reclassifications,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net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NON-CONTROLLING INTERESTS</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i w:val="1"/>
          <w:iCs w:val="1"/>
          <w:color w:val="auto"/>
        </w:rPr>
        <w:t xml:space="preserve">VMware, Inc. </w:t>
      </w:r>
      <w:r>
        <w:rPr>
          <w:rFonts w:ascii="Arial" w:cs="Arial" w:eastAsia="Arial" w:hAnsi="Arial"/>
          <w:sz w:val="16"/>
          <w:szCs w:val="16"/>
          <w:color w:val="auto"/>
        </w:rPr>
        <w:t>— The non-controlling interests’ share of equity in VMware, Inc. is reflected as a component of the non-controlling interests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Statements of Financial Position and was $4.8 billion and $4.6 billion as of May 1, 2020 and January 31, 2020, respectively. As of May 1, 2020 and January 31, 2020, the Company held approximately 80.6% and 80.9%, respectively, of the outstanding equity interest in VMware, Inc.</w:t>
      </w:r>
    </w:p>
    <w:p>
      <w:pPr>
        <w:spacing w:after="0" w:line="14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a result of VMware, Inc.’s acquisition of the non-controlling interest in Pivotal from Pivotal’s public shareholders on December 30, 2019, as described in Note 1 of the Notes to the Condensed Consolidated Financial Statements, the non-controlling interests’ share of equity in Pivotal is only reflected as a component of the non-controlling interest through December 30, 2019. Pivotal’s Class A common stock ceased to be listed and traded on the NYSE as of the acquisition date, and there was no non-controlling interest in Pivotal as of May 1, 2020 and January 31, 2020.</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 The non-controlling interests’ share of equity in Secureworks is reflected as a component of the non-controlling interests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Financial Position and was $92 million and $88 million as of May 1, 2020 and January 31, 2020, respectively. As of May 1, 2020 and January 31, 2020, the Company held approximately 86.0% and 86.8%, respectively, of the outstanding equity interest in Secureworks, excluding restricted stock awards (“RSAs”). As of May 1, 2020 and January 31, 2020, the Company held approximately 85.2% and 86.2%, respectively, of the outstanding equity interest in Secureworks, including RSAs.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the effect of changes in the Company’s ownership interest in VMware, Inc. and Secureworks on the Company’s equity for the period indicated:</w:t>
      </w:r>
    </w:p>
    <w:p>
      <w:pPr>
        <w:spacing w:after="0" w:line="112"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1, 2020</w:t>
            </w:r>
          </w:p>
        </w:tc>
      </w:tr>
      <w:tr>
        <w:trPr>
          <w:trHeight w:val="27"/>
        </w:trPr>
        <w:tc>
          <w:tcPr>
            <w:tcW w:w="9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9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jc w:val="right"/>
              <w:ind w:right="530"/>
              <w:spacing w:after="0"/>
              <w:rPr>
                <w:sz w:val="20"/>
                <w:szCs w:val="20"/>
                <w:color w:val="auto"/>
              </w:rPr>
            </w:pPr>
            <w:r>
              <w:rPr>
                <w:rFonts w:ascii="Arial" w:cs="Arial" w:eastAsia="Arial" w:hAnsi="Arial"/>
                <w:sz w:val="18"/>
                <w:szCs w:val="18"/>
                <w:color w:val="auto"/>
              </w:rPr>
              <w:t>(in millions)</w:t>
            </w: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Dell Technologies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Transfers (to)/from the non-controlling interests:</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Dell Technologies Inc. additional paid-in-capital for equity issuances and other equity activity</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9100" w:type="dxa"/>
            <w:vAlign w:val="bottom"/>
          </w:tcPr>
          <w:p>
            <w:pPr>
              <w:ind w:left="180"/>
              <w:spacing w:after="0"/>
              <w:rPr>
                <w:sz w:val="20"/>
                <w:szCs w:val="20"/>
                <w:color w:val="auto"/>
              </w:rPr>
            </w:pPr>
            <w:r>
              <w:rPr>
                <w:rFonts w:ascii="Arial" w:cs="Arial" w:eastAsia="Arial" w:hAnsi="Arial"/>
                <w:sz w:val="18"/>
                <w:szCs w:val="18"/>
                <w:color w:val="auto"/>
              </w:rPr>
              <w:t>Decrease in Dell Technologies Inc. additional paid-in-capital for equity issuances and other equity activity</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9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transfers to non-controlling interests</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9100" w:type="dxa"/>
            <w:vAlign w:val="bottom"/>
          </w:tcPr>
          <w:p>
            <w:pPr>
              <w:ind w:left="180"/>
              <w:spacing w:after="0"/>
              <w:rPr>
                <w:sz w:val="20"/>
                <w:szCs w:val="20"/>
                <w:color w:val="auto"/>
              </w:rPr>
            </w:pPr>
            <w:r>
              <w:rPr>
                <w:rFonts w:ascii="Arial" w:cs="Arial" w:eastAsia="Arial" w:hAnsi="Arial"/>
                <w:sz w:val="18"/>
                <w:szCs w:val="18"/>
                <w:color w:val="auto"/>
              </w:rPr>
              <w:t>Change from net income attributable to Dell Technologies Inc. and transfers to the non-controlling interests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r>
      <w:tr>
        <w:trPr>
          <w:trHeight w:val="20"/>
        </w:trPr>
        <w:tc>
          <w:tcPr>
            <w:tcW w:w="9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authorized, issued, and outstanding common stock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700" w:type="dxa"/>
            <w:vAlign w:val="bottom"/>
            <w:gridSpan w:val="2"/>
          </w:tcPr>
          <w:p>
            <w:pPr>
              <w:ind w:left="360"/>
              <w:spacing w:after="0"/>
              <w:rPr>
                <w:sz w:val="20"/>
                <w:szCs w:val="20"/>
                <w:color w:val="auto"/>
              </w:rPr>
            </w:pPr>
            <w:r>
              <w:rPr>
                <w:rFonts w:ascii="Arial" w:cs="Arial" w:eastAsia="Arial" w:hAnsi="Arial"/>
                <w:sz w:val="18"/>
                <w:szCs w:val="18"/>
                <w:b w:val="1"/>
                <w:bCs w:val="1"/>
                <w:color w:val="auto"/>
              </w:rPr>
              <w:t>Authorized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w:t>
            </w: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63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56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May 1, 2020</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6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January 31, 2020</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8"/>
        </w:trPr>
        <w:tc>
          <w:tcPr>
            <w:tcW w:w="6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Under the Company’s certificate of incorporation as amended and restated upon the completion of the Class V transaction described in Note 1 of the Notes to the Condensed Consolidated Financial Statements, the Company is prohibited from issuing any of the authorized shares of Class V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is authorized to issue one million shares of preferred stock, par value $0.01 per share. As of May 1, 2020 and January 31, 2020, no shares of preferred stock were issued or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Dell Technologies Common Stock </w:t>
      </w:r>
      <w:r>
        <w:rPr>
          <w:rFonts w:ascii="Arial" w:cs="Arial" w:eastAsia="Arial" w:hAnsi="Arial"/>
          <w:sz w:val="17"/>
          <w:szCs w:val="17"/>
          <w:color w:val="auto"/>
        </w:rPr>
        <w:t>— The Class A Common Stock, the Class B Common Stock, the Class C Common Stock, and the Class D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are collectively referred to as Dell Technologies Common Stock. The par value for all classes of Dell Technologies Common Stock is $0.01 per share. The Class A Common Stock, the Class B Common Stock, the Class C Common Stock, and the Class D Common Stock share equally in dividends declared or accumulated and have equal participation rights in undistributed earnings.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Each holder of record of (a) Class A Common Stock is entitled to ten votes per share of Class A Common Stock; (b)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spacing w:after="0" w:line="1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 Under the Company’s certificate of incorporation, at any time and from time to time, any holder of Class A Common Stock or Class</w:t>
      </w:r>
      <w:r>
        <w:rPr>
          <w:rFonts w:ascii="Arial" w:cs="Arial" w:eastAsia="Arial" w:hAnsi="Arial"/>
          <w:sz w:val="18"/>
          <w:szCs w:val="18"/>
          <w:i w:val="1"/>
          <w:iCs w:val="1"/>
          <w:color w:val="auto"/>
        </w:rPr>
        <w:t xml:space="preserve"> </w:t>
      </w:r>
      <w:r>
        <w:rPr>
          <w:rFonts w:ascii="Arial" w:cs="Arial" w:eastAsia="Arial" w:hAnsi="Arial"/>
          <w:sz w:val="18"/>
          <w:szCs w:val="18"/>
          <w:color w:val="auto"/>
        </w:rPr>
        <w:t>B Common Stock has the right to convert all or any of the shares of Class A Common Stock or Class B Common Stock, as applicable, held by such holder into shares of Class C Common Stock on a one-to-one basis. During the three months ended May 1, 2020, there were no conversions of Class A Common Stock or Class B Common Stock into Class C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Dell Technologies Common Stock Repurchases by Dell Technologies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February 24, 2020, the Company’s board of directors approved a stock repurchase program under which the Company is authorized to repurchase up to $1.0 billion of shares of the Class C Common Stock over a 24-month period expiring on February 28, 2022, of which approximately $760 million remained available as of May 1, 2020. During the three months ended May 1, 2020, the Company repurchased approximately 6 million shares of Class C Common Stock for approximately $240 million. During the same period, the Company suspended activity under its stock repurchase program. During the three months ended May 3, 2019, Dell Technologies Common Stock repurchases were immaterial.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retired, shares repurchased under the repurchase program are placed in the Company’s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Class A Common Stock Repurchases by VMware, Inc.</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On May 29, 2019, VMware, Inc.’s board of directors authorized the repurchase of up to $1.5 billion of VMware, Inc.’s Class A common stock through January 29, 2021, of which $819 million remained available as of May 1, 2020. During the three months ended May 1, 2020, VMware, Inc. repurchased</w:t>
      </w:r>
    </w:p>
    <w:p>
      <w:pPr>
        <w:ind w:right="80"/>
        <w:spacing w:after="0" w:line="260" w:lineRule="auto"/>
        <w:rPr>
          <w:sz w:val="20"/>
          <w:szCs w:val="20"/>
          <w:color w:val="auto"/>
        </w:rPr>
      </w:pPr>
      <w:r>
        <w:rPr>
          <w:rFonts w:ascii="Arial" w:cs="Arial" w:eastAsia="Arial" w:hAnsi="Arial"/>
          <w:sz w:val="18"/>
          <w:szCs w:val="18"/>
          <w:color w:val="auto"/>
        </w:rPr>
        <w:t>1.5 million shares of its Class A common stock in the open market for approximately $181 million. During the three months ended May 3, 2019, VMware, Inc. repurchased 3.3 million shares of its Class A common stock in the open market for approximately $591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shares repurchased under VMware, Inc.’s stock repurchase programs are retired.</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above VMware, Inc. Class A common stock repurchases for the three months ended May 1, 2020 and May 3, 2019 exclude shares repurchased to settle employee tax withholding related to the vesting of VMware, Inc. stock awards of $154 million and $207 million, respectively.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per share is based on the weighted-average effect of all common shares issued and outstanding and is calculated by dividing net income by the weighted-average shares outstanding during the period. Diluted earnings per share is calculated by dividing net income by the weighted-average number of common shares used in the basic earnings per share calculation plus the number of common shares that would be issued assuming exercise or conversion of all potentially dilutive instruments. The Company excludes equity instruments from the calculation of diluted earnings per share if the effect of including such instruments is antidilutive.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Class A Common Stock, the Class B Common Stock, the Class C Common Stock, and the Class D Common Stock are collectively referred to as Dell Technologies Common Stock.</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purposes of calculating earnings per share, the Company uses the two-class method. As all classes of Dell Technologies Common Stock share the same rights in dividends, basic and diluted earnings per share are the same for each class of Dell Technologies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basic and diluted earnings per share for the periods indicated:</w:t>
      </w:r>
    </w:p>
    <w:p>
      <w:pPr>
        <w:spacing w:after="0" w:line="167"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1, 2020</w:t>
            </w:r>
          </w:p>
        </w:tc>
        <w:tc>
          <w:tcPr>
            <w:tcW w:w="36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3, 2019</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Earnings per share attributable to Dell Technologies Inc.</w:t>
            </w:r>
          </w:p>
        </w:tc>
        <w:tc>
          <w:tcPr>
            <w:tcW w:w="3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Dell Technologies Common Stock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0.41</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6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Dell Technologies Common Stock —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7"/>
        </w:trPr>
        <w:tc>
          <w:tcPr>
            <w:tcW w:w="6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per share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May 1, 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May 3, 2019</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60" w:type="dxa"/>
            <w:vAlign w:val="bottom"/>
            <w:gridSpan w:val="3"/>
          </w:tcPr>
          <w:p>
            <w:pPr>
              <w:jc w:val="right"/>
              <w:ind w:right="1150"/>
              <w:spacing w:after="0"/>
              <w:rPr>
                <w:sz w:val="20"/>
                <w:szCs w:val="20"/>
                <w:color w:val="auto"/>
              </w:rPr>
            </w:pPr>
            <w:r>
              <w:rPr>
                <w:rFonts w:ascii="Arial" w:cs="Arial" w:eastAsia="Arial" w:hAnsi="Arial"/>
                <w:sz w:val="18"/>
                <w:szCs w:val="18"/>
                <w:color w:val="auto"/>
              </w:rPr>
              <w:t>(in millions)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Dell Technologies Common Stock</w:t>
            </w:r>
          </w:p>
        </w:tc>
        <w:tc>
          <w:tcPr>
            <w:tcW w:w="1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 xml:space="preserve">Net income attributable to Dell Technologies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1640" w:type="dxa"/>
            <w:vAlign w:val="bottom"/>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Incremental dilution from VMware, Inc. attributable to Dell Technologies (a)</w:t>
            </w:r>
          </w:p>
        </w:tc>
        <w:tc>
          <w:tcPr>
            <w:tcW w:w="16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 xml:space="preserve">Net income attributable to Dell Technologies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1640" w:type="dxa"/>
            <w:vAlign w:val="bottom"/>
            <w:tcBorders>
              <w:top w:val="single" w:sz="8" w:color="auto"/>
            </w:tcBorders>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4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68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w w:val="98"/>
              </w:rPr>
              <w:t>Denominator: Dell Technologies Common Stock weighted-average shares outstanding</w:t>
            </w:r>
          </w:p>
        </w:tc>
        <w:tc>
          <w:tcPr>
            <w:tcW w:w="1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1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16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16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18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antidilutive</w:t>
            </w: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16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____________________</w:t>
            </w:r>
          </w:p>
        </w:tc>
        <w:tc>
          <w:tcPr>
            <w:tcW w:w="1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140" w:hanging="332"/>
        <w:spacing w:after="0" w:line="25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incremental dilution from VMware, Inc. represents the impact of VMware, Inc.’s dilutive securities on diluted earnings per share of Dell Technologies Common Stock, and is calculated by multiplying the difference between VMware, Inc.’s basic and diluted earnings per share by the number of shares of VMware, Inc. common stock held by the Company. For the three months ended May 3, 2019, the incremental dilution from VMware, Inc. was calculated by the Company without regard to VMware Inc.’s required retrospective adjustments for the Pivotal acquisition in its stand-alone financial statements, and there was no incremental dilution from Pivotal due to its net loss position. For both periods presented, there was no incremental dilution from Secureworks due to its net loss position.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REDEEMABLE SHARES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Awards under the Company’s stock incentive plans include certain rights that allow the holder to exercise a put feature for the underlying Class A or Class C Common Stock after a six month holding period following the issuance of such common stock. The put feature requires the Company to purchase the stock at its fair market value. Accordingly, these awards and such common stock are subject to reclassification from equity to temporary equity, and the Company determines the award amounts to be classified as temporary equity as follows:</w:t>
      </w:r>
    </w:p>
    <w:p>
      <w:pPr>
        <w:spacing w:after="0" w:line="171" w:lineRule="exact"/>
        <w:rPr>
          <w:sz w:val="20"/>
          <w:szCs w:val="20"/>
          <w:color w:val="auto"/>
        </w:rPr>
      </w:pPr>
    </w:p>
    <w:p>
      <w:pPr>
        <w:ind w:left="660" w:right="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stock options to purchase Class C Common Stock subject to service requirements, the intrinsic value of the option is multiplied by the portion of the option for which services have been rendered. Upon exercise of the option, the amount in temporary equity represents the fair value of the Class C Common Stock.</w:t>
      </w:r>
    </w:p>
    <w:p>
      <w:pPr>
        <w:spacing w:after="0" w:line="183"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stock appreciation rights, restricted stock units (“RSUs”), or restricted stock awards (“RSAs”), any of which stock award types are subject to service requirements, the fair value of the share is multiplied by the portion of the share for which services have been rendered.</w:t>
      </w:r>
    </w:p>
    <w:p>
      <w:pPr>
        <w:spacing w:after="0" w:line="146"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share-based arrangements that are subject to the occurrence of a contingent event, those amounts are reclassified to temporary equity based on a probability assessment performed by the Company on a periodic basis. Contingent events include the achievement of performance-based metrics.</w:t>
      </w:r>
    </w:p>
    <w:p>
      <w:pPr>
        <w:spacing w:after="0" w:line="18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connection with the Class V transaction described in Note 1 of the Notes to the Condensed Consolidated Financial Statements, the put feature provisions were amended to provide that the put feature applicable to transfers of Dell Technologies securities will terminate upon the earlier of two years after the expiration on June 27, 2019 of the post-transaction lock-up or consummation of any underwritten public offering of shares of Class C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 of redeemable shares classified as temporary equity and summarizes the award type as of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May 1, 2020</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January 31, 2020</w:t>
            </w:r>
          </w:p>
        </w:tc>
      </w:tr>
      <w:tr>
        <w:trPr>
          <w:trHeight w:val="27"/>
        </w:trPr>
        <w:tc>
          <w:tcPr>
            <w:tcW w:w="6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shares classified as temporary equity</w:t>
            </w:r>
          </w:p>
        </w:tc>
        <w:tc>
          <w:tcPr>
            <w:tcW w:w="164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r>
      <w:tr>
        <w:trPr>
          <w:trHeight w:val="324"/>
        </w:trPr>
        <w:tc>
          <w:tcPr>
            <w:tcW w:w="6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unrestricted common shares</w:t>
            </w:r>
          </w:p>
        </w:tc>
        <w:tc>
          <w:tcPr>
            <w:tcW w:w="1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6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1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Outstanding stock options</w:t>
            </w:r>
          </w:p>
        </w:tc>
        <w:tc>
          <w:tcPr>
            <w:tcW w:w="16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w:t>
            </w:r>
          </w:p>
        </w:tc>
      </w:tr>
    </w:tbl>
    <w:p>
      <w:pPr>
        <w:spacing w:after="0" w:line="3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decrease in the value of redeemable shares during the three months ended May 1, 2020 was primarily attributable to a decrease in Class C Common Stock fair value and a reduction in the number of shares eligible for put rights.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INFORMATION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three reportable segments that are based on the following business units: Infrastructure Solutions Group (“ISG”); Client Solutions Group (“CSG”); and VMware.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30, 2019, VMware, Inc. completed its acquisition of Pivotal. Due to the Company’s ownership of a controlling interest in Pivotal, the Company and VMware, Inc. accounted for the Pivotal acquisition as a transaction between entities under common control, and consequently the transaction had no net effect to the Company’s consolidated financial statements. Pivotal now operates as a wholly-owned subsidiary of VMware, Inc. and Dell Technologies reports Pivotal results within the VMware reportable segment. Previously, Pivotal results were reported within Other businesses. Prior period results have been recast to conform with the current period presentation.</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ISG enables the digital transformation of the Company’s customers through its trusted multi-cloud and big data solutions, which are built upon a modern data center infrastructure. The ISG comprehensive portfolio of advanced storage solutions includes traditional storage solutions as well as next-generation storage solutions (such as all-flash arrays, scale-out file, object platforms, and software-defined solutions), while the Company’s server portfolio includes high-performance rack, blade, tower, and hyperscale servers. The ISG networking portfolio helps business customers transform and modernize their infrastructure, mobilize and enrich end-user experiences, and accelerate business applications and processes. ISG also offers attached software, peripherals, and services, including support and deployment, configuration, and extended warranty services.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CSG includes sales to commercial and consumer customers of branded hardware (such as desktops, workstations, and notebooks) and branded peripherals (such as displays and projectors), as well as services and third-party software and peripherals. CSG also offers attached software, peripherals, and services, including support and deployment, configuration, and extended warranty services.</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VMware works with customers in the areas of hybrid and multi-cloud, modern applications, networking, security, and digital workspaces, helping customers manage their IT resources across private clouds and complex multi-cloud, multi-device environments. VMware enables its customers to digitally transform their operations as they ready their applications, infrastructure, and employees for constantly evolving business needs.</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reportable segments disclosed herein are based on information reviewed by the Company’s management to evaluate the business segment results. The Company’s measure of segment revenue and segment operating income for management reporting purposes excludes the impact of Other businesses, unallocated corporate transactions, the impact of purchase accounting, amortization of intangible assets, transaction-related expenses, stock-based compensation expense, and other corporate expenses, as applicable. The Company does not allocate assets to the above reportable segments for internal reporting purposes.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table presents a reconciliation of net revenue by the Company’s reportable segments to the Company’s consolidated net revenue as well as a reconciliation of consolidated segment operating income to the Company’s consolidated operating income (loss)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1, 2020</w:t>
            </w:r>
          </w:p>
        </w:tc>
        <w:tc>
          <w:tcPr>
            <w:tcW w:w="520" w:type="dxa"/>
            <w:vAlign w:val="bottom"/>
          </w:tcPr>
          <w:p>
            <w:pPr>
              <w:spacing w:after="0"/>
              <w:rPr>
                <w:sz w:val="20"/>
                <w:szCs w:val="20"/>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May 3, 2019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7,569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VMware</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net revenue</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21,569</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(c)</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net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21,897</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21,908</w:t>
            </w:r>
          </w:p>
        </w:tc>
        <w:tc>
          <w:tcPr>
            <w:tcW w:w="0" w:type="dxa"/>
            <w:vAlign w:val="bottom"/>
          </w:tcPr>
          <w:p>
            <w:pPr>
              <w:spacing w:after="0"/>
              <w:rPr>
                <w:sz w:val="1"/>
                <w:szCs w:val="1"/>
                <w:color w:val="auto"/>
              </w:rPr>
            </w:pPr>
          </w:p>
        </w:tc>
      </w:tr>
      <w:tr>
        <w:trPr>
          <w:trHeight w:val="311"/>
        </w:trPr>
        <w:tc>
          <w:tcPr>
            <w:tcW w:w="6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Consolidated operating income:</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Infrastructure Solutions Group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Client Solutions Group</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Reportable segment operating income</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businesses (a)</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Unallocated transactions (b)</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(c)</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Transaction-related expenses (d)</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Stock-based compensation expense (e)</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(f)</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6860" w:type="dxa"/>
            <w:vAlign w:val="bottom"/>
          </w:tcPr>
          <w:p>
            <w:pPr>
              <w:ind w:left="380"/>
              <w:spacing w:after="0"/>
              <w:rPr>
                <w:sz w:val="20"/>
                <w:szCs w:val="20"/>
                <w:color w:val="auto"/>
              </w:rPr>
            </w:pPr>
            <w:r>
              <w:rPr>
                <w:rFonts w:ascii="Arial" w:cs="Arial" w:eastAsia="Arial" w:hAnsi="Arial"/>
                <w:sz w:val="18"/>
                <w:szCs w:val="18"/>
                <w:color w:val="auto"/>
              </w:rPr>
              <w:t>Total consolidated 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8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Secureworks, RSA Security, Virtustream, and Boomi constitute “Other businesses” and do not meet the requirements for a reportable segment, either individually or collectively. The results of Other businesses are not material to the Company’s overall results.</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Unallocated transactions includes other corporate items that are not allocated to Dell Technologies’ reportable segments.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Impact of purchase accounting includes non-cash purchase accounting adjustments that are primarily related to the EMC merger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Transaction-related expenses includes acquisition, integration, and divestiture related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 expense consists of equity awards granted based on the estimated fair value of those awards at grant date.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corporate expenses includes severance, facility action, and other costs.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disaggregation of net revenue by reportable segment, and by major product categories within the segments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1, 2020</w:t>
            </w:r>
          </w:p>
        </w:tc>
        <w:tc>
          <w:tcPr>
            <w:tcW w:w="520" w:type="dxa"/>
            <w:vAlign w:val="bottom"/>
          </w:tcPr>
          <w:p>
            <w:pPr>
              <w:spacing w:after="0"/>
              <w:rPr>
                <w:sz w:val="20"/>
                <w:szCs w:val="20"/>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May 3, 2019</w:t>
            </w: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6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i w:val="1"/>
                <w:iCs w:val="1"/>
                <w:color w:val="auto"/>
              </w:rPr>
              <w:t>Infrastructure Solutions Group:</w:t>
            </w: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Servers and networking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4,180</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Storage</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4,022</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ISG net revenue</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8,202</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i w:val="1"/>
                <w:iCs w:val="1"/>
                <w:color w:val="auto"/>
              </w:rPr>
              <w:t>Client Solutions Group:</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8,307</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Consumer</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2,603</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CSG net revenue</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i w:val="1"/>
                <w:iCs w:val="1"/>
                <w:color w:val="auto"/>
              </w:rPr>
              <w:t>VMware:</w:t>
            </w:r>
          </w:p>
        </w:tc>
        <w:tc>
          <w:tcPr>
            <w:tcW w:w="3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VMware net revenue</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w:t>
            </w:r>
          </w:p>
        </w:tc>
      </w:tr>
      <w:tr>
        <w:trPr>
          <w:trHeight w:val="257"/>
        </w:trPr>
        <w:tc>
          <w:tcPr>
            <w:tcW w:w="6860" w:type="dxa"/>
            <w:vAlign w:val="bottom"/>
          </w:tcPr>
          <w:p>
            <w:pPr>
              <w:ind w:left="820"/>
              <w:spacing w:after="0"/>
              <w:rPr>
                <w:sz w:val="20"/>
                <w:szCs w:val="20"/>
                <w:color w:val="auto"/>
              </w:rPr>
            </w:pPr>
            <w:r>
              <w:rPr>
                <w:rFonts w:ascii="Arial" w:cs="Arial" w:eastAsia="Arial" w:hAnsi="Arial"/>
                <w:sz w:val="18"/>
                <w:szCs w:val="18"/>
                <w:color w:val="auto"/>
              </w:rPr>
              <w:t>Total segment net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21,428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21,569</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SUPPLEMENTAL CONSOLIDATED FINANCIAL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additional information on selected accounts included in the Condensed Consolidated Statements of Financial Position as of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1, 2020</w:t>
            </w:r>
          </w:p>
        </w:tc>
        <w:tc>
          <w:tcPr>
            <w:tcW w:w="42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January 31, 2020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other current assets (a)</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Restricted cash - other non-current assets (a)</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12,998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10,151</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Inventories, net:</w:t>
            </w: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inventories,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non-current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Deferred and other tax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ROU assets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Deferred Commissions</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other non-current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10,446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10,428</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non-current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Deferred and other tax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Warranty liability</w:t>
            </w:r>
          </w:p>
        </w:tc>
        <w:tc>
          <w:tcPr>
            <w:tcW w:w="3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57"/>
        </w:trPr>
        <w:tc>
          <w:tcPr>
            <w:tcW w:w="6860" w:type="dxa"/>
            <w:vAlign w:val="bottom"/>
          </w:tcPr>
          <w:p>
            <w:pPr>
              <w:ind w:left="280"/>
              <w:spacing w:after="0"/>
              <w:rPr>
                <w:sz w:val="20"/>
                <w:szCs w:val="20"/>
                <w:color w:val="auto"/>
              </w:rPr>
            </w:pPr>
            <w:r>
              <w:rPr>
                <w:rFonts w:ascii="Arial" w:cs="Arial" w:eastAsia="Arial" w:hAnsi="Arial"/>
                <w:sz w:val="18"/>
                <w:szCs w:val="18"/>
                <w:color w:val="auto"/>
              </w:rPr>
              <w:t>Total other non-current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5,340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Restricted cash primarily includes cash required to be held in escrow pursuant to DFS securitization arrangements and VMware, Inc. restricted cash.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 — Allowance for Expected Credit Losses</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Allowance for expected credit losses of trade receivables as of May 1, 2020 includes the impact of adoption of the new CECL standard, which was adopted as of February 1, 2020 using the modified retrospective method. The provision recognized on the Condensed Consolidated Statements of Income (Loss) during the three months ended May 1, 2020 is based on an assessment of the impact of current and expected future conditions, inclusive of the effect of the COVID-19 pandemic on credit losses. The duration and severity of COVID-19 and continued market volatility is highly uncertain and, as such, the impact on expected credit losses is subject to significant judgment and may cause variability in the Company’s allowance for credit losses in future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Company’s allowance for expected credit losses for the period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May 1, 2020</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jc w:val="center"/>
              <w:ind w:left="410"/>
              <w:spacing w:after="0"/>
              <w:rPr>
                <w:sz w:val="20"/>
                <w:szCs w:val="20"/>
                <w:color w:val="auto"/>
              </w:rPr>
            </w:pPr>
            <w:r>
              <w:rPr>
                <w:rFonts w:ascii="Arial" w:cs="Arial" w:eastAsia="Arial" w:hAnsi="Arial"/>
                <w:sz w:val="18"/>
                <w:szCs w:val="18"/>
                <w:color w:val="auto"/>
                <w:w w:val="96"/>
              </w:rPr>
              <w:t>(in millions)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Trade Receivables - Allowance for expected credit losses:</w:t>
            </w: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13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for adoption of the new CECL standard (Note 1)</w:t>
            </w: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Provision charged to income statement</w:t>
            </w:r>
          </w:p>
        </w:tc>
        <w:tc>
          <w:tcPr>
            <w:tcW w:w="1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Bad debt write-offs</w:t>
            </w:r>
          </w:p>
        </w:tc>
        <w:tc>
          <w:tcPr>
            <w:tcW w:w="1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Warranty Liability</w:t>
            </w: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86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00" w:type="dxa"/>
            <w:vAlign w:val="bottom"/>
            <w:gridSpan w:val="5"/>
          </w:tcPr>
          <w:p>
            <w:pPr>
              <w:spacing w:after="0"/>
              <w:rPr>
                <w:sz w:val="20"/>
                <w:szCs w:val="20"/>
                <w:color w:val="auto"/>
              </w:rPr>
            </w:pPr>
            <w:r>
              <w:rPr>
                <w:rFonts w:ascii="Arial" w:cs="Arial" w:eastAsia="Arial" w:hAnsi="Arial"/>
                <w:sz w:val="18"/>
                <w:szCs w:val="18"/>
                <w:color w:val="auto"/>
                <w:w w:val="95"/>
              </w:rPr>
              <w:t>The following table presents changes in the Company’s liability for standard limited warranties for the periods indicated:</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88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May 1, 2020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rPr>
              <w:t>May 3, 2019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60" w:type="dxa"/>
            <w:vAlign w:val="bottom"/>
            <w:gridSpan w:val="4"/>
          </w:tcPr>
          <w:p>
            <w:pPr>
              <w:jc w:val="right"/>
              <w:ind w:right="1130"/>
              <w:spacing w:after="0"/>
              <w:rPr>
                <w:sz w:val="20"/>
                <w:szCs w:val="20"/>
                <w:color w:val="auto"/>
              </w:rPr>
            </w:pPr>
            <w:r>
              <w:rPr>
                <w:rFonts w:ascii="Arial" w:cs="Arial" w:eastAsia="Arial" w:hAnsi="Arial"/>
                <w:sz w:val="18"/>
                <w:szCs w:val="18"/>
                <w:color w:val="auto"/>
              </w:rPr>
              <w:t>(in millions)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Warranty liability:</w:t>
            </w: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Warranty liability at beginning of period</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640" w:type="dxa"/>
            <w:vAlign w:val="bottom"/>
            <w:gridSpan w:val="2"/>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 accrued for new warranty contracts and changes in estimates for pre-existing</w:t>
            </w:r>
          </w:p>
        </w:tc>
        <w:tc>
          <w:tcPr>
            <w:tcW w:w="1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warranties (a) (b)</w:t>
            </w:r>
          </w:p>
        </w:tc>
        <w:tc>
          <w:tcPr>
            <w:tcW w:w="16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Service obligations honored</w:t>
            </w: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liability at end of period</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gridSpan w:val="2"/>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Current portion</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1640" w:type="dxa"/>
            <w:vAlign w:val="bottom"/>
            <w:gridSpan w:val="2"/>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Non-current portion</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8"/>
        </w:trPr>
        <w:tc>
          <w:tcPr>
            <w:tcW w:w="686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right="680" w:hanging="332"/>
        <w:spacing w:after="0" w:line="28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cost estimates related to pre-existing warranties are aggregated with accruals for new standard warranty contracts. The Company’s warranty liability process does not differentiate between estimates made for pre-existing warranties and new warranty obligations.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May 11, 2020, VMware, Inc. repaid $1.25 billion principal amount of its 2.30% Notes due August 2020.</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entered into a new revolving credit facility for China (the “China Revolving Credit Facility”) effective May 25, 2020. The new terms provide for collateralized and non-collateralized principal amounts not to exceed $1.0 billion Chinese renminbi and $1.8 billion Chinese renminbi, respectively, or equivalent amounts in U.S. dollars. Outstanding borrowings under the collateralized portion of the China Revolving Credit Facility bear interest at the loan prime rate (LPR) less 0.2%, for borrowings denominated in Chinese renminbi, or LIBOR plus 1.0%, for borrowings denominated in U.S. dollars, and outstanding borrowings under the non-collateralized portion bear interest at LPR less 0.2%, for borrowings denominated in Chinese renminbi, or LIBOR plus 1.4%, for borrowings denominated in U.S. dollars. The new facility expires on August 30, 2020.</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than the matters identified above, there were no known events occurring after May 1, 2020 and up until the date of the issuance of this report that would materially affect the information presented herein.</w:t>
      </w: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320" w:top="125" w:right="6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This management’s discussion and analysis should be read in conjunction with the audited Consolidated Financial Statements and accompanying Notes included in the Company’s annual report on Form 10-K for the fiscal year ended January 31, 2020 and the unaudited Condensed Consolidated Financial Statements included in this report. 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Our fiscal year is the 52- or 53-week period ending on the Friday nearest January 31. We refer to our fiscal year ending January 29, 2021 and our fiscal year ended January 31, 2020 as “Fiscal 2021” and “Fiscal 2020,” respectively. Fiscal 2021 and Fiscal 2020 include 52 weeks.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Dell Technologies is a leading global end-to-end technology provider, with a comprehensive portfolio of IT hardware, software, and services solutions spanning both traditional infrastructure and emerging multi-cloud technologies that enable our customers to build their digital future and transform how they work and live. We operate globally across key functional areas such as technology and product development, marketing, go-to-market, and global services, and are supported by Dell Financial Services. We continue to seamlessly deliver differentiated and holistic IT solutions to our customers, which has driven significant revenue growth and share gains.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Dell Technologies operates with significant scale and an unmatched breadth of complementary offerings. Digital transformation has become essential to all businesses, and we have expanded our portfolio to include holistic solutions that enable our customers to drive their ongoing digital transformation initiatives. Dell Technologies’ integrated solutions help customers modernize their IT infrastructure, address workforce transformation, and provide critical security solutions to protect against the ever increasing and evolving security threats. With our extensive portfolio and our commitment to innovation, we have the ability to offer secure, integrated solutions that extend from the edge to the core to the cloud, and we are at the forefront of the software-defined and cloud native infrastructure era. Our end-to-end portfolio is supported by a differentiated go-to-market engine, which includes a 43,000-person sales force, a global network of channel partners, and a world-class supply chain that together drive long-term growth and operating efficiencies.</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125" w:right="3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design, develop, manufacture, market, sell, and support a wide range of comprehensive and integrated solutions, products, and services. We are organized into the following business units, which are our reportable segments: Infrastructure Solutions Group; Client Solutions Group; and VMware.</w:t>
      </w:r>
    </w:p>
    <w:p>
      <w:pPr>
        <w:spacing w:after="0" w:line="124" w:lineRule="exact"/>
        <w:rPr>
          <w:sz w:val="20"/>
          <w:szCs w:val="20"/>
          <w:color w:val="auto"/>
        </w:rPr>
      </w:pPr>
    </w:p>
    <w:p>
      <w:pPr>
        <w:ind w:left="660" w:right="140" w:hanging="328"/>
        <w:spacing w:after="0" w:line="279" w:lineRule="auto"/>
        <w:tabs>
          <w:tab w:leader="none" w:pos="6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Infrastructure Solutions Group (“ISG”)</w:t>
      </w:r>
      <w:r>
        <w:rPr>
          <w:rFonts w:ascii="Arial" w:cs="Arial" w:eastAsia="Arial" w:hAnsi="Arial"/>
          <w:sz w:val="17"/>
          <w:szCs w:val="17"/>
          <w:i w:val="1"/>
          <w:iCs w:val="1"/>
          <w:color w:val="auto"/>
        </w:rPr>
        <w:t xml:space="preserve"> </w:t>
      </w:r>
      <w:r>
        <w:rPr>
          <w:rFonts w:ascii="Arial" w:cs="Arial" w:eastAsia="Arial" w:hAnsi="Arial"/>
          <w:sz w:val="17"/>
          <w:szCs w:val="17"/>
          <w:color w:val="auto"/>
        </w:rPr>
        <w:t>— ISG enables the digital transformation of our customers through our trusted multi-cloud and big data</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which are built upon a modern data center infrastructure. ISG works with customers in the area of hybrid cloud deployment with the goal of simplifying, streamlining, and automating cloud operations. ISG solutions are built for multicloud environments and are optimized to run cloud native workloads in both public and private clouds, as well as traditional on-premise workloads.</w:t>
      </w:r>
    </w:p>
    <w:p>
      <w:pPr>
        <w:spacing w:after="0" w:line="171" w:lineRule="exact"/>
        <w:rPr>
          <w:rFonts w:ascii="Arial" w:cs="Arial" w:eastAsia="Arial" w:hAnsi="Arial"/>
          <w:sz w:val="17"/>
          <w:szCs w:val="17"/>
          <w:i w:val="1"/>
          <w:iCs w:val="1"/>
          <w:color w:val="auto"/>
        </w:rPr>
      </w:pPr>
    </w:p>
    <w:p>
      <w:pPr>
        <w:ind w:left="660" w:right="20"/>
        <w:spacing w:after="0" w:line="270" w:lineRule="auto"/>
        <w:rPr>
          <w:rFonts w:ascii="Arial" w:cs="Arial" w:eastAsia="Arial" w:hAnsi="Arial"/>
          <w:sz w:val="17"/>
          <w:szCs w:val="17"/>
          <w:i w:val="1"/>
          <w:iCs w:val="1"/>
          <w:color w:val="auto"/>
        </w:rPr>
      </w:pPr>
      <w:r>
        <w:rPr>
          <w:rFonts w:ascii="Arial" w:cs="Arial" w:eastAsia="Arial" w:hAnsi="Arial"/>
          <w:sz w:val="17"/>
          <w:szCs w:val="17"/>
          <w:color w:val="auto"/>
        </w:rPr>
        <w:t>Our comprehensive portfolio of advanced storage solutions includes traditional storage solutions as well as next-generation storage solutions (such as all-flash arrays, scale-out file, object platforms, and software-defined solutions). We have simplified our storage portfolio to ensure that we deliver the technology needed for our customers’ digital transformation. Our server portfolio includes high-performance rack, blade, tower, and hyperscale servers, optimized for artificial intelligence and machine learning workloads.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180" w:lineRule="exact"/>
        <w:rPr>
          <w:rFonts w:ascii="Arial" w:cs="Arial" w:eastAsia="Arial" w:hAnsi="Arial"/>
          <w:sz w:val="17"/>
          <w:szCs w:val="17"/>
          <w:i w:val="1"/>
          <w:iCs w:val="1"/>
          <w:color w:val="auto"/>
        </w:rPr>
      </w:pPr>
    </w:p>
    <w:p>
      <w:pPr>
        <w:ind w:left="66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70" w:lineRule="exact"/>
        <w:rPr>
          <w:rFonts w:ascii="Arial" w:cs="Arial" w:eastAsia="Arial" w:hAnsi="Arial"/>
          <w:sz w:val="17"/>
          <w:szCs w:val="17"/>
          <w:i w:val="1"/>
          <w:iCs w:val="1"/>
          <w:color w:val="auto"/>
        </w:rPr>
      </w:pPr>
    </w:p>
    <w:p>
      <w:pPr>
        <w:ind w:left="660" w:right="160" w:hanging="328"/>
        <w:spacing w:after="0" w:line="254"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CSG includes branded hardware (such as desktops, workstations, and notebooks) and branded peripherals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displays and projectors), as well as third-party software and peripherals. Our computing devices are designed with our commercial and consumer customers’ needs in mind, and we seek to optimize performance, reliability, manageability, design, and security. In addition to our traditional hardware business, we have a portfolio of thin client offerings that we believe will allow us to benefit from the growth trends in cloud computing. For our customers that are seeking to simplify client lifecycle management, Dell PC as a Service offering combines hardware, software, lifecycle services, and financing into one all-encompassing solution that provides predictable pricing per seat per month through Dell Financial Services. CSG also offers attached software, peripherals, and services, including support and deployment, configuration, and extended warranty services.</w:t>
      </w:r>
    </w:p>
    <w:p>
      <w:pPr>
        <w:spacing w:after="0" w:line="191" w:lineRule="exact"/>
        <w:rPr>
          <w:rFonts w:ascii="Arial" w:cs="Arial" w:eastAsia="Arial" w:hAnsi="Arial"/>
          <w:sz w:val="18"/>
          <w:szCs w:val="18"/>
          <w:i w:val="1"/>
          <w:iCs w:val="1"/>
          <w:color w:val="auto"/>
        </w:rPr>
      </w:pPr>
    </w:p>
    <w:p>
      <w:pPr>
        <w:ind w:left="660" w:right="7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170" w:lineRule="exact"/>
        <w:rPr>
          <w:rFonts w:ascii="Arial" w:cs="Arial" w:eastAsia="Arial" w:hAnsi="Arial"/>
          <w:sz w:val="18"/>
          <w:szCs w:val="18"/>
          <w:i w:val="1"/>
          <w:iCs w:val="1"/>
          <w:color w:val="auto"/>
        </w:rPr>
      </w:pPr>
    </w:p>
    <w:p>
      <w:pPr>
        <w:ind w:left="660" w:right="20" w:hanging="328"/>
        <w:spacing w:after="0" w:line="273" w:lineRule="auto"/>
        <w:tabs>
          <w:tab w:leader="none" w:pos="6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VMware</w:t>
      </w:r>
      <w:r>
        <w:rPr>
          <w:rFonts w:ascii="Arial" w:cs="Arial" w:eastAsia="Arial" w:hAnsi="Arial"/>
          <w:sz w:val="17"/>
          <w:szCs w:val="17"/>
          <w:i w:val="1"/>
          <w:iCs w:val="1"/>
          <w:color w:val="auto"/>
        </w:rPr>
        <w:t xml:space="preserve"> </w:t>
      </w:r>
      <w:r>
        <w:rPr>
          <w:rFonts w:ascii="Arial" w:cs="Arial" w:eastAsia="Arial" w:hAnsi="Arial"/>
          <w:sz w:val="17"/>
          <w:szCs w:val="17"/>
          <w:color w:val="auto"/>
        </w:rPr>
        <w:t>— The VMware reportable segment (“VMware”) reflects the operations of VMware, Inc. (NYSE: VMW) within Dell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VMware works with customers in the areas of hybrid and multi-cloud, modern applications, networking, security, and digital workspaces, helping customers manage their IT resources across private clouds and complex multi-cloud, multi-device environments. VMware’s portfolio supports and addresses the key IT priorities of customers: accelerating their cloud journey, modernizing their applications, empowering digital workspaces, transforming networking, and embracing intrinsic security. VMware enables its customers to digitally transform their operations as they ready their applications, infrastructure, and employees for constantly evolving business needs.</w:t>
      </w:r>
    </w:p>
    <w:p>
      <w:pPr>
        <w:spacing w:after="0" w:line="177" w:lineRule="exact"/>
        <w:rPr>
          <w:rFonts w:ascii="Arial" w:cs="Arial" w:eastAsia="Arial" w:hAnsi="Arial"/>
          <w:sz w:val="17"/>
          <w:szCs w:val="17"/>
          <w:i w:val="1"/>
          <w:iCs w:val="1"/>
          <w:color w:val="auto"/>
        </w:rPr>
      </w:pPr>
    </w:p>
    <w:p>
      <w:pPr>
        <w:ind w:left="660" w:right="32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During the third quarter of Fiscal 2020, VMware, Inc. completed its acquisition of Carbon Black, Inc. (“Carbon Black”), a developer of cloud-native endpoint protection.</w:t>
      </w:r>
    </w:p>
    <w:p>
      <w:pPr>
        <w:spacing w:after="0" w:line="170" w:lineRule="exact"/>
        <w:rPr>
          <w:rFonts w:ascii="Arial" w:cs="Arial" w:eastAsia="Arial" w:hAnsi="Arial"/>
          <w:sz w:val="17"/>
          <w:szCs w:val="17"/>
          <w:i w:val="1"/>
          <w:iCs w:val="1"/>
          <w:color w:val="auto"/>
        </w:rPr>
      </w:pPr>
    </w:p>
    <w:p>
      <w:pPr>
        <w:ind w:left="660" w:right="160"/>
        <w:spacing w:after="0" w:line="257" w:lineRule="auto"/>
        <w:rPr>
          <w:rFonts w:ascii="Arial" w:cs="Arial" w:eastAsia="Arial" w:hAnsi="Arial"/>
          <w:sz w:val="17"/>
          <w:szCs w:val="17"/>
          <w:i w:val="1"/>
          <w:iCs w:val="1"/>
          <w:color w:val="auto"/>
        </w:rPr>
      </w:pPr>
      <w:r>
        <w:rPr>
          <w:rFonts w:ascii="Arial" w:cs="Arial" w:eastAsia="Arial" w:hAnsi="Arial"/>
          <w:sz w:val="18"/>
          <w:szCs w:val="18"/>
          <w:color w:val="auto"/>
        </w:rPr>
        <w:t>On December 30, 2019, VMware, Inc. completed its acquisition of Pivotal Software, Inc. (“Pivotal”). Before the transaction, Pivotal was a majority-owned subsidiary of Dell Technologies through EMC and VMware, Inc. Pivotal provides a leading cloud-native platform that makes software development and IT operations a strategic advantage for customers. Pivotal’s cloud-native platform, Pivotal Cloud Foundry, accelerates and streamlines software development by reducing the complexity of building, deploying, and operating new cloud-native applications, and modernizing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legacy applications. With the acquisition, which aligns key software assets, VMware, Inc. will drive and build on a comprehensive development platform with Kubernetes.</w:t>
      </w:r>
    </w:p>
    <w:p>
      <w:pPr>
        <w:spacing w:after="0" w:line="170"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Dell Technologies now reports Pivotal results within the VMware reportable segment, and the historical segment results have been recast to reflect this change. Pivotal results were previously reported within other businesses. See Note 17 of the Notes to the Condensed Consolidated Financial Statements included in this report for the recast of segment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half of VMware revenue is generated by sales to customers in the United States.</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Our other businesses, described below, consist of product and service offerings of Secureworks, Virtustream, Boomi, and RSA Security, each of which is majority-owned by Dell Technologies. These businesses are not classified as reportable segments, either individually or collectively, as the results of the businesses are not material to our overall results and the businesses do not meet the criteria for reportable segments.</w:t>
      </w:r>
    </w:p>
    <w:p>
      <w:pPr>
        <w:spacing w:after="0" w:line="165" w:lineRule="exact"/>
        <w:rPr>
          <w:sz w:val="20"/>
          <w:szCs w:val="20"/>
          <w:color w:val="auto"/>
        </w:rPr>
      </w:pPr>
    </w:p>
    <w:p>
      <w:pPr>
        <w:ind w:left="660" w:right="4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protecting its clients from cyber 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spacing w:after="0" w:line="18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processes are optimized, data is accurate and workflow is reliable.</w:t>
      </w:r>
    </w:p>
    <w:p>
      <w:pPr>
        <w:spacing w:after="0" w:line="170"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Security </w:t>
      </w:r>
      <w:r>
        <w:rPr>
          <w:rFonts w:ascii="Arial" w:cs="Arial" w:eastAsia="Arial" w:hAnsi="Arial"/>
          <w:sz w:val="18"/>
          <w:szCs w:val="18"/>
          <w:color w:val="auto"/>
        </w:rPr>
        <w:t>provides essential cybersecurity solutions engineered to enable organizations to detect, investigate, and respond to advanced attacks,</w:t>
      </w:r>
      <w:r>
        <w:rPr>
          <w:rFonts w:ascii="Arial" w:cs="Arial" w:eastAsia="Arial" w:hAnsi="Arial"/>
          <w:sz w:val="18"/>
          <w:szCs w:val="18"/>
          <w:i w:val="1"/>
          <w:iCs w:val="1"/>
          <w:color w:val="auto"/>
        </w:rPr>
        <w:t xml:space="preserve"> </w:t>
      </w:r>
      <w:r>
        <w:rPr>
          <w:rFonts w:ascii="Arial" w:cs="Arial" w:eastAsia="Arial" w:hAnsi="Arial"/>
          <w:sz w:val="18"/>
          <w:szCs w:val="18"/>
          <w:color w:val="auto"/>
        </w:rPr>
        <w:t>confirm and manage identities, and, ultimately, help reduce IP theft, fraud, and cybercrime. In February 2020, Dell Technologies announced its entry into a definitive agreement to sell RSA Security to a consortium of investors in an all-cash transaction for approximately $2.075 billion, subject to certain closing adjustments. The transaction, expected to close in the third quarter of Fiscal 2021, is intended to further simplify our product portfolio and corporate structure.</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believe the collaboration, innovation, and coordination of the operations and strategies across all segments of our business, as well as our differentiated go-to-market model, will continue to drive revenue synergies. Through our coordinated research and development activities, we are able to jointly engineer leading innovative solutions that incorporate the distinct set of hardware, software, and services across all segments of our business.</w:t>
      </w:r>
    </w:p>
    <w:p>
      <w:pPr>
        <w:spacing w:after="0" w:line="1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products and services offerings are continually evolving in response to industry dynamics. As a result, reclassifications of certain products and services solutions in major product categories may be required. For further discussion regarding our current reportable segments, see “Results of Operations — Business Unit Results” and Note 17 of the Notes to the Condensed Consolidated Financial Statements included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Dell Financial Services and its affiliates (“DFS”) support our businesses by offering and arranging various financing options and services for our customers in North America, Europe, Australia, and New Zealand. DFS originates, collects, and services customer receivables primarily related to the purchase or use of our product, software, and service solutions. We also arrange financing for some of our customers in various countries where DFS does not currently operate as a captive. DFS further strengthens our customer relationships through its flexible consumption models, which enable us to offer our customers the option to pay over time and, in certain cases, based on utilization, providing them with financial flexibility to meet their changing technological requirements. The results of these operations are allocated to our segments based on the underlying product or service financed. For additional information about our financing arrangements, see Note 4 of the Notes to the Condensed Consolidated Financial Statements included in this report.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 and Acquisitions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part of our strategy, we will continue to evaluate opportunities for strategic investments through our venture capital investment arm, Dell Technologies Capital, with a focus on emerging technology areas that are relevant to all segments of our business and that will complement our existing portfolio of solutions. Our investment areas include storage, software-defined networking, management and orchestration, security, machine learning and artificial intelligence, Big Data and analytics, cloud, Internet of Things (“IoT”), and software development operations. In addition to these investments, we also may make disciplined acquisitions targeting businesses that advance our strategic objectives. As of May 1, 2020 and January 31, 2020, Dell Technologies held strategic investments of $1.0 billion and $0.9 billion,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Challenges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u w:val="single" w:color="auto"/>
          <w:color w:val="auto"/>
        </w:rPr>
        <w:t>COVID-19 Pandemic and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 In March 2020, the World Health Organization (“WHO”) declared the outbreak of the coronavirus disease 2019</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a global pandemic. This declaration has been followed by significant governmental measures implemented in the United States and globally, including travel bans and restrictions, shelter-in-place orders, limitations and closures of non-essential businesses, and social distancing requirements in efforts to slow down and control the spread of the virus.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health of our employees, customers, business partners, and communities remains our primary focus. We have taken numerous actions to date in response to COVID-19, including a swift implementation of our business continuity plans. Our crisis management team is actively engaged to respond to changes in our environment quickly and effectively, and to ensure that our preparedness plans and response activities are aligned with recommendations of the WHO, the U.S. Centers for Disease Control and Prevention and governmental regulations. We have implemented broad travel restrictions and moved to virtual-only events. Most of our employees were previously equipped with remote work capabilities over the past several years, thus we were able to quickly establish a work from home posture for the majority of our employees. Further, we implemented pandemic-specific protocols for our essential employees whose jobs require them to be on-site or with customers. Certain regions and municipalities within the United States and internationally are beginning to lift stay-at-home and quarantine mandates, and we are actively developing return-to-site protocols to ensure the health and safety of our employees, customers, and business partners.</w:t>
      </w:r>
    </w:p>
    <w:p>
      <w:pPr>
        <w:spacing w:after="0" w:line="18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working closely with our customers and business partners to support them as they expand their own remote work solutions and contingency plans, helping them access our products and services remotely. We have benefited from our agility, our breadth, and our scale. Notable actions we have taken include the following:</w:t>
      </w:r>
    </w:p>
    <w:p>
      <w:pPr>
        <w:spacing w:after="0" w:line="1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global sales teams embraced a new selling process and are successfully supporting our customers and partners remotely.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helping to address our customers’ cash flow requirements by expanding our as-a-service and financing offerings.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close relationships and ability to connect directly with our customers through our e-commerce business have enabled us to quickly meet the immediate demands of the new work and learn from home environments.</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scale, and resiliency of our global supply chain have afforded us flexibility to manage through this challenging time. We adapted to events unfolding real-time by applying predictive analytics to model a variety of outcomes to respond quickly to the changing environment. We were able to keep factories open by working through various local governmental regulations and mandates. During this time, we established robust safety measures to protect the health and safety of our essential team members.</w:t>
      </w:r>
    </w:p>
    <w:p>
      <w:pPr>
        <w:spacing w:after="0" w:line="186" w:lineRule="exact"/>
        <w:rPr>
          <w:rFonts w:ascii="Arial" w:cs="Arial" w:eastAsia="Arial" w:hAnsi="Arial"/>
          <w:sz w:val="18"/>
          <w:szCs w:val="18"/>
          <w:color w:val="auto"/>
        </w:rPr>
      </w:pPr>
    </w:p>
    <w:p>
      <w:pPr>
        <w:jc w:val="both"/>
        <w:ind w:left="660" w:right="20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 to drive innovation and excellence in engineering with a largely remote workforce. Engineers and product teams recently delivered several critical solutions, including cloud updates, and key client product refreshes, as well as the May 2020 launch of the PowerStore midrange storage solution.</w:t>
      </w:r>
    </w:p>
    <w:p>
      <w:pPr>
        <w:spacing w:after="0" w:line="18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During the first quarter of Fiscal 2021, we also took certain precautionary measures to increase our cash position and preserve financial flexibility. For additional information regarding our cash position, liquidity and capital structure, see “Market Conditions, Liquidity and Capital Commitments.”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saw unique demand dynamics over the course of the quarter and see an uncertain environment as we look ahead. We made a series of prudent decisions to manage expenses and preserve liquidity including but not limited to global hiring limitations, reduction in consulting and contractor costs, global travel restrictions, and, subsequent to May 1, 2020, a temporary suspension of the Dell 401(k) match program for U.S. employees. All of these decisions are aligned with our strategy, which remains unchanged, of focusing on gaining share, integrating and innovating across the Dell Technologies portfolio, and strengthening our capital structure.</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additional information about impacts of COVID-19 on our operations, see “Results of Operations—Consolidated Results” and “—Business Unit Results.”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unable to accurately predict the full impact that this unprecedented environment may have on our results from operations, financial condition, liquidity and cash flows due to numerous uncertainties involved, including the progression of the COVID-19 pandemic, governmental responses, and the timing of recovery. We will continue to actively monitor global events and make prudent decisions to navigate in this uncertain and ever-changing environment. We believe we are well-positioned for long-term success, and that we will continue to lead the industry with innovative solutions and the essential technology that the world needs now more than ever.</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Dell Technologies Vision and Innovation</w:t>
      </w:r>
      <w:r>
        <w:rPr>
          <w:rFonts w:ascii="Arial" w:cs="Arial" w:eastAsia="Arial" w:hAnsi="Arial"/>
          <w:sz w:val="18"/>
          <w:szCs w:val="18"/>
          <w:i w:val="1"/>
          <w:iCs w:val="1"/>
          <w:color w:val="auto"/>
        </w:rPr>
        <w:t xml:space="preserve"> </w:t>
      </w:r>
      <w:r>
        <w:rPr>
          <w:rFonts w:ascii="Arial" w:cs="Arial" w:eastAsia="Arial" w:hAnsi="Arial"/>
          <w:sz w:val="18"/>
          <w:szCs w:val="18"/>
          <w:color w:val="auto"/>
        </w:rPr>
        <w:t>— Our vision is to be the essential technology company for the data era and a leader in end-user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software-defined data center solutions, data management, virtualization, IoT, and cloud software. We believe that our results will benefit from an integrated go-to-market strategy, including enhanced coordination across all segments of our business, and from our differentiated products and solutions capabilities. We intend to continue to execute on our business model and seek to balance liquidity, profitability, and growth to position our company for long-term success.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seeing an accelerated rate of change in the IT industry. We seek to address our customers’ evolving needs and their broader digital transformation objectives as they embrace the hybrid multi-cloud environment of today. New technologies are being introduced and adopted quickly. In light of this rapid pace of innovation, we continue to invest in research and development, sales, and other key areas of our business to deliver superior products and solutions capabilities and to drive execution of long-term sustainable growth.</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u w:val="single" w:color="auto"/>
          <w:color w:val="auto"/>
        </w:rPr>
        <w:t>ISG</w:t>
      </w:r>
      <w:r>
        <w:rPr>
          <w:rFonts w:ascii="Arial" w:cs="Arial" w:eastAsia="Arial" w:hAnsi="Arial"/>
          <w:sz w:val="18"/>
          <w:szCs w:val="18"/>
          <w:i w:val="1"/>
          <w:iCs w:val="1"/>
          <w:color w:val="auto"/>
        </w:rPr>
        <w:t xml:space="preserve"> </w:t>
      </w:r>
      <w:r>
        <w:rPr>
          <w:rFonts w:ascii="Arial" w:cs="Arial" w:eastAsia="Arial" w:hAnsi="Arial"/>
          <w:sz w:val="18"/>
          <w:szCs w:val="18"/>
          <w:color w:val="auto"/>
        </w:rPr>
        <w:t>— We expect that ISG will continue to be impacted by the changing nature of the IT infrastructure market and competitive environment. The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server demand environment was down for the quarter and remains varied among international regions. We will continue to be selective in determining whether to pursue certain large hyperscale and other server transactions as we drive for balanced growth and profitability. With our scale and strong solutions portfolio, we believe we are well positioned to respond to ongoing competitive dynamics. We continue to focus on customer base expansion and lifetime value of customer measurements.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Cloud-native applications are expected to continue as a primary growth driver in the infrastructure market as IT organizations increasingly adopt cloud native architectures. We believe the complementary cloud solutions across our business strongly position us to meet these demands for our customers, who are increasingly looking to leverage cloud native architectures, whether on-premises, private or public.</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unprecedented data growth throughout all industries is generating continued demand for our storage solutions and services. We benefit by offering solutions that address the emerging trends of enterprises deploying software-defined storage, hyper-converged infrastructure, and modular solutions based on server-centric architectures. These trends are changing the way customers are consuming our traditional storage offerings. We continue to expand our offerings in external storage arrays, which incorporate flexible, cloud-based functionality. Through our research and development efforts, we are developing new solutions in this rapidly changing industry that we believe will enable us to continue to provide superior solutions to our customers.</w:t>
      </w:r>
    </w:p>
    <w:p>
      <w:pPr>
        <w:spacing w:after="0" w:line="16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u w:val="single" w:color="auto"/>
          <w:color w:val="auto"/>
        </w:rPr>
        <w:t>CSG</w:t>
      </w:r>
      <w:r>
        <w:rPr>
          <w:rFonts w:ascii="Arial" w:cs="Arial" w:eastAsia="Arial" w:hAnsi="Arial"/>
          <w:sz w:val="17"/>
          <w:szCs w:val="17"/>
          <w:i w:val="1"/>
          <w:iCs w:val="1"/>
          <w:color w:val="auto"/>
        </w:rPr>
        <w:t xml:space="preserve"> </w:t>
      </w:r>
      <w:r>
        <w:rPr>
          <w:rFonts w:ascii="Arial" w:cs="Arial" w:eastAsia="Arial" w:hAnsi="Arial"/>
          <w:sz w:val="17"/>
          <w:szCs w:val="17"/>
          <w:color w:val="auto"/>
        </w:rPr>
        <w:t>— Our CSG offerings are an important element of our strategy, generating strong cash flow and opportunities for cross-selling of complementary</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Given current market trends, we expect that the CSG demand environment will continue to be cyclical. Although CSG demand was robust for portions of the first quarter of Fiscal 2021, industry analysts are forecasting overall demand for our CSG solutions will decelerate in Fiscal 2021 given the current macro-economic environment, including the effects of COVID-19. Competitive dynamics will continue to be a factor in our CSG business as we seek to balance profitability and growth. We are committed to a long-term growth strategy, and beyond Fiscal 2021 we believe the CSG demand environment will strengthen due to continued innovation across our solutions portfolio and the ongoing need for work from home solutions, as well as the consolidation trends that are occurring in the markets in which we compete.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Recurring Revenue and Consumption Models</w:t>
      </w:r>
      <w:r>
        <w:rPr>
          <w:rFonts w:ascii="Arial" w:cs="Arial" w:eastAsia="Arial" w:hAnsi="Arial"/>
          <w:sz w:val="17"/>
          <w:szCs w:val="17"/>
          <w:i w:val="1"/>
          <w:iCs w:val="1"/>
          <w:color w:val="auto"/>
        </w:rPr>
        <w:t xml:space="preserve"> </w:t>
      </w:r>
      <w:r>
        <w:rPr>
          <w:rFonts w:ascii="Arial" w:cs="Arial" w:eastAsia="Arial" w:hAnsi="Arial"/>
          <w:sz w:val="17"/>
          <w:szCs w:val="17"/>
          <w:color w:val="auto"/>
        </w:rPr>
        <w:t>— Our customers are interested in new and innovative models that address how they consume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offer options including as-a-service, utility, leases, and immediate pay models, all designed to match customers’ consumption and financing preferences. Our multi-year agreements typically result in recurring revenue streams over the term of the arrangement. We expect our flexible consumption models will further strengthen our customer relationships and provide a foundation for growth in recurring revenue.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u w:val="single" w:color="auto"/>
          <w:color w:val="auto"/>
        </w:rPr>
        <w:t>Supply Chain</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Fiscal 2020, we recognized benefits to our ISG and CSG operating results from significant component cost declines.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Fiscal 2021, the cost environment continued to be deflationary in the aggregate for both ISG and CSG, but at a lower rate than in Fiscal 2020. We currently expect the component cost environment to be inflationary during the second quarter of Fiscal 2021 and to continue to be inflationary for the second half of Fiscal 2021. This may result in consolidated operating results for Fiscal 2021 that trend more toward Fiscal 2019 levels. The component cost trends and forecasts are dependent on the strength or weakness of actual end user demand and supply dynamics, which will continue to evolve and ultimately impact the translation of the cost environment to pricing and operating results.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Dell Technologies maintains limited-source supplier relationships for processors, because the relationships are advantageous in the areas of performance, quality, support, delivery, capacity, and price considerations. In recent periods, we have been impacted by processor and other supply constraints in certain product offerings. Delays in the supply of limited-source components, including as a result of COVID-19, are affecting the timing of shipments of certain products in desired quantities or configurations.</w:t>
      </w:r>
    </w:p>
    <w:p>
      <w:pPr>
        <w:spacing w:after="0" w:line="18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i w:val="1"/>
          <w:iCs w:val="1"/>
          <w:u w:val="single" w:color="auto"/>
          <w:color w:val="auto"/>
        </w:rPr>
        <w:t>Macro-Economic Risks and Uncertainties</w:t>
      </w:r>
      <w:r>
        <w:rPr>
          <w:rFonts w:ascii="Arial" w:cs="Arial" w:eastAsia="Arial" w:hAnsi="Arial"/>
          <w:sz w:val="18"/>
          <w:szCs w:val="18"/>
          <w:i w:val="1"/>
          <w:iCs w:val="1"/>
          <w:color w:val="auto"/>
        </w:rPr>
        <w:t xml:space="preserve"> </w:t>
      </w:r>
      <w:r>
        <w:rPr>
          <w:rFonts w:ascii="Arial" w:cs="Arial" w:eastAsia="Arial" w:hAnsi="Arial"/>
          <w:sz w:val="18"/>
          <w:szCs w:val="18"/>
          <w:color w:val="auto"/>
        </w:rPr>
        <w:t>— The impacts of trade protection measures, including increases in tariffs and trade barriers, and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policies and international trade arrangements may affect our ability to conduct business in some non-U.S. markets. We monitor and seek to mitigate these risks with adjustments to our manufacturing, supply chain and distribution networks.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our business on a U.S. dollar basis. However, we have a large global presence, generating approximately half of our revenue by sales to customers outside of the United States during both the first quarter of Fiscal 2021 and Fiscal 2020. As a result, our revenue can be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key performance metrics are net revenue, operating income, adjusted EBITDA, and cash flows from operations, which are discussed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December 28, 2018, we completed a transaction (“Class V transaction”) in which we paid $14.0 billion in cash and issued 149,387,617 shares of our Class C Common Stock to holders of our Class V Common Stock in exchange for all outstanding shares of Class V Common Stock. The non-cash consideration portion of the Class V transaction totaled $6.9 billion. As a result of the Class V transaction, the tracking stock feature of Dell Technologies’ capital structure was terminated. The Class C Common Stock is traded on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net revenue; non-GAAP services net revenue; non-GAAP net revenue; non-GAAP product gross margin; non-GAAP services gross margin; non-GAAP gross margin; non-GAAP operating expenses; non-GAAP operating income; non-GAAP net income; earnings before interest and other, net, taxes, depreciation, and amortization (“EBITDA”); and adjusted EBITDA.</w:t>
      </w:r>
    </w:p>
    <w:p>
      <w:pPr>
        <w:spacing w:after="0" w:line="1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Non-GAAP product net revenue, non-GAAP services net revenue, non-GAAP net revenue, non-GAAP product gross margin, non-GAAP services gross margin, non-GAAP gross margin, non-GAAP operating expenses, non-GAAP operating income, and non-GAAP net income, as defined by us, exclude amortization of intangible assets, the impact of purchase accounting, transaction-related expenses, stock-based compensation expense, other corporate expenses and, for non-GAAP net income, fair value adjustments on equity adjustments and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The non-GAAP financial measures are not meant to be considered as indicators of performance in isolation from or as a substitute for net revenue, gross margin, operating expenses, operating income, or net income prepared in accordance with GAAP, and should be read only in conjunction with financial information presented on a GAAP basis.</w:t>
      </w:r>
    </w:p>
    <w:p>
      <w:pPr>
        <w:spacing w:after="0" w:line="18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Revenue Reclassification </w:t>
      </w:r>
      <w:r>
        <w:rPr>
          <w:rFonts w:ascii="Arial" w:cs="Arial" w:eastAsia="Arial" w:hAnsi="Arial"/>
          <w:sz w:val="18"/>
          <w:szCs w:val="18"/>
          <w:color w:val="auto"/>
        </w:rPr>
        <w:t>— During Fiscal 2020, Dell Technologies made certain reclassifications of net revenue between the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categories on the Consolidated Statement of Net Income (Loss), which impacted previously reported amounts for the first quarter of Fiscal 2020. The reclassifications were made to provide a more meaningful representation of the nature of certain service and software-as-a-service offerings of VMware, Inc. The reclassifications resulted in an increase to services revenue and an equal and offsetting decrease to product revenue of $179 million for the first quarter of Fiscal 2020. Total net revenue as previously reported remains unchanged. The Company did not recast cost of goods sold for the related revenue reclassifications due to immateriality.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items excluded from the most comparable GAAP financial measures to calculate our non-GAAP financial measures:</w:t>
      </w:r>
    </w:p>
    <w:p>
      <w:pPr>
        <w:spacing w:after="0" w:line="248" w:lineRule="exact"/>
        <w:rPr>
          <w:sz w:val="20"/>
          <w:szCs w:val="20"/>
          <w:color w:val="auto"/>
        </w:rPr>
      </w:pPr>
    </w:p>
    <w:p>
      <w:pPr>
        <w:ind w:left="340" w:right="80" w:hanging="332"/>
        <w:spacing w:after="0" w:line="270"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Amortization of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Amortization of intangible assets primarily consists of amortization of customer relationships,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trade names. In connection with our acquisition by merger of EMC on September 7, 2016, referred to as the EMC merger transaction, and the acquisition of Dell Inc. by Dell Technologies Inc. on October 29, 2013, referred to as the going-private transaction, all of the tangible and intangible assets and liabilities of EMC and Dell,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 more meaningful evaluation of our current operating performance and comparisons to our past operating performance.</w:t>
      </w:r>
    </w:p>
    <w:p>
      <w:pPr>
        <w:spacing w:after="0" w:line="180" w:lineRule="exact"/>
        <w:rPr>
          <w:rFonts w:ascii="Arial" w:cs="Arial" w:eastAsia="Arial" w:hAnsi="Arial"/>
          <w:sz w:val="17"/>
          <w:szCs w:val="17"/>
          <w:color w:val="auto"/>
        </w:rPr>
      </w:pPr>
    </w:p>
    <w:p>
      <w:pPr>
        <w:ind w:left="340" w:right="20" w:hanging="332"/>
        <w:spacing w:after="0" w:line="288"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Impact of Purchase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impact of purchase accounting includes purchase accounting adjustments related to the EMC merger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and, to a lesser extent, the going-private transaction, recorded under the acquisition method of accounting in 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Although the purchase accounting adjustments and related amortization of those adjustments are reflected in our GAAP results, we evaluate the operating results of the underlying businesses on a non-GAAP basis, after removing such adjustments. We believe that excluding the impact of purchase accounting provides results that are useful in understanding our current operating performance and provides more meaningful comparisons to our past operating performance.</w:t>
      </w:r>
    </w:p>
    <w:p>
      <w:pPr>
        <w:spacing w:after="0" w:line="168" w:lineRule="exact"/>
        <w:rPr>
          <w:rFonts w:ascii="Arial" w:cs="Arial" w:eastAsia="Arial" w:hAnsi="Arial"/>
          <w:sz w:val="16"/>
          <w:szCs w:val="16"/>
          <w:i w:val="1"/>
          <w:iCs w:val="1"/>
          <w:color w:val="auto"/>
        </w:rPr>
      </w:pPr>
    </w:p>
    <w:p>
      <w:pPr>
        <w:ind w:left="340" w:right="60" w:hanging="332"/>
        <w:spacing w:after="0" w:line="29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Transaction-related Expenses</w:t>
      </w:r>
      <w:r>
        <w:rPr>
          <w:rFonts w:ascii="Arial" w:cs="Arial" w:eastAsia="Arial" w:hAnsi="Arial"/>
          <w:sz w:val="16"/>
          <w:szCs w:val="16"/>
          <w:i w:val="1"/>
          <w:iCs w:val="1"/>
          <w:color w:val="auto"/>
        </w:rPr>
        <w:t xml:space="preserve"> — </w:t>
      </w:r>
      <w:r>
        <w:rPr>
          <w:rFonts w:ascii="Arial" w:cs="Arial" w:eastAsia="Arial" w:hAnsi="Arial"/>
          <w:sz w:val="16"/>
          <w:szCs w:val="16"/>
          <w:color w:val="auto"/>
        </w:rPr>
        <w:t>Transaction-related expenses typically consist of acquisition, integration, and divestiture related costs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expensed as incurred. These expenses primarily represent costs for legal, banking, consulting, and advisory services. During both the first quarter of Fiscal 2021 and Fiscal 2020, transaction expenses related to VMware, Inc. acquisitions. From time to time, this category also may include transaction-related gains on divestitures of businesses or asset sales. During the first quarter of Fiscal 2021, we recognized a gain of $120 million on the sale of certain intellectual property assets. We exclude these items for purposes of calculating the non-GAAP financial measures presented below to facilitate a more meaningful evaluation of our current operating performance and comparisons to our past operating performance.</w:t>
      </w:r>
    </w:p>
    <w:p>
      <w:pPr>
        <w:spacing w:after="0" w:line="164" w:lineRule="exact"/>
        <w:rPr>
          <w:rFonts w:ascii="Arial" w:cs="Arial" w:eastAsia="Arial" w:hAnsi="Arial"/>
          <w:sz w:val="16"/>
          <w:szCs w:val="16"/>
          <w:color w:val="auto"/>
        </w:rPr>
      </w:pPr>
    </w:p>
    <w:p>
      <w:pPr>
        <w:ind w:left="340" w:hanging="332"/>
        <w:spacing w:after="0" w:line="271"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Stock-based Compensation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 Stock-based compensation expense consists of equity awards granted based on the estimated fair value of those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at grant date. We estimate the fair value of service-based stock options using the Black-Scholes valuation model. To estimate the fair value of performance-based awards containing a market condition, we use the Monte Carlo valuation model. For all other share-based awards, the fair value is based on the closing price of the Class C Common Stock as reported on the NYSE on the date of grant. Although stock-based compensation is an important aspect of the compensation of our employees and executives, the fair value of the stock-based awards may bear little resemblance to the actual value realized upon the vesting or future exercise of the related stock-based awards. We believe that excluding stock-based compensation expense for purposes of calculating the non-GAAP financial measures presented below facilitates a more meaningful evaluation of our current operating performance and comparisons to our past operating performance.</w:t>
      </w:r>
    </w:p>
    <w:p>
      <w:pPr>
        <w:spacing w:after="0" w:line="178" w:lineRule="exact"/>
        <w:rPr>
          <w:rFonts w:ascii="Arial" w:cs="Arial" w:eastAsia="Arial" w:hAnsi="Arial"/>
          <w:sz w:val="17"/>
          <w:szCs w:val="17"/>
          <w:i w:val="1"/>
          <w:iCs w:val="1"/>
          <w:color w:val="auto"/>
        </w:rPr>
      </w:pPr>
    </w:p>
    <w:p>
      <w:pPr>
        <w:ind w:left="340" w:hanging="332"/>
        <w:spacing w:after="0" w:line="273"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Other Corporate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 Other corporate expenses consists primarily of severance, facility action, and other costs. Severance costs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severance and benefits for employees terminated pursuant to cost savings initiatives. We continue to integrate owned and leased facilities and may incur additional costs as we seek opportunities for operational efficiencies.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 more meaningful evaluation of our current operating performance and comparisons to our past operating performance.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4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Fair Value Adjustments on Equity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Fair value adjustments on equity investments primarily consists of the gain (loss) on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which includes the recurring fair value adjustments of investments in publicly-traded companies, as well as those in privately-held companies, which are adjusted for observable price changes and, to a lesser extent, any potential impairments. Given the volatility in the ongoing adjustments to the valuation of these strategic investments, we believe that excluding these gains and losses for purposes of calculating non-GAAP net income presented below facilitates a more meaningful evaluation of our current operating performance and comparisons to our past operating performance.</w:t>
      </w:r>
    </w:p>
    <w:p>
      <w:pPr>
        <w:spacing w:after="0" w:line="192" w:lineRule="exact"/>
        <w:rPr>
          <w:rFonts w:ascii="Arial" w:cs="Arial" w:eastAsia="Arial" w:hAnsi="Arial"/>
          <w:sz w:val="18"/>
          <w:szCs w:val="18"/>
          <w:color w:val="auto"/>
        </w:rPr>
      </w:pPr>
    </w:p>
    <w:p>
      <w:pPr>
        <w:ind w:left="340" w:hanging="332"/>
        <w:spacing w:after="0" w:line="272"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Aggregate Adjustment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 The aggregate adjustment for income taxes is the estimated combined income tax effect for the adjustments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above, as well as an adjustment for discrete tax items. Due to the variability in recognition of discrete tax items from period to period, we believe that excluding these benefits or charges for purposes of calculating non-GAAP net income facilitates a more meaningful evaluation of our current operating performance and comparisons to our past operating performance. The tax effects are determined based on the tax jurisdictions where the above items were incurred. This category includes discrete tax benefits of $59 million and $405 million related to intra-entity asset transfers that were completed during the first quarter of Fiscal 2021 and Fiscal 2020, respectively. See Note 11 of the Notes to the Condensed Consolidated Financial Statements for additional information on our income taxes.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reconciliation of each non-GAAP financial measure to the most directly comparable GAAP measure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1, 2020</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460" w:type="dxa"/>
            <w:vAlign w:val="bottom"/>
          </w:tcPr>
          <w:p>
            <w:pPr>
              <w:spacing w:after="0"/>
              <w:rPr>
                <w:sz w:val="20"/>
                <w:szCs w:val="20"/>
                <w:color w:val="auto"/>
              </w:rPr>
            </w:pPr>
          </w:p>
        </w:tc>
        <w:tc>
          <w:tcPr>
            <w:tcW w:w="166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3, 2019</w:t>
            </w:r>
          </w:p>
        </w:tc>
      </w:tr>
      <w:tr>
        <w:trPr>
          <w:trHeight w:val="27"/>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gridSpan w:val="3"/>
          </w:tcPr>
          <w:p>
            <w:pPr>
              <w:jc w:val="center"/>
              <w:ind w:left="1250"/>
              <w:spacing w:after="0"/>
              <w:rPr>
                <w:sz w:val="20"/>
                <w:szCs w:val="20"/>
                <w:color w:val="auto"/>
              </w:rPr>
            </w:pPr>
            <w:r>
              <w:rPr>
                <w:rFonts w:ascii="Arial" w:cs="Arial" w:eastAsia="Arial" w:hAnsi="Arial"/>
                <w:sz w:val="18"/>
                <w:szCs w:val="18"/>
                <w:color w:val="auto"/>
                <w:w w:val="90"/>
              </w:rPr>
              <w:t>(in millions, except percentages)</w:t>
            </w:r>
          </w:p>
        </w:tc>
        <w:tc>
          <w:tcPr>
            <w:tcW w:w="16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16,038</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16,575</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3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97"/>
        </w:trPr>
        <w:tc>
          <w:tcPr>
            <w:tcW w:w="5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net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16,042</w:t>
            </w:r>
          </w:p>
        </w:tc>
        <w:tc>
          <w:tcPr>
            <w:tcW w:w="16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(3)%</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16,579</w:t>
            </w:r>
          </w:p>
        </w:tc>
      </w:tr>
      <w:tr>
        <w:trPr>
          <w:trHeight w:val="311"/>
        </w:trPr>
        <w:tc>
          <w:tcPr>
            <w:tcW w:w="5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Services net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5,859</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10 %</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5,333</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3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services net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5,903</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9 %</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5,411</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311"/>
        </w:trPr>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21,897</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21,908</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3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97"/>
        </w:trPr>
        <w:tc>
          <w:tcPr>
            <w:tcW w:w="5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21,945</w:t>
            </w:r>
          </w:p>
        </w:tc>
        <w:tc>
          <w:tcPr>
            <w:tcW w:w="16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21,990</w:t>
            </w:r>
          </w:p>
        </w:tc>
      </w:tr>
      <w:tr>
        <w:trPr>
          <w:trHeight w:val="311"/>
        </w:trPr>
        <w:tc>
          <w:tcPr>
            <w:tcW w:w="5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Product gross margin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3,234</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3,496</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3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3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Non-GAAP product gross margin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3,619</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4,025</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311"/>
        </w:trPr>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3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3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Non-GAAP services gross margin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3,706</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9 %</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3,409</w:t>
            </w:r>
          </w:p>
        </w:tc>
      </w:tr>
      <w:tr>
        <w:trPr>
          <w:trHeight w:val="20"/>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94"/>
        </w:trPr>
        <w:tc>
          <w:tcPr>
            <w:tcW w:w="5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
        </w:trPr>
        <w:tc>
          <w:tcPr>
            <w:tcW w:w="5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May 1, 2020</w:t>
            </w:r>
          </w:p>
        </w:tc>
        <w:tc>
          <w:tcPr>
            <w:tcW w:w="5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460" w:type="dxa"/>
            <w:vAlign w:val="bottom"/>
          </w:tcPr>
          <w:p>
            <w:pPr>
              <w:spacing w:after="0"/>
              <w:rPr>
                <w:sz w:val="20"/>
                <w:szCs w:val="20"/>
                <w:color w:val="auto"/>
              </w:rPr>
            </w:pPr>
          </w:p>
        </w:tc>
        <w:tc>
          <w:tcPr>
            <w:tcW w:w="166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3, 2019</w:t>
            </w:r>
          </w:p>
        </w:tc>
      </w:tr>
      <w:tr>
        <w:trPr>
          <w:trHeight w:val="27"/>
        </w:trPr>
        <w:tc>
          <w:tcPr>
            <w:tcW w:w="5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0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(in millions, except percentages)</w:t>
            </w:r>
          </w:p>
        </w:tc>
        <w:tc>
          <w:tcPr>
            <w:tcW w:w="166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6,853</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1 %</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6,797</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1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1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15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97"/>
        </w:trPr>
        <w:tc>
          <w:tcPr>
            <w:tcW w:w="5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Non-GAAP gross margin</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7,325</w:t>
            </w:r>
          </w:p>
        </w:tc>
        <w:tc>
          <w:tcPr>
            <w:tcW w:w="16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7,434</w:t>
            </w:r>
          </w:p>
        </w:tc>
      </w:tr>
      <w:tr>
        <w:trPr>
          <w:trHeight w:val="311"/>
        </w:trPr>
        <w:tc>
          <w:tcPr>
            <w:tcW w:w="53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6,151</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6,247</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15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(483)</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15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15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3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Non-GAAP operating expenses</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5,164</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5,238</w:t>
            </w:r>
          </w:p>
        </w:tc>
      </w:tr>
      <w:tr>
        <w:trPr>
          <w:trHeight w:val="20"/>
        </w:trPr>
        <w:tc>
          <w:tcPr>
            <w:tcW w:w="5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311"/>
        </w:trPr>
        <w:tc>
          <w:tcPr>
            <w:tcW w:w="5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28 %</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1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1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15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97"/>
        </w:trPr>
        <w:tc>
          <w:tcPr>
            <w:tcW w:w="5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Non-GAAP operating income</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2,161</w:t>
            </w:r>
          </w:p>
        </w:tc>
        <w:tc>
          <w:tcPr>
            <w:tcW w:w="16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2,196</w:t>
            </w:r>
          </w:p>
        </w:tc>
      </w:tr>
      <w:tr>
        <w:trPr>
          <w:trHeight w:val="311"/>
        </w:trPr>
        <w:tc>
          <w:tcPr>
            <w:tcW w:w="53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1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Transaction-related (income) expenses</w:t>
            </w:r>
          </w:p>
        </w:tc>
        <w:tc>
          <w:tcPr>
            <w:tcW w:w="15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Other corporate expenses</w:t>
            </w:r>
          </w:p>
        </w:tc>
        <w:tc>
          <w:tcPr>
            <w:tcW w:w="1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adjustments on equity investments</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Aggregate adjustment for income taxes</w:t>
            </w:r>
          </w:p>
        </w:tc>
        <w:tc>
          <w:tcPr>
            <w:tcW w:w="15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7"/>
        </w:trPr>
        <w:tc>
          <w:tcPr>
            <w:tcW w:w="53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income</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1,143</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r>
      <w:tr>
        <w:trPr>
          <w:trHeight w:val="20"/>
        </w:trPr>
        <w:tc>
          <w:tcPr>
            <w:tcW w:w="5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851"/>
        </w:trPr>
        <w:tc>
          <w:tcPr>
            <w:tcW w:w="5320" w:type="dxa"/>
            <w:vAlign w:val="bottom"/>
          </w:tcPr>
          <w:p>
            <w:pPr>
              <w:spacing w:after="0"/>
              <w:rPr>
                <w:sz w:val="24"/>
                <w:szCs w:val="24"/>
                <w:color w:val="auto"/>
              </w:rPr>
            </w:pPr>
          </w:p>
        </w:tc>
        <w:tc>
          <w:tcPr>
            <w:tcW w:w="1560" w:type="dxa"/>
            <w:vAlign w:val="bottom"/>
          </w:tcPr>
          <w:p>
            <w:pPr>
              <w:jc w:val="right"/>
              <w:ind w:right="1070"/>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severance, facility action, and other costs, and stock-based compensation expense. We believe that, due to the non-operational nature of the purchase accounting entries, it is appropriate to exclude these adjustments.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EBITDA and adjusted EBITDA to net income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May 1, 2020</w:t>
            </w:r>
          </w:p>
        </w:tc>
        <w:tc>
          <w:tcPr>
            <w:tcW w:w="5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460" w:type="dxa"/>
            <w:vAlign w:val="bottom"/>
          </w:tcPr>
          <w:p>
            <w:pPr>
              <w:spacing w:after="0"/>
              <w:rPr>
                <w:sz w:val="20"/>
                <w:szCs w:val="20"/>
                <w:color w:val="auto"/>
              </w:rPr>
            </w:pPr>
          </w:p>
        </w:tc>
        <w:tc>
          <w:tcPr>
            <w:tcW w:w="166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3, 2019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0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(in millions, except percentages)</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(a)</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Income tax benefit (b)</w:t>
            </w:r>
          </w:p>
        </w:tc>
        <w:tc>
          <w:tcPr>
            <w:tcW w:w="15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1,316</w:t>
            </w:r>
          </w:p>
        </w:tc>
        <w:tc>
          <w:tcPr>
            <w:tcW w:w="1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97"/>
        </w:trPr>
        <w:tc>
          <w:tcPr>
            <w:tcW w:w="5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EBITDA</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2,018</w:t>
            </w:r>
          </w:p>
        </w:tc>
        <w:tc>
          <w:tcPr>
            <w:tcW w:w="16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(7)%</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311"/>
        </w:trPr>
        <w:tc>
          <w:tcPr>
            <w:tcW w:w="53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EBITDA</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2,018</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(c)</w:t>
            </w:r>
          </w:p>
        </w:tc>
        <w:tc>
          <w:tcPr>
            <w:tcW w:w="1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32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1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(e)</w:t>
            </w:r>
          </w:p>
        </w:tc>
        <w:tc>
          <w:tcPr>
            <w:tcW w:w="15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3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2,607</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1 %</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“Results of Operations — Interest and Other, Net” for more information on the components of interest and other, net.</w:t>
      </w:r>
    </w:p>
    <w:p>
      <w:pPr>
        <w:spacing w:after="0" w:line="9" w:lineRule="exact"/>
        <w:rPr>
          <w:rFonts w:ascii="Arial" w:cs="Arial" w:eastAsia="Arial" w:hAnsi="Arial"/>
          <w:sz w:val="18"/>
          <w:szCs w:val="18"/>
          <w:color w:val="auto"/>
        </w:rPr>
      </w:pPr>
    </w:p>
    <w:p>
      <w:pPr>
        <w:ind w:left="340" w:right="20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Note 11 of the Notes to the Condensed Consolidated Financial Statements included in this report for additional information on discrete tax items recorded during the first quarter of Fiscal 2021 and Fiscal 2020.</w:t>
      </w: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amount includes the non-cash purchase accounting adjustments related to the EMC merger transaction and the going-private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Transaction-related expenses consist of acquisition, integration, and divestiture related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corporate expenses includes severance, facility action, and other costs.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consolidated results for each of the periods presented. Unless otherwise indicated, all changes identified for the current period results represent comparisons to results for the prior corresponding fiscal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3"/>
          </w:tcPr>
          <w:p>
            <w:pPr>
              <w:jc w:val="right"/>
              <w:ind w:right="633"/>
              <w:spacing w:after="0"/>
              <w:rPr>
                <w:sz w:val="20"/>
                <w:szCs w:val="20"/>
                <w:color w:val="auto"/>
              </w:rPr>
            </w:pPr>
            <w:r>
              <w:rPr>
                <w:rFonts w:ascii="Arial" w:cs="Arial" w:eastAsia="Arial" w:hAnsi="Arial"/>
                <w:sz w:val="18"/>
                <w:szCs w:val="18"/>
                <w:b w:val="1"/>
                <w:bCs w:val="1"/>
                <w:color w:val="auto"/>
              </w:rPr>
              <w:t>May 1, 2020</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3"/>
          </w:tcPr>
          <w:p>
            <w:pPr>
              <w:jc w:val="right"/>
              <w:ind w:right="635"/>
              <w:spacing w:after="0"/>
              <w:rPr>
                <w:sz w:val="20"/>
                <w:szCs w:val="20"/>
                <w:color w:val="auto"/>
              </w:rPr>
            </w:pPr>
            <w:r>
              <w:rPr>
                <w:rFonts w:ascii="Arial" w:cs="Arial" w:eastAsia="Arial" w:hAnsi="Arial"/>
                <w:sz w:val="18"/>
                <w:szCs w:val="18"/>
                <w:b w:val="1"/>
                <w:bCs w:val="1"/>
                <w:color w:val="auto"/>
              </w:rPr>
              <w:t>May 3, 2019</w:t>
            </w:r>
          </w:p>
        </w:tc>
      </w:tr>
      <w:tr>
        <w:trPr>
          <w:trHeight w:val="27"/>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33"/>
              <w:spacing w:after="0"/>
              <w:rPr>
                <w:sz w:val="20"/>
                <w:szCs w:val="20"/>
                <w:color w:val="auto"/>
              </w:rPr>
            </w:pPr>
            <w:r>
              <w:rPr>
                <w:rFonts w:ascii="Arial" w:cs="Arial" w:eastAsia="Arial" w:hAnsi="Arial"/>
                <w:sz w:val="16"/>
                <w:szCs w:val="16"/>
                <w:b w:val="1"/>
                <w:bCs w:val="1"/>
                <w:color w:val="auto"/>
              </w:rPr>
              <w:t>% of</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35"/>
              <w:spacing w:after="0"/>
              <w:rPr>
                <w:sz w:val="20"/>
                <w:szCs w:val="20"/>
                <w:color w:val="auto"/>
              </w:rPr>
            </w:pPr>
            <w:r>
              <w:rPr>
                <w:rFonts w:ascii="Arial" w:cs="Arial" w:eastAsia="Arial" w:hAnsi="Arial"/>
                <w:sz w:val="16"/>
                <w:szCs w:val="16"/>
                <w:b w:val="1"/>
                <w:bCs w:val="1"/>
                <w:color w:val="auto"/>
              </w:rPr>
              <w:t>% of</w:t>
            </w:r>
          </w:p>
        </w:tc>
      </w:tr>
      <w:tr>
        <w:trPr>
          <w:trHeight w:val="210"/>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6"/>
                <w:szCs w:val="16"/>
                <w:b w:val="1"/>
                <w:bCs w:val="1"/>
                <w:color w:val="auto"/>
              </w:rPr>
              <w:t>Dollars</w:t>
            </w:r>
          </w:p>
        </w:tc>
        <w:tc>
          <w:tcPr>
            <w:tcW w:w="12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rPr>
              <w:t>Net Revenue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6"/>
                <w:szCs w:val="16"/>
                <w:b w:val="1"/>
                <w:bCs w:val="1"/>
                <w:color w:val="auto"/>
              </w:rPr>
              <w:t>Dollars</w:t>
            </w:r>
          </w:p>
        </w:tc>
        <w:tc>
          <w:tcPr>
            <w:tcW w:w="10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6"/>
                <w:szCs w:val="16"/>
                <w:b w:val="1"/>
                <w:bCs w:val="1"/>
                <w:color w:val="auto"/>
              </w:rPr>
              <w:t>Net Revenue</w:t>
            </w:r>
          </w:p>
        </w:tc>
      </w:tr>
      <w:tr>
        <w:trPr>
          <w:trHeight w:val="33"/>
        </w:trPr>
        <w:tc>
          <w:tcPr>
            <w:tcW w:w="5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Products (a)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16,575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75.7%</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(a)</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10 %</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Total net 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21,897</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21,908</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Products (b)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3,496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(c)</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10 %</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Total gross margin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1 %</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6,797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Net income attributable to Dell Technologies Inc.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3"/>
        </w:trPr>
        <w:tc>
          <w:tcPr>
            <w:tcW w:w="5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Non-GAAP Financial Information</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Non-GAAP net revenue: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16,579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75.4%</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9 %</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Total non-GAAP net 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21,945</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Non-GAAP 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Product (a)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(b)</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9 %</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Total non-GAAP gross margin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7,434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operating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Non-GAAP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2,196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2,166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150"/>
        </w:trPr>
        <w:tc>
          <w:tcPr>
            <w:tcW w:w="5000" w:type="dxa"/>
            <w:vAlign w:val="bottom"/>
          </w:tcPr>
          <w:p>
            <w:pPr>
              <w:spacing w:after="0"/>
              <w:rPr>
                <w:sz w:val="20"/>
                <w:szCs w:val="20"/>
                <w:color w:val="auto"/>
              </w:rPr>
            </w:pPr>
            <w:r>
              <w:rPr>
                <w:rFonts w:ascii="Arial" w:cs="Arial" w:eastAsia="Arial" w:hAnsi="Arial"/>
                <w:sz w:val="13"/>
                <w:szCs w:val="13"/>
                <w:color w:val="auto"/>
              </w:rPr>
              <w:t>____________________</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ind w:left="340" w:right="10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Fiscal 2020, Dell Technologies made certain reclassifications of net revenue between the products and services categories on the Consolidated Statement of Net Income (Loss), which impacted previously reported amounts for the first quarter of Fiscal 2020. The Company did not recast cost of goods sold for the related revenue reclassifications due to immateriality. The reclassifications resulted in an increase to services revenue and an equal and offsetting decrease to product revenue of $179 million for the first quarter of Fiscal 2020. Total net revenue as previously reported remains unchanged.</w:t>
      </w:r>
    </w:p>
    <w:p>
      <w:pPr>
        <w:ind w:left="340" w:right="600" w:hanging="332"/>
        <w:spacing w:after="0" w:line="26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Product gross margin percentages represent product gross margin as a percentage of product net revenue, and non-GAAP product gross margin percentages represent non-GAAP product gross margin as a percentage of non-GAAP product net revenue.</w:t>
      </w:r>
    </w:p>
    <w:p>
      <w:pPr>
        <w:ind w:left="340" w:right="460" w:hanging="332"/>
        <w:spacing w:after="0" w:line="290"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Services gross margin percentages represent services gross margin as a percentage of services net revenue, and non-GAAP services gross margin percentages represent non-GAAP services gross margin as a percentage of non-GAAP services net revenue.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19" w:lineRule="exact"/>
        <w:rPr>
          <w:sz w:val="20"/>
          <w:szCs w:val="20"/>
          <w:color w:val="auto"/>
        </w:rPr>
      </w:pPr>
      <w:r>
        <w:rPr>
          <w:rFonts w:ascii="Arial" w:cs="Arial" w:eastAsia="Arial" w:hAnsi="Arial"/>
          <w:sz w:val="17"/>
          <w:szCs w:val="17"/>
          <w:color w:val="auto"/>
        </w:rPr>
        <w:t xml:space="preserve">Non-GAAP product net revenue, non-GAAP services net revenue, non-GAAP net revenue, non-GAAP product gross margin, non-GAAP services gross margin, non-GAAP gross margin, non-GAAP operating expenses, non-GAAP operating income, non-GAAP net income, EBITDA, and adjusted EBITDA are not measurements of financial performance prepared in accordance with GAAP. Non-GAAP financial measures as a percentage of net revenue are calculated based on non-GAAP net revenue. See </w:t>
      </w:r>
      <w:r>
        <w:rPr>
          <w:rFonts w:ascii="Arial" w:cs="Arial" w:eastAsia="Arial" w:hAnsi="Arial"/>
          <w:sz w:val="15"/>
          <w:szCs w:val="15"/>
          <w:color w:val="auto"/>
        </w:rPr>
        <w:t>“</w:t>
      </w: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GAAP Financial Measures</w:t>
      </w:r>
      <w:r>
        <w:rPr>
          <w:rFonts w:ascii="Arial" w:cs="Arial" w:eastAsia="Arial" w:hAnsi="Arial"/>
          <w:sz w:val="15"/>
          <w:szCs w:val="15"/>
          <w:color w:val="auto"/>
        </w:rPr>
        <w:t>”</w:t>
      </w:r>
      <w:r>
        <w:rPr>
          <w:rFonts w:ascii="Arial" w:cs="Arial" w:eastAsia="Arial" w:hAnsi="Arial"/>
          <w:sz w:val="17"/>
          <w:szCs w:val="17"/>
          <w:color w:val="auto"/>
        </w:rPr>
        <w:t xml:space="preserve">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first quarter of Fiscal 2021, both our net revenue and non-GAAP net revenue remained flat, as we benefited from the strength of our broad technology solutions portfolio, which helped us navigate market volatility and competitive pressures, particularly due to the COVID-19 environment. CSG and VMware net revenue increased, offset by a decline in ISG net revenue. The increase in CSG net revenue was primarily driven by increased demand for work and learn from home solutions, particularly commercial notebooks. VMware net revenue increased due to broad-based strength across the portfolio, including growth in software license revenue, new contracts and renewals of VMware enterprise agreements, maintenance contracts sold in previous periods, and additional maintenance contracts sold in conjunction with new software license sales. ISG net revenue decreased primarily due to a weaker demand environment as customers shifted to investments in remote work solutions as part of business continuity plans. Although we are in the midst of unprecedented uncertainty as a result of the ongoing COVID-19 pandemic, we believe we are well-positioned for long-term profitable growth while also maintaining the ability to adjust as needed to changing market conditions with complementary solutions across all segments of our business, an agile workforce, and the strength of our global supply chain.</w:t>
      </w:r>
    </w:p>
    <w:p>
      <w:pPr>
        <w:spacing w:after="0" w:line="18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the first quarter of Fiscal 2021, our operating income increased 28% to $702 million due to an increase in operating income for VMware and a decrease in amortization of intangible assets. These benefits were partially offset by a decrease in operating income for CSG and ISG and an increase in stock-based compensation expense.</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Amortization of intangible assets and stock-based compensation expense that impacted our operating income totaled $1.2 billion and $1.5 billion for the first quarter of Fiscal 2021 and Fiscal 2020, respectively. Excluding these costs, the impact of purchase accounting, transaction-related expenses, and other corporate expenses, our non-GAAP operating income was $2.2 billion during both the first quarter of Fiscal 2021 and Fiscal 2020. Our non-GAAP operating income decreased 2 percent for the first quarter of Fiscal 2021 due to decreases in operating income for ISG and CSG, which were partially offset by increases in operating income for VMware and other businesses.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Cash used in operating activities was $0.8 billion for the first quarter of Fiscal 2021 compared to cash provided by operating activities of $0.7 billion for the first quarter of Fiscal 2020. The decrease in operating cash flows during the first quarter of Fiscal 2021 was attributable to unfavorable working capital impacts related to the COVID-19 pandemic on timing of collections and higher inventory, most of which we expect to normalize by fiscal year-end. See “Market Conditions, Liquidity, and Capital Commitments” for further information on our cash flow metrics.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first quarter of Fiscal 2021, our net revenue and non-GAAP net revenue remained flat, primarily due to increases in net revenue in CSG and VMware, which were offset by a decline in ISG net revenue. See “Business Unit Results” for further information.</w:t>
      </w:r>
    </w:p>
    <w:p>
      <w:pPr>
        <w:spacing w:after="0" w:line="170" w:lineRule="exact"/>
        <w:rPr>
          <w:sz w:val="20"/>
          <w:szCs w:val="20"/>
          <w:color w:val="auto"/>
        </w:rPr>
      </w:pPr>
    </w:p>
    <w:p>
      <w:pPr>
        <w:ind w:left="340" w:right="20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Product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Product net revenue includes revenue from the sale of hardware products and software licenses. During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2021, product net revenue and non-GAAP product net revenue both decreased 3% primarily due to a decrease in product net revenue for ISG.</w:t>
      </w:r>
    </w:p>
    <w:p>
      <w:pPr>
        <w:spacing w:after="0" w:line="123" w:lineRule="exact"/>
        <w:rPr>
          <w:rFonts w:ascii="Arial" w:cs="Arial" w:eastAsia="Arial" w:hAnsi="Arial"/>
          <w:sz w:val="16"/>
          <w:szCs w:val="16"/>
          <w:color w:val="auto"/>
        </w:rPr>
      </w:pPr>
    </w:p>
    <w:p>
      <w:pPr>
        <w:ind w:left="340" w:right="20" w:hanging="332"/>
        <w:spacing w:after="0" w:line="29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Services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Services net revenue includes revenue from our services offerings and support services related to hardware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licenses. During the first quarter of Fiscal 2021, services net revenue and non-GAAP services net revenue increased 10% and 9%, respectively. These increases were primarily attributable to an increase in services revenue for hardware support and deployment and software maintenance due to growth in CSG and VMware. A substantial portion of services net revenue is derived from offerings that have been deferred over a period of time, and, as a result, reported services net revenue growth rates will be different than reported product net revenue growth rates.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a geographical perspective, net revenue generated by sales to customers in the Americas increased during the first quarter of Fiscal 2021 due to strong performance in CSG and VMware. In EMEA, net revenue from sales to customers increased during the first quarter of Fiscal 2021 due to demand for CSG solutions. Net revenue from sales to customers in APJ decreased during the first quarter of Fiscal 2021, primarily as the result of a weaker demand environment for CSG and ISG servers and networking, particularly in China.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Fiscal 2021, our gross margin increased 1% to $6.9 billion, and our gross margin percentage increased 30 basis points to 31.3%. The increases in our gross margin and gross margin percentage during the first quarter of Fiscal 2021 were primarily driven by a favorable impact of gross margin increases for VMware and our other businesses, and a decrease in amortization of intangible assets and purchase accounting adjustments. These impacts were largely offset by decreases in gross margins for ISG and CSG.</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gross margin for the first quarter of Fiscal 2021 and Fiscal 2020 included the impact of amortization of intangibles and purchase accounting adjustments of $0.4 billion and $0.6 billion, respectively. Excluding these costs, transaction-related expenses, stock-based compensation expense, and other corporate expenses, non-GAAP gross margin decreased 1% to $7.3 billion, and non-GAAP gross margin percentage decreased 40 basis points to 33.4%. The decreases in our non-GAAP gross margin and non-GAAP gross margin percentage were attributable to component costs that were deflationary in the aggregate for ISG and CSG (although to a lesser extent than in the first quarter of Fiscal 2020), increased supply chain costs to expedite product delivery for CSG sales in the COVID-19 environment, and a shift in product mix due to strong CSG performance. These negative impacts were partially offset by increases in gross margin and gross margin percentage for VMware and other businesses.</w:t>
      </w:r>
    </w:p>
    <w:p>
      <w:pPr>
        <w:spacing w:after="0" w:line="177" w:lineRule="exact"/>
        <w:rPr>
          <w:sz w:val="20"/>
          <w:szCs w:val="20"/>
          <w:color w:val="auto"/>
        </w:rPr>
      </w:pPr>
    </w:p>
    <w:p>
      <w:pPr>
        <w:ind w:left="340" w:right="20" w:hanging="332"/>
        <w:spacing w:after="0" w:line="273"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the first quarter of Fiscal 2021, product gross margin decreased 7% to $3.2 billion, and product gross margin percentage decreased</w:t>
      </w:r>
      <w:r>
        <w:rPr>
          <w:rFonts w:ascii="Arial" w:cs="Arial" w:eastAsia="Arial" w:hAnsi="Arial"/>
          <w:sz w:val="17"/>
          <w:szCs w:val="17"/>
          <w:i w:val="1"/>
          <w:iCs w:val="1"/>
          <w:color w:val="auto"/>
        </w:rPr>
        <w:t xml:space="preserve"> </w:t>
      </w:r>
      <w:r>
        <w:rPr>
          <w:rFonts w:ascii="Arial" w:cs="Arial" w:eastAsia="Arial" w:hAnsi="Arial"/>
          <w:sz w:val="17"/>
          <w:szCs w:val="17"/>
          <w:color w:val="auto"/>
        </w:rPr>
        <w:t>90 basis points to 20.2%. The decreases in product gross margin and product gross margin percentage were primarily driven by component costs that were deflationary in the aggregate for ISG and CSG (although to a lesser extent than in the first quarter of Fiscal 2020) and increased supply chain costs to expedite product delivery for CSG sales. These unfavorable impacts were partially offset by a decrease in amortization of intangibles. During the first quarter of Fiscal 2021, non-GAAP product gross margin decreased 10% to $3.6 billion, and non-GAAP product gross margin percentage decreased 170 basis points to 22.6% due to the same ISG and CSG dynamics discussed above.</w:t>
      </w:r>
    </w:p>
    <w:p>
      <w:pPr>
        <w:spacing w:after="0" w:line="177" w:lineRule="exact"/>
        <w:rPr>
          <w:rFonts w:ascii="Arial" w:cs="Arial" w:eastAsia="Arial" w:hAnsi="Arial"/>
          <w:sz w:val="17"/>
          <w:szCs w:val="17"/>
          <w:color w:val="auto"/>
        </w:rPr>
      </w:pPr>
    </w:p>
    <w:p>
      <w:pPr>
        <w:ind w:left="340" w:right="220" w:hanging="332"/>
        <w:spacing w:after="0" w:line="273" w:lineRule="auto"/>
        <w:tabs>
          <w:tab w:leader="none" w:pos="34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the first quarter of Fiscal 2021, services gross margin increased 10% to $3.6 billion, and services gross margin percentage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10 basis points to 61.8%. Services gross margin increased due to growth in VMware software maintenance and a decrease in purchase accounting adjustments. Excluding purchase accounting adjustments, transaction-related expenses, stock-based compensation expense, and other corporate expenses, non-GAAP services gross margin increased 9% to $3.7 billion primarily due to growth in VMware software maintenance. Non-GAAP services gross margin percentage decreased 20 basis points to 62.8% due to a decline in ISG services gross margin percentage, which was partially offset by an increase in VMware services gross margin percentage.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Programs and Settlements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the first quarter of Fiscal 2021 and Fiscal 2020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we have pursued legal action against certain vendors and are currently involved in negotiations with other vendors regarding their past pricing practices. We have negotiated settlements with some of these vendors and may have additional settlements in future periods. These settlements are allocated to our segments based on the relative amount of affected vendor products sold by each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operating expenses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May 1, 2020</w:t>
            </w: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May 3, 2019</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 of</w:t>
            </w:r>
          </w:p>
        </w:tc>
        <w:tc>
          <w:tcPr>
            <w:tcW w:w="166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 of</w:t>
            </w:r>
          </w:p>
        </w:tc>
      </w:t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Dollars</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Net Revenue</w:t>
            </w:r>
          </w:p>
        </w:tc>
        <w:tc>
          <w:tcPr>
            <w:tcW w:w="1680" w:type="dxa"/>
            <w:vAlign w:val="bottom"/>
            <w:gridSpan w:val="2"/>
          </w:tcPr>
          <w:p>
            <w:pPr>
              <w:ind w:left="520"/>
              <w:spacing w:after="0"/>
              <w:rPr>
                <w:sz w:val="20"/>
                <w:szCs w:val="20"/>
                <w:color w:val="auto"/>
              </w:rPr>
            </w:pPr>
            <w:r>
              <w:rPr>
                <w:rFonts w:ascii="Arial" w:cs="Arial" w:eastAsia="Arial" w:hAnsi="Arial"/>
                <w:sz w:val="18"/>
                <w:szCs w:val="18"/>
                <w:b w:val="1"/>
                <w:bCs w:val="1"/>
                <w:color w:val="auto"/>
              </w:rPr>
              <w:t>Change</w:t>
            </w:r>
          </w:p>
        </w:tc>
        <w:tc>
          <w:tcPr>
            <w:tcW w:w="36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w w:val="88"/>
              </w:rPr>
              <w:t>Dollars</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Net Revenue</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6"/>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40" w:type="dxa"/>
            <w:vAlign w:val="bottom"/>
            <w:gridSpan w:val="4"/>
          </w:tcPr>
          <w:p>
            <w:pPr>
              <w:jc w:val="center"/>
              <w:ind w:left="1070"/>
              <w:spacing w:after="0"/>
              <w:rPr>
                <w:sz w:val="20"/>
                <w:szCs w:val="20"/>
                <w:color w:val="auto"/>
              </w:rPr>
            </w:pPr>
            <w:r>
              <w:rPr>
                <w:rFonts w:ascii="Arial" w:cs="Arial" w:eastAsia="Arial" w:hAnsi="Arial"/>
                <w:sz w:val="18"/>
                <w:szCs w:val="18"/>
                <w:color w:val="auto"/>
                <w:w w:val="90"/>
              </w:rPr>
              <w:t>(in millions, except percentages)</w:t>
            </w: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spacing w:after="0"/>
              <w:rPr>
                <w:sz w:val="20"/>
                <w:szCs w:val="20"/>
                <w:color w:val="auto"/>
              </w:rPr>
            </w:pPr>
            <w:r>
              <w:rPr>
                <w:rFonts w:ascii="Arial" w:cs="Arial" w:eastAsia="Arial" w:hAnsi="Arial"/>
                <w:sz w:val="18"/>
                <w:szCs w:val="18"/>
                <w:color w:val="auto"/>
              </w:rPr>
              <w:t>22.3%</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5,071</w:t>
            </w:r>
          </w:p>
        </w:tc>
        <w:tc>
          <w:tcPr>
            <w:tcW w:w="15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8 %</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3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6,151</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28.1%</w:t>
            </w:r>
          </w:p>
        </w:tc>
        <w:tc>
          <w:tcPr>
            <w:tcW w:w="16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6,247</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w:t>
            </w:r>
          </w:p>
        </w:tc>
      </w:tr>
      <w:tr>
        <w:trPr>
          <w:trHeight w:val="311"/>
        </w:trPr>
        <w:tc>
          <w:tcPr>
            <w:tcW w:w="3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Financial Information</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3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first quarter of Fiscal 2021, total operating expenses decreased 2% primarily due to a decrease in selling general and administrative expenses, offset partially by an increase in research and development expenses. Our operating expenses include amortization of intangible assets, the impact of purchase accounting, transaction-related expenses, stock-based compensation expense, and other corporate expenses. In aggregate, these items totaled $1.0 billion for both the first quarter of Fiscal 2021 and Fiscal 2020. Excluding these costs, total non-GAAP operating expenses decreased 1% for the first quarter of Fiscal 2021.</w:t>
      </w:r>
    </w:p>
    <w:p>
      <w:pPr>
        <w:spacing w:after="0" w:line="188" w:lineRule="exact"/>
        <w:rPr>
          <w:sz w:val="20"/>
          <w:szCs w:val="20"/>
          <w:color w:val="auto"/>
        </w:rPr>
      </w:pPr>
    </w:p>
    <w:p>
      <w:pPr>
        <w:jc w:val="both"/>
        <w:ind w:left="340" w:right="140" w:hanging="332"/>
        <w:spacing w:after="0" w:line="263"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Selling, general, and administrative (“SG&amp;A”) expenses decreased 4% during the first quarter of Fiscal 2021</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measures taken in March 2020 as a result of the COVID-19 pandemic which included a global hiring freeze, reduction in consulting and contractor costs, and global travel restrictions, as well as a decrease in amortization of intangibles.</w:t>
      </w:r>
    </w:p>
    <w:p>
      <w:pPr>
        <w:spacing w:after="0" w:line="183" w:lineRule="exact"/>
        <w:rPr>
          <w:rFonts w:ascii="Arial" w:cs="Arial" w:eastAsia="Arial" w:hAnsi="Arial"/>
          <w:sz w:val="18"/>
          <w:szCs w:val="18"/>
          <w:i w:val="1"/>
          <w:iCs w:val="1"/>
          <w:color w:val="auto"/>
        </w:rPr>
      </w:pPr>
    </w:p>
    <w:p>
      <w:pPr>
        <w:ind w:left="340" w:right="40" w:hanging="332"/>
        <w:spacing w:after="0" w:line="29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Research and Development</w:t>
      </w:r>
      <w:r>
        <w:rPr>
          <w:rFonts w:ascii="Arial" w:cs="Arial" w:eastAsia="Arial" w:hAnsi="Arial"/>
          <w:sz w:val="16"/>
          <w:szCs w:val="16"/>
          <w:i w:val="1"/>
          <w:iCs w:val="1"/>
          <w:color w:val="auto"/>
        </w:rPr>
        <w:t xml:space="preserve"> — </w:t>
      </w:r>
      <w:r>
        <w:rPr>
          <w:rFonts w:ascii="Arial" w:cs="Arial" w:eastAsia="Arial" w:hAnsi="Arial"/>
          <w:sz w:val="16"/>
          <w:szCs w:val="16"/>
          <w:color w:val="auto"/>
        </w:rPr>
        <w:t>Research and development (“R&amp;D”) expenses are primarily composed of personnel-related expenses related to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R&amp;D expenses as a percentage of net revenue were approximately 5.8% and 5.4% for the first quarter of Fiscal 2021 and Fiscal 2020, respectively. R&amp;D expenses as a percentage of net revenue increased during the first quarter of Fiscal 2021 primarily due to an increase in compensation-related expense, including stock-based compensation expense, driven by VMware. As our industry continues to change and as the needs of our customers evolve, we intend to support R&amp;D initiatives to innovate and introduce new and enhanced solutions into the market.</w:t>
      </w:r>
    </w:p>
    <w:p>
      <w:pPr>
        <w:spacing w:after="0" w:line="16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continue to make selective investments designed to enable growth, marketing, and R&amp;D, while balancing our efforts to drive cost efficiencies in the business. We also expect to continue to make investments in support of our own digital transformation to modernize and streamline our IT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During the first quarter of Fiscal 2021, our operating income increased 28% to $702 million. The increase in our operating income for the first quarter of Fiscal 2021 was primarily attributable to an increase in operating income for VMware and a decrease in amortization of intangible assets. These benefits were partially offset by a decrease in operating income for CSG and ISG and an increase in stock-based compensation expense.</w:t>
      </w:r>
    </w:p>
    <w:p>
      <w:pPr>
        <w:spacing w:after="0" w:line="1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of intangible assets and stock-based compensation expense that impacted our operating income totaled $1.2 billion and $1.5 billion for the first quarter of Fiscal 2021 and Fiscal 2020, respectively. Excluding these costs, the impact 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purchase accounting, transaction-related expenses, and other corporate expenses, our non-GAAP operating income decreased 2% to $2.2 billion during the first quarter of Fiscal 2021. The decrease in our non-GAAP operating income for the first quarter of Fiscal 2021 was primarily due to decreases in operating income for ISG and CSG, which were partially offset by increases in operating income for VMware and other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interest and other, net for the periods indicated:</w:t>
      </w:r>
    </w:p>
    <w:p>
      <w:pPr>
        <w:spacing w:after="0" w:line="16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34290</wp:posOffset>
            </wp:positionV>
            <wp:extent cx="2065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sz w:val="20"/>
          <w:szCs w:val="20"/>
          <w:color w:val="auto"/>
        </w:rPr>
      </w:pPr>
    </w:p>
    <w:p>
      <w:pPr>
        <w:ind w:left="8300"/>
        <w:spacing w:after="0"/>
        <w:tabs>
          <w:tab w:leader="none" w:pos="9960" w:val="left"/>
        </w:tabs>
        <w:rPr>
          <w:sz w:val="20"/>
          <w:szCs w:val="20"/>
          <w:color w:val="auto"/>
        </w:rPr>
      </w:pPr>
      <w:r>
        <w:rPr>
          <w:rFonts w:ascii="Arial" w:cs="Arial" w:eastAsia="Arial" w:hAnsi="Arial"/>
          <w:sz w:val="18"/>
          <w:szCs w:val="18"/>
          <w:b w:val="1"/>
          <w:bCs w:val="1"/>
          <w:color w:val="auto"/>
        </w:rPr>
        <w:t>May 1, 2020</w:t>
      </w:r>
      <w:r>
        <w:rPr>
          <w:sz w:val="20"/>
          <w:szCs w:val="20"/>
          <w:color w:val="auto"/>
        </w:rPr>
        <w:tab/>
      </w:r>
      <w:r>
        <w:rPr>
          <w:rFonts w:ascii="Arial" w:cs="Arial" w:eastAsia="Arial" w:hAnsi="Arial"/>
          <w:sz w:val="16"/>
          <w:szCs w:val="16"/>
          <w:b w:val="1"/>
          <w:bCs w:val="1"/>
          <w:color w:val="auto"/>
        </w:rPr>
        <w:t>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34290</wp:posOffset>
            </wp:positionV>
            <wp:extent cx="2065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1"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6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Investment income, primarily interest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investments, net</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7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79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and other, net</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7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During the first quarter of Fiscal 2021, the change in interest and other, net was favorable by $127 million, primarily due a gain of $120 million recognized from the sale of certain intellectual property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first quarter of Fiscal 2021, our effective income tax rate was -33.8% on pre-tax income of $136 million. For the first quarter of Fiscal 2020, our effective income tax rate was 330.1% on pre-tax losses of $143 million. The change in our effective tax rate was primarily driven by discrete tax items and a change in our jurisdictional mix of income. Our effective tax rates include discrete tax benefits of $59 million and $405 million resulting from intra-entity asset transfers of certain of our intellectual property to Irish subsidiaries for the first quarter of Fiscal 2021 and Fiscal 2020, respectively. The tax benefit for each intra-entity asset transfer was recorded as a deferred tax asset in the period of transaction and represents the book and tax basis difference on the transferred assets measured based on the applicable Irish statutory tax rate. We applied significant judgment when determining the fair value of the intellectual property, which serves as the tax basis of the deferred tax asset, and in evaluating the associated tax laws in the applicable jurisdictions. The tax deductions for amortization of the assets will be recognized in the future, and any amortization not deducted for tax purposes will be carried forward indefinitely under Irish tax laws. We expect to be able to realize the deferred tax assets resulting from these intra-entity asset transfers.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effective income tax rate can fluctuate depending on the geographic distribution of our worldwide earnings, as our foreign earnings are generally taxed at lower rates than in the United States. The differences between our effective income tax rate and the U.S. federal statutory rate of 21% principally result from the geographical distribution of income, differences between the book and tax treatment of certain items, and the discrete tax items discussed above. In certain jurisdictions, our tax rate is significantly less than the applicable statutory rate as a result of tax holidays. The majority of our foreign income that is subject to these tax holidays and lower tax rates is attributable to Singapore, China, and Malaysia. A significant portion of these income tax benefits relates to a tax holiday that will be effective until January 31, 2029. Our other tax holidays will expire in whole or in part during Fiscal 2022 through Fiscal 2030. Many of these tax holidays and reduced tax rates may be extended when certain conditions are met or may be terminated early if certain conditions are not met. As of May 1, 2020, we were not aware of any matters of non-compliance related to these tax holidays. The effective income tax rate for future quarters of Fiscal 2021 may be impacted by the actual mix of jurisdictions in which income is generated.</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further discussion regarding tax matters, including the status of income tax audits, see Note 11 of the Notes to the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first quarter of Fiscal 2021, net income decreased 45% to $182 million. The decrease in net income during the first quarter of Fiscal 2021 was primarily due lower discrete tax benefits, which were partially offset by an increase in operating income and a decrease in interest and other, net.</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income for the first quarter of Fiscal 2021 and Fiscal 2020 included amortization of intangible assets, the impact of purchase accounting, transaction-related expenses, stock-based compensation expense, other corporate expenses, fair value adjustments on equity investments, and discrete tax items. Excluding these costs and the related tax impacts, non-GAAP net income decreased 5% to $1.1 billion. The decrease in non-GAAP net income during the first quarter of Fiscal 2021 was primarily attributable to a decrease in non-GAAP operating income and an increase in non-GAAP interest and other, net.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During the first quarter of Fiscal 2021, net income or loss attributable to non-controlling interests consisted of net income or loss attributable to our non-controlling interests in VMware, Inc. and Secureworks. During the first quarter of Fiscal 2020, net income or loss attributable to non-controlling interests consisted of net income or loss attributable to our non-controlling interests in VMware, Inc., Secureworks, and Pivotal. Pivotal was acquired by VMware on December 30, 2019 and, as a result, we no longer have a separate non-controlling interest in Pivotal.</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Fiscal 2021 and Fiscal 2020, net income attributable to non-controlling interests was $39 million and $36 million, respectively. The increase in net income attributable to non-controlling interests during the first quarter of Fiscal 2021 was attributable to an increase in net income attributable to our non-controlling interest in VMware, Inc. For more information about our non-controlling interests, see Note 13 of the Notes to the Condensed Consolidated Financial Statements included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Dell Technologies Inc.</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Net income attributable to Dell Technologies Inc. represents net income and an adjustment for non-controlling interests. During the first quarter of Fiscal 2021 and Fiscal 2020, net income attributable to Dell Technologies Inc. was $143 million and $293 million, respectively. The decrease in net income attributable to Dell Technologies Inc. during the first quarter of Fiscal 2021 was primarily attributable to the decrease in net income for the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125" w:right="4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reportable segments are based on the following business units: ISG, CSG, and VMware. A description of our three business units is provided under “Introduction.” See Note 17 of the Notes to the Condensed Consolidated Financial Statements included in this report for a reconciliation of net revenue and operating income by reportable segment to consolidated net revenue and consolidated operating income,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ISG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1, 2020</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32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May 3, 2019</w:t>
            </w:r>
          </w:p>
        </w:tc>
      </w:tr>
      <w:tr>
        <w:trPr>
          <w:trHeight w:val="27"/>
        </w:trPr>
        <w:tc>
          <w:tcPr>
            <w:tcW w:w="5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0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(in millions, except percentages)</w:t>
            </w:r>
          </w:p>
        </w:tc>
        <w:tc>
          <w:tcPr>
            <w:tcW w:w="142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Servers and networking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3,758</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4,180</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Storage</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3,811</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4,022</w:t>
            </w:r>
          </w:p>
        </w:tc>
      </w:tr>
      <w:tr>
        <w:trPr>
          <w:trHeight w:val="237"/>
        </w:trPr>
        <w:tc>
          <w:tcPr>
            <w:tcW w:w="5860" w:type="dxa"/>
            <w:vAlign w:val="bottom"/>
          </w:tcPr>
          <w:p>
            <w:pPr>
              <w:ind w:left="280"/>
              <w:spacing w:after="0"/>
              <w:rPr>
                <w:sz w:val="20"/>
                <w:szCs w:val="20"/>
                <w:color w:val="auto"/>
              </w:rPr>
            </w:pPr>
            <w:r>
              <w:rPr>
                <w:rFonts w:ascii="Arial" w:cs="Arial" w:eastAsia="Arial" w:hAnsi="Arial"/>
                <w:sz w:val="18"/>
                <w:szCs w:val="18"/>
                <w:color w:val="auto"/>
              </w:rPr>
              <w:t>Total ISG net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7,569</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8,202</w:t>
            </w: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5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ISG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732</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843</w:t>
            </w:r>
          </w:p>
        </w:tc>
      </w:tr>
      <w:tr>
        <w:trPr>
          <w:trHeight w:val="237"/>
        </w:trPr>
        <w:tc>
          <w:tcPr>
            <w:tcW w:w="586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9.7%</w:t>
            </w:r>
          </w:p>
        </w:tc>
        <w:tc>
          <w:tcPr>
            <w:tcW w:w="19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10.3%</w:t>
            </w:r>
          </w:p>
        </w:tc>
      </w:tr>
    </w:tbl>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the first quarter of Fiscal 2021, ISG net revenue decreased 8% due to decreases in sales of servers and networking and storage. ISG</w:t>
      </w:r>
      <w:r>
        <w:rPr>
          <w:rFonts w:ascii="Arial" w:cs="Arial" w:eastAsia="Arial" w:hAnsi="Arial"/>
          <w:sz w:val="17"/>
          <w:szCs w:val="17"/>
          <w:i w:val="1"/>
          <w:iCs w:val="1"/>
          <w:color w:val="auto"/>
        </w:rPr>
        <w:t xml:space="preserve"> </w:t>
      </w:r>
      <w:r>
        <w:rPr>
          <w:rFonts w:ascii="Arial" w:cs="Arial" w:eastAsia="Arial" w:hAnsi="Arial"/>
          <w:sz w:val="17"/>
          <w:szCs w:val="17"/>
          <w:color w:val="auto"/>
        </w:rPr>
        <w:t>net revenue decreased primarily due to a weaker demand environment, as customers shifted to investments in remote work solutions as part of business continuity plans. Revenue from the sales of servers and networking decreased 10% during the first quarter of Fiscal 2021, primarily driven by a decline in units sold of our PowerEdge servers due to a weaker demand environment, particularly in China, and a decrease in average selling prices for servers resulting from competitive pressures in certain geographies. Storage revenue decreased 5% during the first quarter of Fiscal 2021 primarily due to a decline in demand. We continue to make enhancements to our storage solutions offerings and expect that these offerings, including the release of our new PowerStore storage array in May 2020, will drive long-term improvements in the business.</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ISG customers are interested in new and innovative models that address how they consume our solutions. We offer options including as-a-service, utility, leases, and immediate pay models, all designed to match customers’ consumption and financing preferences. Our multi-year agreements typically result in recurring revenue streams over the term of the arrangement. We expect our flexible consumption models will further strengthen our customer relationships and provide a foundation for growth in recurring revenue.</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From a geographical perspective, net revenue attributable to ISG decreased in all regions during the first quarter of Fiscal 2021, with the largest decline in EMEA, driven by a weaker demand environment as a result of pervasive global COVID-19 disruptions, which persisted for the majority of the quarter.</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the first quarter of Fiscal 2021, ISG operating income as a percentage of net revenue decreased 60 basis points to 9.7%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weakness in gross margin for servers and networking due to competitive pricing dynamics. The decline in gross margin percentage during the first quarter of Fiscal 2021 was also attributable to component costs that were deflationary in the aggregate for ISG, although to a lesser extent than in the first quarter of Fiscal 2020. For the remaining nine months of Fiscal 2021, we currently expect an inflationary component cost environment, which may put pressure on ISG operating results, particularly from sales of servers and networking. We will continue to monitor our pricing in response to the changing competitive and cost environment.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CSG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1, 2020</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32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May 3, 2019</w:t>
            </w:r>
          </w:p>
        </w:tc>
      </w:tr>
      <w:tr>
        <w:trPr>
          <w:trHeight w:val="27"/>
        </w:trPr>
        <w:tc>
          <w:tcPr>
            <w:tcW w:w="5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0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(in millions, except percentages)</w:t>
            </w:r>
          </w:p>
        </w:tc>
        <w:tc>
          <w:tcPr>
            <w:tcW w:w="142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8,634</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4 %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8,307</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2,470</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2,603</w:t>
            </w:r>
          </w:p>
        </w:tc>
      </w:tr>
      <w:tr>
        <w:trPr>
          <w:trHeight w:val="237"/>
        </w:trPr>
        <w:tc>
          <w:tcPr>
            <w:tcW w:w="5860" w:type="dxa"/>
            <w:vAlign w:val="bottom"/>
          </w:tcPr>
          <w:p>
            <w:pPr>
              <w:ind w:left="280"/>
              <w:spacing w:after="0"/>
              <w:rPr>
                <w:sz w:val="20"/>
                <w:szCs w:val="20"/>
                <w:color w:val="auto"/>
              </w:rPr>
            </w:pPr>
            <w:r>
              <w:rPr>
                <w:rFonts w:ascii="Arial" w:cs="Arial" w:eastAsia="Arial" w:hAnsi="Arial"/>
                <w:sz w:val="18"/>
                <w:szCs w:val="18"/>
                <w:color w:val="auto"/>
              </w:rPr>
              <w:t>Total CSG net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11,104</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2 %</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10,910</w:t>
            </w: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18"/>
        </w:trPr>
        <w:tc>
          <w:tcPr>
            <w:tcW w:w="5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CSG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592</w:t>
            </w:r>
          </w:p>
        </w:tc>
        <w:tc>
          <w:tcPr>
            <w:tcW w:w="1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793</w:t>
            </w:r>
          </w:p>
        </w:tc>
      </w:tr>
      <w:tr>
        <w:trPr>
          <w:trHeight w:val="237"/>
        </w:trPr>
        <w:tc>
          <w:tcPr>
            <w:tcW w:w="586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5.3%</w:t>
            </w:r>
          </w:p>
        </w:tc>
        <w:tc>
          <w:tcPr>
            <w:tcW w:w="19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7.3%</w:t>
            </w:r>
          </w:p>
        </w:tc>
      </w:tr>
    </w:tbl>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the first quarter of Fiscal 2021, CSG net revenue increased 2% due to an increase in commercial sales, partially offset by a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consumer sales. Commercial revenue increased 4% during the first quarter of Fiscal 2021 primarily due to increased demand from large commercial and governmental customers for work and learn from home solutions, particularly driving strong demand for commercial notebooks. Consumer revenue decreased 5% during the first quarter of Fiscal 2021 due to lower consumer demand, particularly in retail, as a result of the COVID-19 market disruption.</w:t>
      </w:r>
    </w:p>
    <w:p>
      <w:pPr>
        <w:spacing w:after="0" w:line="1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a geographical perspective, net revenue attributable to CSG increased in the Americas and EMEA during the first quarter of Fiscal 2021. In APJ, particularly in China, net revenue decreased during the first quarter of Fiscal 2021.</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the first quarter of Fiscal 2021, CSG operating income as a percentage of net revenue decreased 200 basis points to 5.3%.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primarily due to a decrease in CSG gross margin percentage, which was principally driven by increased supply chain costs to expedite delivery of certain products to meet strong demand in this environment, as well as by competitive pricing dynamics. Also impacting the decrease in gross margin percentage, the aggregate CSG component cost environment was deflationary in the first quarter of Fiscal 2021, although to a lesser extent than in the first quarter of Fiscal 2020. We expect an inflationary component cost environment in the remaining nine months of Fiscal 2021, which will put pressure on CSG operating results. We will continue to monitor our pricing in response to the changing competitive and component cost environment.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table presents net revenue and operating income attributable to VMware for the periods indicated. During Fiscal 2020, the Company reclassified Pivotal operating results from other businesses to the VMware reportable segment. Prior period results have been recast to conform with the current period presentation.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1, 2020</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340" w:type="dxa"/>
            <w:vAlign w:val="bottom"/>
          </w:tcPr>
          <w:p>
            <w:pPr>
              <w:spacing w:after="0"/>
              <w:rPr>
                <w:sz w:val="20"/>
                <w:szCs w:val="20"/>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May 3, 2019</w:t>
            </w:r>
          </w:p>
        </w:tc>
      </w:tr>
      <w:tr>
        <w:trPr>
          <w:trHeight w:val="27"/>
        </w:trPr>
        <w:tc>
          <w:tcPr>
            <w:tcW w:w="5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gridSpan w:val="3"/>
          </w:tcPr>
          <w:p>
            <w:pPr>
              <w:jc w:val="center"/>
              <w:ind w:left="1090"/>
              <w:spacing w:after="0"/>
              <w:rPr>
                <w:sz w:val="20"/>
                <w:szCs w:val="20"/>
                <w:color w:val="auto"/>
              </w:rPr>
            </w:pPr>
            <w:r>
              <w:rPr>
                <w:rFonts w:ascii="Arial" w:cs="Arial" w:eastAsia="Arial" w:hAnsi="Arial"/>
                <w:sz w:val="18"/>
                <w:szCs w:val="18"/>
                <w:color w:val="auto"/>
                <w:w w:val="90"/>
              </w:rPr>
              <w:t>(in millions, except percentages)</w:t>
            </w:r>
          </w:p>
        </w:tc>
        <w:tc>
          <w:tcPr>
            <w:tcW w:w="14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color w:val="auto"/>
              </w:rPr>
              <w:t>VMware net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2,755</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2,457</w:t>
            </w:r>
          </w:p>
        </w:tc>
      </w:tr>
      <w:tr>
        <w:trPr>
          <w:trHeight w:val="27"/>
        </w:trPr>
        <w:tc>
          <w:tcPr>
            <w:tcW w:w="5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5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VMware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773</w:t>
            </w: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595</w:t>
            </w:r>
          </w:p>
        </w:tc>
      </w:tr>
      <w:tr>
        <w:trPr>
          <w:trHeight w:val="237"/>
        </w:trPr>
        <w:tc>
          <w:tcPr>
            <w:tcW w:w="590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28.1%</w:t>
            </w:r>
          </w:p>
        </w:tc>
        <w:tc>
          <w:tcPr>
            <w:tcW w:w="1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24.2%</w:t>
            </w:r>
          </w:p>
        </w:tc>
      </w:tr>
    </w:tbl>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VMware net revenue, inclusive of Pivotal, primarily consists of revenue from the sale of software licenses under perpetual licenses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and software-as-a-service (“SaaS”) offerings, as well as related software maintenance services, support, training, consulting services, and hosted services. VMware net revenue for the first quarter of Fiscal 2021 increased 12% primarily due to growth in sales of subscriptions and SaaS, as well as an increase in sales of software maintenance services. Software maintenance revenue benefited from new contracts and renewals of VMware enterprise agreements, revenue recognized from maintenance contracts sold in prior periods, and additional maintenance contracts sold in conjunction with new software license sales.</w:t>
      </w:r>
    </w:p>
    <w:p>
      <w:pPr>
        <w:spacing w:after="0" w:line="19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From a geographical perspective, approximately half of VMware net revenue during the first quarter of Fiscal 2021 was generated by sales to customers in the United States. VMware net revenue for the first quarter of Fiscal 2021 increased in both the United States and internationally.</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u w:val="single" w:color="auto"/>
          <w:color w:val="auto"/>
        </w:rPr>
        <w:t>Operating Income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the first quarter of Fiscal 2021, VMware operating income as a percentage of net revenue increased 390 basis points to 28.1%.</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was driven by an increase in gross margin as a percentage of net revenue. During the first quarter of Fiscal 2021, VMware net revenue growth outpaced increased operating expenses, particularly R&amp;D compensation-related expenses resulting from acquisitions and additional investments. While the COVID-19 pandemic has not had a significant adverse financial impact on VMware operations to date, in future periods we expect a negative impact on VMware results of operations, the size and duration of which we are currently unable to predict.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BALANCE SHEET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sell products and services directly to customers and through a variety of sales channels, including retail distribution. Our accounts receivable, net, was $10.8 billion and $12.5 billion as of May 1, 2020 and January 31, 2020, respectively.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reasonable and supportable expectation of future conditions, as well as specific identifiable customer accounts that are deemed at risk. Our analysis includes assumptions regarding the impact of COVID-19 and continued market volatility, which is highly uncertain and subject to significant judgment. Given this uncertainty, our allowance for expected credit losses in future periods may vary from our current estimates. As of May 1, 2020 and January 31, 2020, the allowance for expected credit losses was $144 million and $94 million, respectively. Allowance for expected credit losses of trade receivables as of May 1, 2020 includes the impact of adoption of the new current expected credit losses (“CECL”) standard, which was adopted as of February 1, 2020 using the modified retrospective method. Based on our assessment, we believe that we are adequately reserved for expected credit losses. We will continue to monitor the aging of our accounts receivable and take actions, where necessary, to reduce our exposure to credit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Dell Financial Services and its affiliates (“DFS”) support Dell Technologies by offering and arranging various financing options and services for our customers globally, including through captive financing operations in North America, Europe, Australia, and New Zealand. DFS originates, collects, and services customer receivables primarily related to the purchase of our product, software, and service solutions. DFS further strengthens our customer relationships through its flexible consumption models, which enable us to offer our customers the option to pay over time and, in certain cases, based on utilization, to provide them with financial flexibility to meet their changing technological requirements. New financing originations were $1.8 billion and $1.7 billion for the first quarter of Fiscal 2021 and Fiscal 2020, respectively. In response to the COVID-19 pandemic, we are focused on supporting our customers and intend to provide up to $9 billion in financing support by offering low or zero percent interest rate programs as well as payment deferral options. The financial impact to DFS and our securitization and structured financing programs is not expected to be material.</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current lease accounting standard effective February 2, 2019, new DFS leases are classified as sales-type leases, direct financing leases, or operating leases. Amounts due from lessees under sales-type leases or direct financing leases are recorded as part of financing receivables, with interest income recognized over the contract term. On commencement of sales-type leases, we typically qualify for up-front revenue recognition. On originations of operating leases, we record equipment under operating leases, classified as property, plant, and equipment, and recognize rental revenue and depreciation expense, classified as cost of net revenue, over the contract term. Direct financing leases are immaterial. Leases that commenced prior to the effective date of the current lease accounting standard continue to be accounted for under previous lease accounting guidance.</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May 1, 2020 and January 31, 2020, our financing receivables, net were $9.5 billion and $9.7 billion, respectively. We maintain an allowance to cover expected financing receivable credit losses and evaluate credit loss expectations based on our total portfolio. Allowance for expected credit losses of financing receivables as of May 1, 2020 includes the impact of adoption of the CECL standard referred to above. Our analysis includes assumptions regarding the impact of COVID-19 and continued market volatility, which is highly uncertain and subject to significant judgment. Given this uncertainty, our allowance for expected credit losses in future periods may vary from our current estimates. For both the first quarter of Fiscal 2021 and Fiscal 2020, the principal charge-off rate for our total portfolio was 1.0%. The credit quality of our financing receivables has improved in recent years due to an overall improvement in the credit environment and as the mix of high-quality commercial accounts in our portfolio has continued to increase. We continue to monitor broader economic indicators and their potential impact on future loss performance. We have an extensive process to manage our exposure to customer credit risk, including active management of credit lines and our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retain a residual interest in equipment leased under our lease programs. As of May 1, 2020 and January 31, 2020, the residual interest recorded as part of financing receivables was $551 million and $582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impairment. Generally, residual value risk on equipment under lease is not considered to be significant, because of the existence of a secondary market with respect to the equipment. The lease agreement also clearly defines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 Our remarketing sales staff works closely with customers and dealers to manage the sale of lease returns and the recovery of residual exposure. No impairment losses were recorded related to residual assets during the first quarter of Fiscal 2021.</w:t>
      </w:r>
    </w:p>
    <w:p>
      <w:pPr>
        <w:spacing w:after="0" w:line="166"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As of May 1, 2020 and January 31, 2020, equipment under operating leases, net was $975 million and $840 million, respectively. Based on triggering events, we assess the carrying amount of the equipment under operating leases recorded for impairment. No material impairment losses were recorded related to such equipment during the first quarter of Fiscal 2021.</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DFS offerings are initially funded through cash on hand at the time of origination, most of which is subsequently replaced with third-party financing. For DFS offerings which qualify as sales-type leases, the initial funding of financing receivables is reflected as an impact to cash flows from operations, and is largely subsequently offset by cash proceeds from financing. For DFS operating leases, which have increased under the current lease standard, the initial funding is classified as a capital expenditure and reflected as an impact to cash flows used in investing activities.</w:t>
      </w:r>
    </w:p>
    <w:p>
      <w:pPr>
        <w:spacing w:after="0" w:line="13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See Note 4 of the Notes to the Condensed Consolidated Financial Statements included in this report for additional information about our financing receivables and the associated allowances, and the equipment under operating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May 1, 2020, we had no off-balance sheet arrangements that have or are reasonably likely to have a current or future material effect on our financial condition or results of operations.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LIQUIDITY, AND CAPITAL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7 of the Notes to the Condensed Consolidated Financial Statements included in this report for more information about our use of derivative instruments.</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exposed to interest rate risk related to our variable-rate debt portfolio. In the normal course of business, we follow established policies and procedures to manage this risk, including monitoring of our asset and liability mix. As a result, we do not anticipate any material losses from interest rate risk.</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impact of any credit adjustments related to our use of counterparties on our Condensed Consolidated Financial Statements included in this report has been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support our ongoing business operations, we rely on operating cash flows as our primary source of liquidity. We monitor the efficiency of our balance sheet to ensure that we have adequate liquidity to support our strategic initiatives. In addition to internally generated cash, we have access to other capital sources to finance our strategic initiatives and fund growth in our financing operations. Our strategy is to deploy capital from any potential source, whether internally generated cash or debt, depending on the adequacy and availability of that source of capital and whether it can be accessed in a cost-effective manner.</w:t>
      </w:r>
    </w:p>
    <w:p>
      <w:pPr>
        <w:spacing w:after="0" w:line="18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this unprecedented environment resulting from the COVID-19 pandemic, we are taking actions to increase our cash position and preserve financial flexibility. In March 2020, as previously reported, we drew $3.0 billion under the Revolving Credit Facility as a precautionary measure given the uncertainty in the global markets, which we repaid during the quarter. Additionally, we accessed the debt markets in the first quarter of Fiscal 2021, in which we issued $2.25 billion aggregate principal amount of First Lien Notes and VMware, Inc. issued $2.0 billion aggregate principal amount of senior notes. The proceeds from the issuance of these notes are expected to be used for general corporate purposes, including planned repayment of upcoming debt maturities. Subsequent to the first quarter of Fiscal 2021, VMware, Inc. repaid $1.25 billion principal amount of its 2.30% Notes due August 2020.</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320" w:top="125" w:right="3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and cash equivalents as well as our available borrowings as of the dates indicated:</w:t>
      </w:r>
    </w:p>
    <w:p>
      <w:pPr>
        <w:spacing w:after="0" w:line="167" w:lineRule="exact"/>
        <w:rPr>
          <w:sz w:val="20"/>
          <w:szCs w:val="20"/>
          <w:color w:val="auto"/>
        </w:rPr>
      </w:pPr>
    </w:p>
    <w:p>
      <w:pPr>
        <w:ind w:left="7980"/>
        <w:spacing w:after="0"/>
        <w:tabs>
          <w:tab w:leader="none" w:pos="9660" w:val="left"/>
        </w:tabs>
        <w:rPr>
          <w:sz w:val="20"/>
          <w:szCs w:val="20"/>
          <w:color w:val="auto"/>
        </w:rPr>
      </w:pPr>
      <w:r>
        <w:rPr>
          <w:rFonts w:ascii="Arial" w:cs="Arial" w:eastAsia="Arial" w:hAnsi="Arial"/>
          <w:sz w:val="18"/>
          <w:szCs w:val="18"/>
          <w:b w:val="1"/>
          <w:bCs w:val="1"/>
          <w:color w:val="auto"/>
        </w:rPr>
        <w:t>May 1, 2020</w:t>
      </w:r>
      <w:r>
        <w:rPr>
          <w:sz w:val="20"/>
          <w:szCs w:val="20"/>
          <w:color w:val="auto"/>
        </w:rPr>
        <w:tab/>
      </w:r>
      <w:r>
        <w:rPr>
          <w:rFonts w:ascii="Arial" w:cs="Arial" w:eastAsia="Arial" w:hAnsi="Arial"/>
          <w:sz w:val="16"/>
          <w:szCs w:val="16"/>
          <w:b w:val="1"/>
          <w:bCs w:val="1"/>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34290</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1"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 and available borrowings: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280"/>
              <w:spacing w:after="0"/>
              <w:rPr>
                <w:sz w:val="20"/>
                <w:szCs w:val="20"/>
                <w:color w:val="auto"/>
              </w:rPr>
            </w:pPr>
            <w:r>
              <w:rPr>
                <w:rFonts w:ascii="Arial" w:cs="Arial" w:eastAsia="Arial" w:hAnsi="Arial"/>
                <w:sz w:val="18"/>
                <w:szCs w:val="18"/>
                <w:color w:val="auto"/>
              </w:rPr>
              <w:t>Cash and cash equivalents (a)</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9,302</w:t>
            </w:r>
          </w:p>
        </w:tc>
      </w:tr>
      <w:tr>
        <w:trPr>
          <w:trHeight w:val="27"/>
        </w:trPr>
        <w:tc>
          <w:tcPr>
            <w:tcW w:w="7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Remaining available borrowings under revolving credit facilities</w:t>
            </w: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5,972</w:t>
            </w:r>
          </w:p>
        </w:tc>
      </w:tr>
      <w:tr>
        <w:trPr>
          <w:trHeight w:val="250"/>
        </w:trPr>
        <w:tc>
          <w:tcPr>
            <w:tcW w:w="7540" w:type="dxa"/>
            <w:vAlign w:val="bottom"/>
          </w:tcPr>
          <w:p>
            <w:pPr>
              <w:ind w:left="380"/>
              <w:spacing w:after="0"/>
              <w:rPr>
                <w:sz w:val="20"/>
                <w:szCs w:val="20"/>
                <w:color w:val="auto"/>
              </w:rPr>
            </w:pPr>
            <w:r>
              <w:rPr>
                <w:rFonts w:ascii="Arial" w:cs="Arial" w:eastAsia="Arial" w:hAnsi="Arial"/>
                <w:sz w:val="18"/>
                <w:szCs w:val="18"/>
                <w:color w:val="auto"/>
              </w:rPr>
              <w:t>Total cash, cash equivalents, and available borrowings</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17,701</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8255</wp:posOffset>
            </wp:positionV>
            <wp:extent cx="234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-130175</wp:posOffset>
            </wp:positionV>
            <wp:extent cx="23488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Of the $12.2 billion of cash and cash equivalents as of May 1, 2020, $5.9 billion was held by VMware, Inc.</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revolving credit facilities as of May 1, 2020 include the Revolving Credit Facility. The Revolving Credit Facility has a maximum aggregate borrowing capacity of $4.5 billion. Available borrowings under this facility are reduced by draws on the facility and outstanding letters of credit. As of May 1, 2020, there were no borrowings outstanding under the facility and remaining available borrowings totaled approximately $4.5 billion. Subsequent to the first quarter of Fiscal 2021 on May 25, 2020, we entered into a new revolving credit facility for China (the “China Revolving Credit Facility”). The new terms provide for collateralized and non-collateralized principal amounts not to exceed $1.0 billion Chinese renminbi and $1.8 billion Chinese renminbi, respectively, or equivalent amounts in U.S. dollars. We may regularly use our available borrowings from both our Revolving Credit Facility and our China Revolving Credit Facility on a short-term basis for general corporate purposes. See Note 19 of the Notes to the Condensed Consolidated Financial Statements included in this report for additional information about the new China Revolving Credit Facility.</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VMware Revolving Credit Facility has a maximum capacity of $1.0 billion. As of May 1, 2020, $1.0 billion was available under the VMware Revolving Credit Facility. The VMware Term Loan Facility had a borrowing capacity of up to $2.0 billion through February 7, 2020. As of May 1, 2020, the outstanding borrowings under the VMware Term Loan Facility were $1.5 billion, with no remaining amount available for additional borrowings. None of the net proceeds of borrowings under the VMware Revolving Credit Facility or the VMware Term Loan Facility will be made available to support the operations or satisfy any corporate purposes of Dell Technologies, other than the operations and corporate purposes of VMware, Inc. and VMware, Inc.’s subsidiaries.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6 of the Notes to the Condensed Consolidated Financial Statements included in this report for additional information about each of the foregoing revolving credit facilities.</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believe that our current cash and cash equivalents, together with cash that will be provided by future operations and borrowings expected to be available under our revolving credit facilities, will be sufficient over at least the next twelve months to fund our operations, debt service requirements and maturities, capital expenditures, share repurchases, and other corporate needs.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1, 2020</w:t>
            </w:r>
          </w:p>
        </w:tc>
        <w:tc>
          <w:tcPr>
            <w:tcW w:w="14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Increase (decrease)</w:t>
            </w:r>
          </w:p>
        </w:tc>
        <w:tc>
          <w:tcPr>
            <w:tcW w:w="14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31, 2020</w:t>
            </w: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28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Core debt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Senior Secured Credit Facilities and First Lien Notes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29,664</w:t>
            </w: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Unsecured Notes and Debentures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2,700</w:t>
            </w: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EMC Notes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DFS allocated debt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7"/>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core debt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DFS related debt</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DFS debt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7,765</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DFS allocated debt</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1,495</w:t>
            </w:r>
          </w:p>
        </w:tc>
      </w:tr>
      <w:tr>
        <w:trPr>
          <w:trHeight w:val="27"/>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DFS related debt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Margin Loan Facility and other</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4,024</w:t>
            </w: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Debt of public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VMware Notes</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4,000</w:t>
            </w: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VMware Term Loan Facility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public subsidiary debt</w:t>
            </w: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5,560</w:t>
            </w:r>
          </w:p>
        </w:tc>
      </w:tr>
      <w:tr>
        <w:trPr>
          <w:trHeight w:val="237"/>
        </w:trPr>
        <w:tc>
          <w:tcPr>
            <w:tcW w:w="5740" w:type="dxa"/>
            <w:vAlign w:val="bottom"/>
          </w:tcPr>
          <w:p>
            <w:pPr>
              <w:ind w:left="500"/>
              <w:spacing w:after="0"/>
              <w:rPr>
                <w:sz w:val="20"/>
                <w:szCs w:val="20"/>
                <w:color w:val="auto"/>
              </w:rPr>
            </w:pPr>
            <w:r>
              <w:rPr>
                <w:rFonts w:ascii="Arial" w:cs="Arial" w:eastAsia="Arial" w:hAnsi="Arial"/>
                <w:sz w:val="18"/>
                <w:szCs w:val="18"/>
                <w:color w:val="auto"/>
              </w:rPr>
              <w:t>Total debt, principal amount</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57,347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52,665</w:t>
            </w:r>
          </w:p>
        </w:tc>
      </w:tr>
      <w:tr>
        <w:trPr>
          <w:trHeight w:val="27"/>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Carrying value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57"/>
        </w:trPr>
        <w:tc>
          <w:tcPr>
            <w:tcW w:w="5740" w:type="dxa"/>
            <w:vAlign w:val="bottom"/>
          </w:tcPr>
          <w:p>
            <w:pPr>
              <w:ind w:left="600"/>
              <w:spacing w:after="0"/>
              <w:rPr>
                <w:sz w:val="20"/>
                <w:szCs w:val="20"/>
                <w:color w:val="auto"/>
              </w:rPr>
            </w:pPr>
            <w:r>
              <w:rPr>
                <w:rFonts w:ascii="Arial" w:cs="Arial" w:eastAsia="Arial" w:hAnsi="Arial"/>
                <w:sz w:val="18"/>
                <w:szCs w:val="18"/>
                <w:color w:val="auto"/>
              </w:rPr>
              <w:t>Total debt, carrying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56,728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52,056</w:t>
            </w: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2021, the outstanding principal amount of our debt increased by $4.7 billion to $57.3 billion as of May 1, 2020.</w:t>
      </w: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quarter of Fiscal 2021, our core debt increased by $2.8 billion to $36.6 billion as of May 1, 2020. We define core debt as the total principal amount of our debt, less DFS related debt, our Margin Loan Facility and other debt, and public subsidiary debt. The increase in core debt was primarily due to the issuance of multiple series of First Lien Notes in an aggregate principal amount of $2.25 billion on April 9, 2020. See Note 6 of the Notes to the Condensed Consolidated Financial Statements included in this report for more information about our debt. The change in DFS allocated debt also contributed to the increase, and is discussed further below.</w:t>
      </w:r>
    </w:p>
    <w:p>
      <w:pPr>
        <w:spacing w:after="0" w:line="1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the first quarter of Fiscal 2021, we issued an additional $0.5 billion, net, in DFS debt to support the expansion of our financing receivables portfolio. DFS related debt primarily represents debt from our securitization and structured financing programs. The majority of DFS debt is non-recourse to Dell Technologies and represents borrowings under securitization programs and structured financing programs, for which our risk of loss is limited to transferred lease and loan payments and associated equipment, and under which the credit holders have no recourse to Dell Technologies.</w:t>
      </w:r>
    </w:p>
    <w:p>
      <w:pPr>
        <w:spacing w:after="0" w:line="15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To fund expansion of the DFS business, we balance the use of the securitization and structured financing programs with other sources of liquidity. We approximate the amount of our debt used to fund the DFS business by applying a 7:1 debt to equity ratio to the sum of our financing receivables balance and equipment under our DFS operating leases, net. The debt to equity ratio used is based on the underlying credit quality of the assets. See Note 4 of the Notes to the Condensed Consolidated Financial Statements included in this report for more information about our DFS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As of May 1, 2020, margin loan and other debt primarily consisted of the $4.0 billion Margin Loan Facility.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Debt of public subsidiary represents VMware, Inc. indebtedness. The increase in debt of public subsidiary during the first quarter of Fiscal 2021 was due to the issuance of VMware Notes in an aggregate principal amount of $2.0 billion on April 7, 2020. See Note 6 of the Notes to the Condensed Consolidated Financial Statements included in this report for more information about VMware, Inc. debt.</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VMware, Inc. and its respective subsidiaries are unrestricted subsidiaries for purposes of the core debt of Dell Technologies. Neither Dell Technologies nor any of its subsidiaries, other than VMware, Inc., is obligated to make payment on the VMware Notes or the VMware Term Loan Facility. None of the net proceeds of the VMware Notes or, as discussed above, the VMware Term Loan Facility will be made available to support the operations or satisfy any corporate purposes of Dell Technologies, other than the operations and corporate purposes of VMware, Inc. and its subsidiaries.</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requirements for cash to pay principal and interest on our core debt increased significantly due to the borrowings we incurred to finance the EMC merger transaction and, to a lesser extent, the Class V transaction. We have made good progress in paying down core debt since the EMC merger transaction. We believe we will continue to be able to make our debt principal and interest payments, including the short-term maturities, from existing and expected sources of cash, primarily from operating cash flows. Cash used for debt principal and interest payments may also include short-term borrowings under our revolving credit facilities. We will continue to focus on paying down core debt. Under our variable-rate debt, we could have variations in our future interest expense from potential fluctuations in LIBOR, or from possible fluctuations in the level of DFS debt required to meet future demand for customer financing.</w:t>
      </w:r>
    </w:p>
    <w:p>
      <w:pPr>
        <w:spacing w:after="0" w:line="19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or our affiliates or their related persons, at our or their sole discretion, may purchase, redeem, prepay, refinance, or otherwise retire any amount of our outstanding indebtedness under the terms of such indebtedness at any time and from time to time, in open market or negotiated transactions with the holders of such indebtedness or otherwise, as appropriate market conditions exist.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Condensed Consolidated Statements of Cash Flows for the periods indicated:</w:t>
      </w:r>
    </w:p>
    <w:p>
      <w:pPr>
        <w:spacing w:after="0" w:line="16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34290</wp:posOffset>
            </wp:positionV>
            <wp:extent cx="2494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7" w:lineRule="exact"/>
        <w:rPr>
          <w:sz w:val="20"/>
          <w:szCs w:val="20"/>
          <w:color w:val="auto"/>
        </w:rPr>
      </w:pPr>
    </w:p>
    <w:p>
      <w:pPr>
        <w:ind w:left="7800"/>
        <w:spacing w:after="0"/>
        <w:tabs>
          <w:tab w:leader="none" w:pos="9800" w:val="left"/>
        </w:tabs>
        <w:rPr>
          <w:sz w:val="20"/>
          <w:szCs w:val="20"/>
          <w:color w:val="auto"/>
        </w:rPr>
      </w:pPr>
      <w:r>
        <w:rPr>
          <w:rFonts w:ascii="Arial" w:cs="Arial" w:eastAsia="Arial" w:hAnsi="Arial"/>
          <w:sz w:val="18"/>
          <w:szCs w:val="18"/>
          <w:b w:val="1"/>
          <w:bCs w:val="1"/>
          <w:color w:val="auto"/>
        </w:rPr>
        <w:t>May 1, 2020</w:t>
      </w:r>
      <w:r>
        <w:rPr>
          <w:sz w:val="20"/>
          <w:szCs w:val="20"/>
          <w:color w:val="auto"/>
        </w:rPr>
        <w:tab/>
      </w:r>
      <w:r>
        <w:rPr>
          <w:rFonts w:ascii="Arial" w:cs="Arial" w:eastAsia="Arial" w:hAnsi="Arial"/>
          <w:sz w:val="16"/>
          <w:szCs w:val="16"/>
          <w:b w:val="1"/>
          <w:bCs w:val="1"/>
          <w:color w:val="auto"/>
        </w:rPr>
        <w:t>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34290</wp:posOffset>
            </wp:positionV>
            <wp:extent cx="2494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61"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Net change in cash from:</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7"/>
        </w:trPr>
        <w:tc>
          <w:tcPr>
            <w:tcW w:w="7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7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
        </w:trPr>
        <w:tc>
          <w:tcPr>
            <w:tcW w:w="7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7320" w:type="dxa"/>
            <w:vAlign w:val="bottom"/>
          </w:tcPr>
          <w:p>
            <w:pPr>
              <w:ind w:left="380"/>
              <w:spacing w:after="0"/>
              <w:rPr>
                <w:sz w:val="20"/>
                <w:szCs w:val="20"/>
                <w:color w:val="auto"/>
              </w:rPr>
            </w:pPr>
            <w:r>
              <w:rPr>
                <w:rFonts w:ascii="Arial" w:cs="Arial" w:eastAsia="Arial" w:hAnsi="Arial"/>
                <w:sz w:val="18"/>
                <w:szCs w:val="18"/>
                <w:color w:val="auto"/>
              </w:rPr>
              <w:t>Change in cash, cash equivalents, and restricted cash</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0"/>
        </w:trPr>
        <w:tc>
          <w:tcPr>
            <w:tcW w:w="7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Cash used in operating activities was $0.8 billion for the first quarter of Fiscal 2021 compared to cash provided by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$0.7 billion for the first quarter of Fiscal 2020. The decrease in operating cash flows during the first quarter of Fiscal 2021 was attributable to unfavorable working capital impacts related to the COVID-19 pandemic on timing of collections and maintenance of higher inventory levels for continuity of supply, most of which we expect to normalize by fiscal year-end.</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flow from operating activities during the first quarter of the fiscal year is typically lower due to parts of Dell Technologies’ business being subject to seasonal sales trends as well as timing of annual personnel-related payments.</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DFS offerings are initially funded through cash on hand at the time of origination, most of which is subsequently replaced with third-party financing. For DFS offerings which qualify as sales-type leases, the initial funding of financing receivables is reflected as an impact to cash flows from operations, and is largely subsequently offset by cash proceeds from financing. For DFS operating leases, which have increased under the current leasing standard, the initial funding is classified as a capital expenditure and reflected as cash flows used in investing activities. DFS new financing originations were $1.8 billion and $1.7 billion during the first quarter of Fiscal 2021 and Fiscal 2020, respectively. As of May 1, 2020, DFS had $9.5 billion of total net financing receivables and $1.0 billion of equipment under DFS operating leases, net.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Investing activities primarily consist of cash used to fund capital expenditures for property, plant, and equipment,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under DFS operating leases, capitalized software development costs, strategic investments, and the maturities, sales, and purchases of investments. During the first quarter of Fiscal 2021, cash used in investing activities was $485 million and was primarily driven by capital expenditures, which were partially offset by net cash proceeds from the sale of certain intellectual property assets. In comparison, cash used by investing activities was $458 million during the first quarter of Fiscal 2020 and was primarily driven by capital expenditures, which were partially offset by net cash proceeds from the net sales of strategic investments.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Financing activities primarily consist of the proceeds and repayments of debt, cash used to repurchase common stock, and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issuance of common stock. Cash provided by financing activities of $4.3 billion during the first quarter of Fiscal 2021 primarily consisted of cash proceeds from the issuances of multiple series of First Lien Notes in an aggregate principal amount of $2.25 billion and VMware Notes in an aggregate principal amount of $2.0 billion, as discussed above. In comparison, cash used by financing activities of $719 million during the first quarter of Fiscal 2020 primarily consisted of repurchases of common stock of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u w:val="single" w:color="auto"/>
          <w:color w:val="auto"/>
        </w:rPr>
        <w:t>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the first quarter of Fiscal 2021 and Fiscal 2020, we spent $0.5 billion and $0.6 billion, respectively, on property, plant,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These expenditures were incurred in connection with our global expansion efforts and infrastructure investments made to support future growth, and the funding of equipment under DFS operating leases. During the first quarter of Fiscal 2021 and Fiscal 2020, funding of gross equipment under DFS operating leases was $0.2 billion and $0.3 billion, respectively. Product demand, product mix, and the use of contract manufacturers, as well as ongoing investments in operating and information technology infrastructure, influence the level and prioritization of our capital expenditures. Aggregate capital expenditures for Fiscal 2021 are currently expected to total between $2.3 billion and $2.5 billion, of which approximately $1.0 billion is expected for equipment under DFS operating leases.</w:t>
      </w:r>
    </w:p>
    <w:p>
      <w:pPr>
        <w:spacing w:after="0" w:line="17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u w:val="single" w:color="auto"/>
          <w:color w:val="auto"/>
        </w:rPr>
        <w:t>Purchase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 Purchase obligations are defined as contractual obligations to purchase goods or services that are enforceable and legally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us, see “Part II — Item 7A — Quantitative and Qualitative Disclosures About Market Risk” in our Annual Report on Form 10-K for the fiscal year ended January 31, 2020. Our exposure to market risks has not changed materially from that set forth in our Annual Report.</w:t>
      </w:r>
    </w:p>
    <w:p>
      <w:pPr>
        <w:spacing w:after="0" w:line="4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60"/>
          </w:cols>
          <w:pgMar w:left="320" w:top="125" w:right="7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4 includes information concerning the controls and control evaluations referred to in those 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May 1, 2020. Based on that evaluation, our Chief Executive Officer and Chief Financial Officer have concluded that our disclosure controls and procedures were effective at the reasonable assurance level as of May 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May 1,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for their health and safety during the COVID-19 pandemic. We are continually monitoring and assessing the potential impact of COVID-19 on our internal controls to minimize the impact on their design and operating effectiveness.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125" w:right="4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information set forth under the caption “Legal Matters” in Note 10 of the Notes to the Condensed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other information set forth in this report, the risks discussed in “Part I — Item 1A — Risk Factors” in our Annual Report on Form 10-K for the fiscal year ended January 31, 2020 could materially affect our business, operating results, financial condition, or prospects. The risks described in our Annual Report on Form 10-K and our subsequent SEC reports are not the only risks facing us. There are additional risks and uncertainties not currently known to us or that we currently deem to be immaterial that also may materially adversely affect our business, operating results,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125" w:right="5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During the first quarter of Fiscal 2021, we issued to employees an aggregate of 4,245 shares of the Class C Common Stock for an aggregate purchase price of approximately $0.1 million pursuant to exercises of stock options granted under the Dell Inc. Amended and Restated 2002 Long-Term Incentive Plan. The foregoing transactions were effected without registration in reliance on the exemption from registration under the Securities Act of 1933 afforded by Rule 701 thereunder as transactions pursuant to compensatory benefit plans or contracts relating to compensation as provided under such rule.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information regarding repurchases of Class C Common Stock by us and our affiliated purchasers during the first quarter of Fiscal 2021, and the remaining authorized amount of future repurchases under our stock repurchase program.</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Number of</w:t>
            </w:r>
          </w:p>
        </w:tc>
        <w:tc>
          <w:tcPr>
            <w:tcW w:w="260" w:type="dxa"/>
            <w:vAlign w:val="bottom"/>
          </w:tcPr>
          <w:p>
            <w:pPr>
              <w:spacing w:after="0"/>
              <w:rPr>
                <w:sz w:val="18"/>
                <w:szCs w:val="18"/>
                <w:color w:val="auto"/>
              </w:rPr>
            </w:pPr>
          </w:p>
        </w:tc>
        <w:tc>
          <w:tcPr>
            <w:tcW w:w="176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Weighted Average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900" w:type="dxa"/>
            <w:vAlign w:val="bottom"/>
            <w:gridSpan w:val="2"/>
          </w:tcPr>
          <w:p>
            <w:pPr>
              <w:jc w:val="center"/>
              <w:ind w:left="40"/>
              <w:spacing w:after="0"/>
              <w:rPr>
                <w:sz w:val="20"/>
                <w:szCs w:val="20"/>
                <w:color w:val="auto"/>
              </w:rPr>
            </w:pPr>
            <w:r>
              <w:rPr>
                <w:rFonts w:ascii="Arial" w:cs="Arial" w:eastAsia="Arial" w:hAnsi="Arial"/>
                <w:sz w:val="18"/>
                <w:szCs w:val="18"/>
                <w:b w:val="1"/>
                <w:bCs w:val="1"/>
                <w:color w:val="auto"/>
                <w:w w:val="91"/>
              </w:rPr>
              <w:t>Under the Programs</w:t>
            </w:r>
          </w:p>
        </w:tc>
        <w:tc>
          <w:tcPr>
            <w:tcW w:w="0" w:type="dxa"/>
            <w:vAlign w:val="bottom"/>
          </w:tcPr>
          <w:p>
            <w:pPr>
              <w:spacing w:after="0"/>
              <w:rPr>
                <w:sz w:val="1"/>
                <w:szCs w:val="1"/>
                <w:color w:val="auto"/>
              </w:rPr>
            </w:pPr>
          </w:p>
        </w:tc>
      </w:tr>
      <w:tr>
        <w:trPr>
          <w:trHeight w:val="234"/>
        </w:trPr>
        <w:tc>
          <w:tcPr>
            <w:tcW w:w="37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Shares Purchased</w:t>
            </w:r>
          </w:p>
        </w:tc>
        <w:tc>
          <w:tcPr>
            <w:tcW w:w="2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Price Paid per Share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Programs</w:t>
            </w:r>
          </w:p>
        </w:tc>
        <w:tc>
          <w:tcPr>
            <w:tcW w:w="220" w:type="dxa"/>
            <w:vAlign w:val="bottom"/>
          </w:tcPr>
          <w:p>
            <w:pPr>
              <w:spacing w:after="0"/>
              <w:rPr>
                <w:sz w:val="20"/>
                <w:szCs w:val="20"/>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0" w:type="dxa"/>
            <w:vAlign w:val="bottom"/>
          </w:tcPr>
          <w:p>
            <w:pPr>
              <w:spacing w:after="0"/>
              <w:rPr>
                <w:sz w:val="1"/>
                <w:szCs w:val="1"/>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0" w:type="dxa"/>
            <w:vAlign w:val="bottom"/>
            <w:gridSpan w:val="3"/>
          </w:tcPr>
          <w:p>
            <w:pPr>
              <w:jc w:val="right"/>
              <w:spacing w:after="0"/>
              <w:rPr>
                <w:sz w:val="20"/>
                <w:szCs w:val="20"/>
                <w:color w:val="auto"/>
              </w:rPr>
            </w:pPr>
            <w:r>
              <w:rPr>
                <w:rFonts w:ascii="Arial" w:cs="Arial" w:eastAsia="Arial" w:hAnsi="Arial"/>
                <w:sz w:val="18"/>
                <w:szCs w:val="18"/>
                <w:color w:val="auto"/>
                <w:w w:val="95"/>
              </w:rPr>
              <w:t>(in millions, except average price paid per share)</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Repurchases from February 1, 2020 through</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28, 2020</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Repurchases from February 29, 2020 through</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4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 xml:space="preserve">March 27, 2020 </w:t>
            </w:r>
            <w:r>
              <w:rPr>
                <w:rFonts w:ascii="Arial" w:cs="Arial" w:eastAsia="Arial" w:hAnsi="Arial"/>
                <w:sz w:val="25"/>
                <w:szCs w:val="25"/>
                <w:color w:val="auto"/>
                <w:vertAlign w:val="superscript"/>
              </w:rPr>
              <w:t>(a)</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35.98</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Repurchases from March 28, 2020 through May</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1, 2020</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5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35.98</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_____________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approximately 828 thousand shares purchased by Michael Dell for his own account in the open market.</w:t>
      </w:r>
    </w:p>
    <w:p>
      <w:pPr>
        <w:spacing w:after="0" w:line="9" w:lineRule="exact"/>
        <w:rPr>
          <w:rFonts w:ascii="Arial" w:cs="Arial" w:eastAsia="Arial" w:hAnsi="Arial"/>
          <w:sz w:val="18"/>
          <w:szCs w:val="18"/>
          <w:color w:val="auto"/>
        </w:rPr>
      </w:pPr>
    </w:p>
    <w:p>
      <w:pPr>
        <w:ind w:left="340" w:right="18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February 24, 2020, our board of directors approved a stock repurchase program under which we are authorized to repurchase up to $1.0 billion of shares of the Class C Common Stock over a 24-month period expiring on February 28, 2022. During the first quarter of Fiscal 2021, we suspended activity under our stock repurchase program.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INDEX TO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the exhibits listed below:</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580" w:type="dxa"/>
            <w:vAlign w:val="bottom"/>
            <w:gridSpan w:val="17"/>
          </w:tcPr>
          <w:p>
            <w:pPr>
              <w:ind w:left="13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460" w:type="dxa"/>
            <w:vAlign w:val="bottom"/>
          </w:tcPr>
          <w:p>
            <w:pPr>
              <w:jc w:val="right"/>
              <w:spacing w:after="0" w:line="196" w:lineRule="exact"/>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4.1</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Base Indenture, dated as of April 9, 2020, among Dell International L.L.C., EMC Corporation, the guarantors party thereto and The</w:t>
              </w:r>
            </w:hyperlink>
          </w:p>
        </w:tc>
        <w:tc>
          <w:tcPr>
            <w:tcW w:w="100" w:type="dxa"/>
            <w:vAlign w:val="bottom"/>
            <w:gridSpan w:val="3"/>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Bank of New York Mellon Trust Company, N.A., as Trustee and Notes Collateral Agent (incorporated by reference to Exhibit 4.1 to</w:t>
              </w:r>
            </w:hyperlink>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the Company’s Current Report on Form 8-K filed with the Securities and Exchange Commission (the “Commission”) on April 9,</w:t>
              </w:r>
            </w:hyperlink>
          </w:p>
        </w:tc>
        <w:tc>
          <w:tcPr>
            <w:tcW w:w="200" w:type="dxa"/>
            <w:vAlign w:val="bottom"/>
            <w:tcBorders>
              <w:top w:val="single" w:sz="8" w:color="0000FF"/>
            </w:tcBorders>
            <w:gridSpan w:val="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2020) (Commission File No. 001-37867).</w:t>
              </w:r>
            </w:hyperlink>
          </w:p>
        </w:tc>
        <w:tc>
          <w:tcPr>
            <w:tcW w:w="6580" w:type="dxa"/>
            <w:vAlign w:val="bottom"/>
            <w:gridSpan w:val="17"/>
          </w:tcPr>
          <w:p>
            <w:pPr>
              <w:spacing w:after="0"/>
              <w:rPr>
                <w:sz w:val="17"/>
                <w:szCs w:val="17"/>
                <w:color w:val="auto"/>
              </w:rPr>
            </w:pPr>
          </w:p>
        </w:tc>
      </w:tr>
      <w:tr>
        <w:trPr>
          <w:trHeight w:val="250"/>
        </w:trPr>
        <w:tc>
          <w:tcPr>
            <w:tcW w:w="1460" w:type="dxa"/>
            <w:vAlign w:val="bottom"/>
          </w:tcPr>
          <w:p>
            <w:pPr>
              <w:jc w:val="right"/>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4.2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40" w:type="dxa"/>
            <w:vAlign w:val="bottom"/>
            <w:tcBorders>
              <w:bottom w:val="single" w:sz="8" w:color="0000FF"/>
            </w:tcBorders>
            <w:gridSpan w:val="7"/>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2025 Notes Supplemental Indenture No. 1, dated as of April 9, 2020, among Dell International L.L.C., EMC Corporation, the</w:t>
              </w:r>
            </w:hyperlink>
          </w:p>
        </w:tc>
        <w:tc>
          <w:tcPr>
            <w:tcW w:w="540" w:type="dxa"/>
            <w:vAlign w:val="bottom"/>
            <w:gridSpan w:val="12"/>
          </w:tcPr>
          <w:p>
            <w:pPr>
              <w:spacing w:after="0"/>
              <w:rPr>
                <w:sz w:val="21"/>
                <w:szCs w:val="21"/>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guarantors party thereto and The Bank of New York Mellon Trust Company, N.A., as Trustee and Notes Collateral Agent</w:t>
              </w:r>
            </w:hyperlink>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6"/>
              </w:rPr>
            </w:pPr>
            <w:hyperlink r:id="rId28">
              <w:r>
                <w:rPr>
                  <w:rFonts w:ascii="Arial" w:cs="Arial" w:eastAsia="Arial" w:hAnsi="Arial"/>
                  <w:sz w:val="18"/>
                  <w:szCs w:val="18"/>
                  <w:color w:val="0000FF"/>
                  <w:w w:val="96"/>
                </w:rPr>
                <w:t>(incorporated by reference to Exhibit 4.2 to the Company’s Current Report on Form 8-K filed with the Commission on April 9,</w:t>
              </w:r>
            </w:hyperlink>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2020) (Commission File No. 001-37867).</w:t>
              </w:r>
            </w:hyperlink>
          </w:p>
        </w:tc>
        <w:tc>
          <w:tcPr>
            <w:tcW w:w="6140" w:type="dxa"/>
            <w:vAlign w:val="bottom"/>
            <w:tcBorders>
              <w:top w:val="single" w:sz="8" w:color="0000FF"/>
            </w:tcBorders>
            <w:gridSpan w:val="7"/>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250"/>
        </w:trPr>
        <w:tc>
          <w:tcPr>
            <w:tcW w:w="1460" w:type="dxa"/>
            <w:vAlign w:val="bottom"/>
          </w:tcPr>
          <w:p>
            <w:pPr>
              <w:jc w:val="right"/>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4.3</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40" w:type="dxa"/>
            <w:vAlign w:val="bottom"/>
            <w:tcBorders>
              <w:bottom w:val="single" w:sz="8" w:color="0000FF"/>
            </w:tcBorders>
            <w:gridSpan w:val="7"/>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2027 Notes Supplemental Indenture No. 1, dated as of April 9, 2020, among Dell International L.L.C., EMC Corporation, the</w:t>
              </w:r>
            </w:hyperlink>
          </w:p>
        </w:tc>
        <w:tc>
          <w:tcPr>
            <w:tcW w:w="540" w:type="dxa"/>
            <w:vAlign w:val="bottom"/>
            <w:gridSpan w:val="12"/>
          </w:tcPr>
          <w:p>
            <w:pPr>
              <w:spacing w:after="0"/>
              <w:rPr>
                <w:sz w:val="21"/>
                <w:szCs w:val="21"/>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9"/>
              </w:rPr>
            </w:pPr>
            <w:hyperlink r:id="rId29">
              <w:r>
                <w:rPr>
                  <w:rFonts w:ascii="Arial" w:cs="Arial" w:eastAsia="Arial" w:hAnsi="Arial"/>
                  <w:sz w:val="18"/>
                  <w:szCs w:val="18"/>
                  <w:color w:val="0000FF"/>
                  <w:w w:val="99"/>
                </w:rPr>
                <w:t>guarantors party thereto and The Bank of New York Mellon Trust Company, N.A., as Trustee and Notes Collateral Agent</w:t>
              </w:r>
            </w:hyperlink>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6"/>
              </w:rPr>
            </w:pPr>
            <w:hyperlink r:id="rId29">
              <w:r>
                <w:rPr>
                  <w:rFonts w:ascii="Arial" w:cs="Arial" w:eastAsia="Arial" w:hAnsi="Arial"/>
                  <w:sz w:val="18"/>
                  <w:szCs w:val="18"/>
                  <w:color w:val="0000FF"/>
                  <w:w w:val="96"/>
                </w:rPr>
                <w:t>(incorporated by reference to Exhibit 4.3 to the Company’s Current Report on Form 8-K filed with the Commission on April 9,</w:t>
              </w:r>
            </w:hyperlink>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2020) (Commission File No. 001-37867).</w:t>
              </w:r>
            </w:hyperlink>
          </w:p>
        </w:tc>
        <w:tc>
          <w:tcPr>
            <w:tcW w:w="6140" w:type="dxa"/>
            <w:vAlign w:val="bottom"/>
            <w:tcBorders>
              <w:top w:val="single" w:sz="8" w:color="0000FF"/>
            </w:tcBorders>
            <w:gridSpan w:val="7"/>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250"/>
        </w:trPr>
        <w:tc>
          <w:tcPr>
            <w:tcW w:w="1460" w:type="dxa"/>
            <w:vAlign w:val="bottom"/>
          </w:tcPr>
          <w:p>
            <w:pPr>
              <w:jc w:val="right"/>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4.4</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40" w:type="dxa"/>
            <w:vAlign w:val="bottom"/>
            <w:tcBorders>
              <w:bottom w:val="single" w:sz="8" w:color="0000FF"/>
            </w:tcBorders>
            <w:gridSpan w:val="7"/>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2030 Notes Supplemental Indenture No. 1, dated as of April 9, 2020, among Dell International L.L.C., EMC Corporation, the</w:t>
              </w:r>
            </w:hyperlink>
          </w:p>
        </w:tc>
        <w:tc>
          <w:tcPr>
            <w:tcW w:w="540" w:type="dxa"/>
            <w:vAlign w:val="bottom"/>
            <w:gridSpan w:val="12"/>
          </w:tcPr>
          <w:p>
            <w:pPr>
              <w:spacing w:after="0"/>
              <w:rPr>
                <w:sz w:val="21"/>
                <w:szCs w:val="21"/>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guarantors party thereto and The Bank of New York Mellon Trust Company, N.A., as Trustee and Notes Collateral Agent</w:t>
              </w:r>
            </w:hyperlink>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6"/>
              </w:rPr>
            </w:pPr>
            <w:hyperlink r:id="rId30">
              <w:r>
                <w:rPr>
                  <w:rFonts w:ascii="Arial" w:cs="Arial" w:eastAsia="Arial" w:hAnsi="Arial"/>
                  <w:sz w:val="18"/>
                  <w:szCs w:val="18"/>
                  <w:color w:val="0000FF"/>
                  <w:w w:val="96"/>
                </w:rPr>
                <w:t>(incorporated by reference to Exhibit 4.4 to the Company’s Current Report on Form 8-K filed with the Commission on April 9,</w:t>
              </w:r>
            </w:hyperlink>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2020) (Commission File No. 001-37867).</w:t>
              </w:r>
            </w:hyperlink>
          </w:p>
        </w:tc>
        <w:tc>
          <w:tcPr>
            <w:tcW w:w="6140" w:type="dxa"/>
            <w:vAlign w:val="bottom"/>
            <w:tcBorders>
              <w:top w:val="single" w:sz="8" w:color="0000FF"/>
            </w:tcBorders>
            <w:gridSpan w:val="7"/>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250"/>
        </w:trPr>
        <w:tc>
          <w:tcPr>
            <w:tcW w:w="1580" w:type="dxa"/>
            <w:vAlign w:val="bottom"/>
            <w:gridSpan w:val="2"/>
          </w:tcPr>
          <w:p>
            <w:pPr>
              <w:jc w:val="right"/>
              <w:ind w:right="1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4.5††</w:t>
              </w:r>
            </w:hyperlink>
          </w:p>
        </w:tc>
        <w:tc>
          <w:tcPr>
            <w:tcW w:w="20" w:type="dxa"/>
            <w:vAlign w:val="bottom"/>
          </w:tcPr>
          <w:p>
            <w:pPr>
              <w:spacing w:after="0"/>
              <w:rPr>
                <w:sz w:val="21"/>
                <w:szCs w:val="21"/>
                <w:color w:val="auto"/>
              </w:rPr>
            </w:pPr>
          </w:p>
        </w:tc>
        <w:tc>
          <w:tcPr>
            <w:tcW w:w="946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Registration Rights Agreement, dated as of April 9, 2020, among Dell International L.L.C., EMC Corporation, the guarantors party</w:t>
              </w:r>
            </w:hyperlink>
          </w:p>
        </w:tc>
        <w:tc>
          <w:tcPr>
            <w:tcW w:w="120" w:type="dxa"/>
            <w:vAlign w:val="bottom"/>
            <w:gridSpan w:val="4"/>
          </w:tcPr>
          <w:p>
            <w:pPr>
              <w:spacing w:after="0"/>
              <w:rPr>
                <w:sz w:val="21"/>
                <w:szCs w:val="21"/>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8"/>
              </w:rPr>
            </w:pPr>
            <w:hyperlink w:anchor="page92">
              <w:r>
                <w:rPr>
                  <w:rFonts w:ascii="Arial" w:cs="Arial" w:eastAsia="Arial" w:hAnsi="Arial"/>
                  <w:sz w:val="18"/>
                  <w:szCs w:val="18"/>
                  <w:color w:val="0000FF"/>
                  <w:w w:val="98"/>
                </w:rPr>
                <w:t>thereto and BofA Securities, Inc., Barclays Capital Inc., Citigroup Global Markets Inc., Credit Suisse Securities (USA) LLC,</w:t>
              </w:r>
            </w:hyperlink>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Goldman, Sachs &amp; Co. and J.P. Morgan Securities LLC, as the representatives for the initial purchasers.</w:t>
              </w:r>
            </w:hyperlink>
          </w:p>
        </w:tc>
        <w:tc>
          <w:tcPr>
            <w:tcW w:w="1500" w:type="dxa"/>
            <w:vAlign w:val="bottom"/>
            <w:tcBorders>
              <w:top w:val="single" w:sz="8" w:color="0000FF"/>
            </w:tcBorders>
            <w:gridSpan w:val="2"/>
          </w:tcPr>
          <w:p>
            <w:pPr>
              <w:spacing w:after="0"/>
              <w:rPr>
                <w:sz w:val="17"/>
                <w:szCs w:val="17"/>
                <w:color w:val="auto"/>
              </w:rPr>
            </w:pPr>
          </w:p>
        </w:tc>
        <w:tc>
          <w:tcPr>
            <w:tcW w:w="600" w:type="dxa"/>
            <w:vAlign w:val="bottom"/>
            <w:gridSpan w:val="13"/>
          </w:tcPr>
          <w:p>
            <w:pPr>
              <w:spacing w:after="0"/>
              <w:rPr>
                <w:sz w:val="17"/>
                <w:szCs w:val="17"/>
                <w:color w:val="auto"/>
              </w:rPr>
            </w:pPr>
          </w:p>
        </w:tc>
      </w:tr>
      <w:tr>
        <w:trPr>
          <w:trHeight w:val="291"/>
        </w:trPr>
        <w:tc>
          <w:tcPr>
            <w:tcW w:w="1460" w:type="dxa"/>
            <w:vAlign w:val="bottom"/>
          </w:tcPr>
          <w:p>
            <w:pPr>
              <w:jc w:val="right"/>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4.6</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Form of Global Note for 5.850% Senior Notes due 2025 (included in Exhibit 4.2).</w:t>
              </w:r>
            </w:hyperlink>
          </w:p>
        </w:tc>
      </w:tr>
      <w:tr>
        <w:trPr>
          <w:trHeight w:val="270"/>
        </w:trPr>
        <w:tc>
          <w:tcPr>
            <w:tcW w:w="1460" w:type="dxa"/>
            <w:vAlign w:val="bottom"/>
          </w:tcPr>
          <w:p>
            <w:pPr>
              <w:jc w:val="right"/>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4.7</w:t>
              </w:r>
            </w:hyperlink>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80" w:type="dxa"/>
            <w:vAlign w:val="bottom"/>
            <w:gridSpan w:val="19"/>
          </w:tcPr>
          <w:p>
            <w:pPr>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Form of Global Note for 6.100% Senior Notes due 2027 (included in Exhibit 4.3).</w:t>
              </w:r>
            </w:hyperlink>
          </w:p>
        </w:tc>
      </w:tr>
      <w:tr>
        <w:trPr>
          <w:trHeight w:val="270"/>
        </w:trPr>
        <w:tc>
          <w:tcPr>
            <w:tcW w:w="1460" w:type="dxa"/>
            <w:vAlign w:val="bottom"/>
          </w:tcPr>
          <w:p>
            <w:pPr>
              <w:jc w:val="right"/>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4.8</w:t>
              </w:r>
            </w:hyperlink>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80" w:type="dxa"/>
            <w:vAlign w:val="bottom"/>
            <w:gridSpan w:val="19"/>
          </w:tcPr>
          <w:p>
            <w:pPr>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Form of Global Note for 6.200% Senior Notes due 2030 (included in Exhibit 4.4).</w:t>
              </w:r>
            </w:hyperlink>
          </w:p>
        </w:tc>
      </w:tr>
      <w:tr>
        <w:trPr>
          <w:trHeight w:val="230"/>
        </w:trPr>
        <w:tc>
          <w:tcPr>
            <w:tcW w:w="1580" w:type="dxa"/>
            <w:vAlign w:val="bottom"/>
            <w:gridSpan w:val="2"/>
          </w:tcPr>
          <w:p>
            <w:pPr>
              <w:jc w:val="right"/>
              <w:ind w:right="14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4.9††</w:t>
              </w:r>
            </w:hyperlink>
          </w:p>
        </w:tc>
        <w:tc>
          <w:tcPr>
            <w:tcW w:w="20" w:type="dxa"/>
            <w:vAlign w:val="bottom"/>
          </w:tcPr>
          <w:p>
            <w:pPr>
              <w:spacing w:after="0"/>
              <w:rPr>
                <w:sz w:val="19"/>
                <w:szCs w:val="19"/>
                <w:color w:val="auto"/>
              </w:rPr>
            </w:pPr>
          </w:p>
        </w:tc>
        <w:tc>
          <w:tcPr>
            <w:tcW w:w="926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35">
              <w:r>
                <w:rPr>
                  <w:rFonts w:ascii="Arial" w:cs="Arial" w:eastAsia="Arial" w:hAnsi="Arial"/>
                  <w:sz w:val="18"/>
                  <w:szCs w:val="18"/>
                  <w:color w:val="0000FF"/>
                  <w:w w:val="90"/>
                </w:rPr>
                <w:t>Amendment No. 2 to the Second Amended and Restated Registration Rights Agreement, dated as of April 15, 2020, among Dell</w:t>
              </w:r>
            </w:hyperlink>
          </w:p>
        </w:tc>
        <w:tc>
          <w:tcPr>
            <w:tcW w:w="320" w:type="dxa"/>
            <w:vAlign w:val="bottom"/>
            <w:gridSpan w:val="7"/>
          </w:tcPr>
          <w:p>
            <w:pPr>
              <w:spacing w:after="0"/>
              <w:rPr>
                <w:sz w:val="19"/>
                <w:szCs w:val="19"/>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w w:val="90"/>
              </w:rPr>
            </w:pPr>
            <w:hyperlink w:anchor="page135">
              <w:r>
                <w:rPr>
                  <w:rFonts w:ascii="Arial" w:cs="Arial" w:eastAsia="Arial" w:hAnsi="Arial"/>
                  <w:sz w:val="18"/>
                  <w:szCs w:val="18"/>
                  <w:color w:val="0000FF"/>
                  <w:w w:val="90"/>
                </w:rPr>
                <w:t>Technologies Inc., Michael S. Dell and Susan Lieberman Dell Separate Property Trust, SL SPV-2 L.P., Silver Lake Partners IV, L.P.,</w:t>
              </w:r>
            </w:hyperlink>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w:anchor="page135">
              <w:r>
                <w:rPr>
                  <w:rFonts w:ascii="Arial" w:cs="Arial" w:eastAsia="Arial" w:hAnsi="Arial"/>
                  <w:sz w:val="18"/>
                  <w:szCs w:val="18"/>
                  <w:color w:val="0000FF"/>
                  <w:w w:val="91"/>
                </w:rPr>
                <w:t>Silver Lake Technology Investors IV, L.P., Silver Lake Partners V DE (AIV), L.P., Silver Lake Technology Investors V, L.P. and</w:t>
              </w:r>
            </w:hyperlink>
          </w:p>
        </w:tc>
        <w:tc>
          <w:tcPr>
            <w:tcW w:w="280" w:type="dxa"/>
            <w:vAlign w:val="bottom"/>
            <w:tcBorders>
              <w:top w:val="single" w:sz="8" w:color="0000FF"/>
            </w:tcBorders>
            <w:gridSpan w:val="7"/>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rPr>
            </w:pPr>
            <w:hyperlink w:anchor="page135">
              <w:r>
                <w:rPr>
                  <w:rFonts w:ascii="Arial" w:cs="Arial" w:eastAsia="Arial" w:hAnsi="Arial"/>
                  <w:sz w:val="18"/>
                  <w:szCs w:val="18"/>
                  <w:color w:val="0000FF"/>
                </w:rPr>
                <w:t>Venezio Investments Pte. Ltd.</w:t>
              </w:r>
            </w:hyperlink>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90"/>
        </w:trPr>
        <w:tc>
          <w:tcPr>
            <w:tcW w:w="1580" w:type="dxa"/>
            <w:vAlign w:val="bottom"/>
            <w:gridSpan w:val="2"/>
          </w:tcPr>
          <w:p>
            <w:pPr>
              <w:jc w:val="right"/>
              <w:ind w:right="140"/>
              <w:spacing w:after="0"/>
              <w:rPr>
                <w:rFonts w:ascii="Arial" w:cs="Arial" w:eastAsia="Arial" w:hAnsi="Arial"/>
                <w:sz w:val="18"/>
                <w:szCs w:val="18"/>
                <w:u w:val="single" w:color="auto"/>
                <w:color w:val="0000FF"/>
              </w:rPr>
            </w:pPr>
            <w:hyperlink w:anchor="page152">
              <w:r>
                <w:rPr>
                  <w:rFonts w:ascii="Arial" w:cs="Arial" w:eastAsia="Arial" w:hAnsi="Arial"/>
                  <w:sz w:val="18"/>
                  <w:szCs w:val="18"/>
                  <w:u w:val="single" w:color="auto"/>
                  <w:color w:val="0000FF"/>
                </w:rPr>
                <w:t>10.1††*</w:t>
              </w:r>
            </w:hyperlink>
          </w:p>
        </w:tc>
        <w:tc>
          <w:tcPr>
            <w:tcW w:w="2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FF"/>
              </w:rPr>
            </w:pPr>
            <w:hyperlink w:anchor="page152">
              <w:r>
                <w:rPr>
                  <w:rFonts w:ascii="Arial" w:cs="Arial" w:eastAsia="Arial" w:hAnsi="Arial"/>
                  <w:sz w:val="18"/>
                  <w:szCs w:val="18"/>
                  <w:u w:val="single" w:color="auto"/>
                  <w:color w:val="0000FF"/>
                </w:rPr>
                <w:t>Amended and Restated Dell Inc. Annual Bonus Plan</w:t>
              </w:r>
              <w:r>
                <w:rPr>
                  <w:rFonts w:ascii="Arial" w:cs="Arial" w:eastAsia="Arial" w:hAnsi="Arial"/>
                  <w:sz w:val="18"/>
                  <w:szCs w:val="18"/>
                  <w:color w:val="0000FF"/>
                </w:rPr>
                <w:t>.</w:t>
              </w:r>
            </w:hyperlink>
          </w:p>
        </w:tc>
      </w:tr>
      <w:tr>
        <w:trPr>
          <w:trHeight w:val="270"/>
        </w:trPr>
        <w:tc>
          <w:tcPr>
            <w:tcW w:w="1580" w:type="dxa"/>
            <w:vAlign w:val="bottom"/>
            <w:gridSpan w:val="2"/>
          </w:tcPr>
          <w:p>
            <w:pPr>
              <w:jc w:val="right"/>
              <w:ind w:right="140"/>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10.2††*</w:t>
              </w:r>
            </w:hyperlink>
          </w:p>
        </w:tc>
        <w:tc>
          <w:tcPr>
            <w:tcW w:w="20" w:type="dxa"/>
            <w:vAlign w:val="bottom"/>
          </w:tcPr>
          <w:p>
            <w:pPr>
              <w:spacing w:after="0"/>
              <w:rPr>
                <w:sz w:val="23"/>
                <w:szCs w:val="23"/>
                <w:color w:val="auto"/>
              </w:rPr>
            </w:pPr>
          </w:p>
        </w:tc>
        <w:tc>
          <w:tcPr>
            <w:tcW w:w="9580" w:type="dxa"/>
            <w:vAlign w:val="bottom"/>
            <w:gridSpan w:val="19"/>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Amended and Restated Dell Technologies Inc. Compensation Program for Independent Non-Employee Directors.</w:t>
              </w:r>
            </w:hyperlink>
          </w:p>
        </w:tc>
      </w:tr>
      <w:tr>
        <w:trPr>
          <w:trHeight w:val="230"/>
        </w:trPr>
        <w:tc>
          <w:tcPr>
            <w:tcW w:w="1580" w:type="dxa"/>
            <w:vAlign w:val="bottom"/>
            <w:gridSpan w:val="2"/>
          </w:tcPr>
          <w:p>
            <w:pPr>
              <w:jc w:val="right"/>
              <w:ind w:right="140"/>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31.1††</w:t>
              </w:r>
            </w:hyperlink>
          </w:p>
        </w:tc>
        <w:tc>
          <w:tcPr>
            <w:tcW w:w="20" w:type="dxa"/>
            <w:vAlign w:val="bottom"/>
          </w:tcPr>
          <w:p>
            <w:pPr>
              <w:spacing w:after="0"/>
              <w:rPr>
                <w:sz w:val="19"/>
                <w:szCs w:val="19"/>
                <w:color w:val="auto"/>
              </w:rPr>
            </w:pPr>
          </w:p>
        </w:tc>
        <w:tc>
          <w:tcPr>
            <w:tcW w:w="9580" w:type="dxa"/>
            <w:vAlign w:val="bottom"/>
            <w:gridSpan w:val="19"/>
          </w:tcPr>
          <w:p>
            <w:pPr>
              <w:spacing w:after="0"/>
              <w:rPr>
                <w:rFonts w:ascii="Arial" w:cs="Arial" w:eastAsia="Arial" w:hAnsi="Arial"/>
                <w:sz w:val="18"/>
                <w:szCs w:val="18"/>
                <w:color w:val="0000FF"/>
                <w:w w:val="95"/>
              </w:rPr>
            </w:pPr>
            <w:hyperlink w:anchor="page162">
              <w:r>
                <w:rPr>
                  <w:rFonts w:ascii="Arial" w:cs="Arial" w:eastAsia="Arial" w:hAnsi="Arial"/>
                  <w:sz w:val="18"/>
                  <w:szCs w:val="18"/>
                  <w:color w:val="0000FF"/>
                  <w:w w:val="95"/>
                </w:rPr>
                <w:t>Certification of Michael S. Dell, Chairman and Chief Executive Officer, pursuant to Rule 13a-14(a) or Rule 15d-14(a) under the</w:t>
              </w:r>
            </w:hyperlink>
          </w:p>
        </w:tc>
      </w:tr>
      <w:tr>
        <w:trPr>
          <w:trHeight w:val="237"/>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20" w:type="dxa"/>
            <w:vAlign w:val="bottom"/>
            <w:tcBorders>
              <w:top w:val="single" w:sz="8" w:color="0000FF"/>
            </w:tcBorders>
            <w:gridSpan w:val="10"/>
          </w:tcPr>
          <w:p>
            <w:pPr>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Securities Exchange Act of 1934, as adopted pursuant to Section 302 of the Sarbanes-Oxley Act of 2002.</w:t>
              </w:r>
            </w:hyperlink>
          </w:p>
        </w:tc>
        <w:tc>
          <w:tcPr>
            <w:tcW w:w="360" w:type="dxa"/>
            <w:vAlign w:val="bottom"/>
            <w:gridSpan w:val="9"/>
          </w:tcPr>
          <w:p>
            <w:pPr>
              <w:spacing w:after="0"/>
              <w:rPr>
                <w:sz w:val="20"/>
                <w:szCs w:val="20"/>
                <w:color w:val="auto"/>
              </w:rPr>
            </w:pPr>
          </w:p>
        </w:tc>
      </w:tr>
      <w:tr>
        <w:trPr>
          <w:trHeight w:val="229"/>
        </w:trPr>
        <w:tc>
          <w:tcPr>
            <w:tcW w:w="1580" w:type="dxa"/>
            <w:vAlign w:val="bottom"/>
            <w:gridSpan w:val="2"/>
          </w:tcPr>
          <w:p>
            <w:pPr>
              <w:jc w:val="right"/>
              <w:ind w:right="140"/>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31.2††</w:t>
              </w:r>
            </w:hyperlink>
          </w:p>
        </w:tc>
        <w:tc>
          <w:tcPr>
            <w:tcW w:w="20" w:type="dxa"/>
            <w:vAlign w:val="bottom"/>
          </w:tcPr>
          <w:p>
            <w:pPr>
              <w:spacing w:after="0"/>
              <w:rPr>
                <w:sz w:val="19"/>
                <w:szCs w:val="19"/>
                <w:color w:val="auto"/>
              </w:rPr>
            </w:pPr>
          </w:p>
        </w:tc>
        <w:tc>
          <w:tcPr>
            <w:tcW w:w="9580" w:type="dxa"/>
            <w:vAlign w:val="bottom"/>
            <w:gridSpan w:val="19"/>
          </w:tcPr>
          <w:p>
            <w:pPr>
              <w:spacing w:after="0"/>
              <w:rPr>
                <w:rFonts w:ascii="Arial" w:cs="Arial" w:eastAsia="Arial" w:hAnsi="Arial"/>
                <w:sz w:val="18"/>
                <w:szCs w:val="18"/>
                <w:color w:val="0000FF"/>
                <w:w w:val="93"/>
              </w:rPr>
            </w:pPr>
            <w:hyperlink w:anchor="page163">
              <w:r>
                <w:rPr>
                  <w:rFonts w:ascii="Arial" w:cs="Arial" w:eastAsia="Arial" w:hAnsi="Arial"/>
                  <w:sz w:val="18"/>
                  <w:szCs w:val="18"/>
                  <w:color w:val="0000FF"/>
                  <w:w w:val="93"/>
                </w:rPr>
                <w:t>Certification of Thomas W. Sweet, Executive Vice President and Chief Financial Officer, pursuant to Rule 13a-14(a) or Rule 15d-</w:t>
              </w:r>
            </w:hyperlink>
          </w:p>
        </w:tc>
      </w:tr>
      <w:tr>
        <w:trPr>
          <w:trHeight w:val="237"/>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40" w:type="dxa"/>
            <w:vAlign w:val="bottom"/>
            <w:tcBorders>
              <w:top w:val="single" w:sz="8" w:color="0000FF"/>
            </w:tcBorders>
            <w:gridSpan w:val="14"/>
          </w:tcPr>
          <w:p>
            <w:pPr>
              <w:spacing w:after="0"/>
              <w:rPr>
                <w:rFonts w:ascii="Arial" w:cs="Arial" w:eastAsia="Arial" w:hAnsi="Arial"/>
                <w:sz w:val="18"/>
                <w:szCs w:val="18"/>
                <w:u w:val="single" w:color="auto"/>
                <w:color w:val="0000FF"/>
                <w:w w:val="96"/>
              </w:rPr>
            </w:pPr>
            <w:hyperlink w:anchor="page163">
              <w:r>
                <w:rPr>
                  <w:rFonts w:ascii="Arial" w:cs="Arial" w:eastAsia="Arial" w:hAnsi="Arial"/>
                  <w:sz w:val="18"/>
                  <w:szCs w:val="18"/>
                  <w:u w:val="single" w:color="auto"/>
                  <w:color w:val="0000FF"/>
                  <w:w w:val="96"/>
                </w:rPr>
                <w:t>14(a) under the Securities Exchange Act of 1934, as adopted pursuant to Section 302 of the Sarbanes-Oxley Act of 2002.</w:t>
              </w:r>
            </w:hyperlink>
          </w:p>
        </w:tc>
        <w:tc>
          <w:tcPr>
            <w:tcW w:w="240" w:type="dxa"/>
            <w:vAlign w:val="bottom"/>
            <w:gridSpan w:val="5"/>
          </w:tcPr>
          <w:p>
            <w:pPr>
              <w:spacing w:after="0"/>
              <w:rPr>
                <w:sz w:val="20"/>
                <w:szCs w:val="20"/>
                <w:color w:val="auto"/>
              </w:rPr>
            </w:pPr>
          </w:p>
        </w:tc>
      </w:tr>
      <w:tr>
        <w:trPr>
          <w:trHeight w:val="229"/>
        </w:trPr>
        <w:tc>
          <w:tcPr>
            <w:tcW w:w="1580" w:type="dxa"/>
            <w:vAlign w:val="bottom"/>
            <w:gridSpan w:val="2"/>
          </w:tcPr>
          <w:p>
            <w:pPr>
              <w:jc w:val="right"/>
              <w:ind w:right="140"/>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32.1†††</w:t>
              </w:r>
            </w:hyperlink>
          </w:p>
        </w:tc>
        <w:tc>
          <w:tcPr>
            <w:tcW w:w="20" w:type="dxa"/>
            <w:vAlign w:val="bottom"/>
          </w:tcPr>
          <w:p>
            <w:pPr>
              <w:spacing w:after="0"/>
              <w:rPr>
                <w:sz w:val="19"/>
                <w:szCs w:val="19"/>
                <w:color w:val="auto"/>
              </w:rPr>
            </w:pPr>
          </w:p>
        </w:tc>
        <w:tc>
          <w:tcPr>
            <w:tcW w:w="9580" w:type="dxa"/>
            <w:vAlign w:val="bottom"/>
            <w:gridSpan w:val="19"/>
          </w:tcPr>
          <w:p>
            <w:pPr>
              <w:spacing w:after="0"/>
              <w:rPr>
                <w:rFonts w:ascii="Arial" w:cs="Arial" w:eastAsia="Arial" w:hAnsi="Arial"/>
                <w:sz w:val="18"/>
                <w:szCs w:val="18"/>
                <w:color w:val="0000FF"/>
                <w:w w:val="95"/>
              </w:rPr>
            </w:pPr>
            <w:hyperlink w:anchor="page164">
              <w:r>
                <w:rPr>
                  <w:rFonts w:ascii="Arial" w:cs="Arial" w:eastAsia="Arial" w:hAnsi="Arial"/>
                  <w:sz w:val="18"/>
                  <w:szCs w:val="18"/>
                  <w:color w:val="0000FF"/>
                  <w:w w:val="95"/>
                </w:rPr>
                <w:t>Certifications of Michael S. Dell, Chairman and Chief Executive Officer, and Thomas W. Sweet, Executive Vice President and</w:t>
              </w:r>
            </w:hyperlink>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40" w:type="dxa"/>
            <w:vAlign w:val="bottom"/>
            <w:gridSpan w:val="3"/>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w:anchor="page164">
              <w:r>
                <w:rPr>
                  <w:rFonts w:ascii="Arial" w:cs="Arial" w:eastAsia="Arial" w:hAnsi="Arial"/>
                  <w:sz w:val="18"/>
                  <w:szCs w:val="18"/>
                  <w:color w:val="0000FF"/>
                  <w:w w:val="91"/>
                </w:rPr>
                <w:t>Chief Financial Officer, pursuant to Rule 13a-14(b) or Rule 15d-14(b) under the Securities Exchange Act of 1934 and 18 U.S.C.</w:t>
              </w:r>
            </w:hyperlink>
          </w:p>
        </w:tc>
        <w:tc>
          <w:tcPr>
            <w:tcW w:w="340" w:type="dxa"/>
            <w:vAlign w:val="bottom"/>
            <w:gridSpan w:val="8"/>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9"/>
          </w:tcPr>
          <w:p>
            <w:pPr>
              <w:spacing w:after="0" w:line="196" w:lineRule="exact"/>
              <w:rPr>
                <w:rFonts w:ascii="Arial" w:cs="Arial" w:eastAsia="Arial" w:hAnsi="Arial"/>
                <w:sz w:val="18"/>
                <w:szCs w:val="18"/>
                <w:color w:val="0000FF"/>
              </w:rPr>
            </w:pPr>
            <w:hyperlink w:anchor="page164">
              <w:r>
                <w:rPr>
                  <w:rFonts w:ascii="Arial" w:cs="Arial" w:eastAsia="Arial" w:hAnsi="Arial"/>
                  <w:sz w:val="18"/>
                  <w:szCs w:val="18"/>
                  <w:color w:val="0000FF"/>
                </w:rPr>
                <w:t>Section 1350, as adopted pursuant to Section 906 of the Sarbanes-Oxley Act of 2002.</w:t>
              </w:r>
            </w:hyperlink>
          </w:p>
        </w:tc>
      </w:tr>
      <w:tr>
        <w:trPr>
          <w:trHeight w:val="695"/>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top w:val="single" w:sz="8" w:color="0000FF"/>
            </w:tcBorders>
            <w:gridSpan w:val="3"/>
          </w:tcPr>
          <w:p>
            <w:pPr>
              <w:ind w:left="3900"/>
              <w:spacing w:after="0"/>
              <w:rPr>
                <w:sz w:val="20"/>
                <w:szCs w:val="20"/>
                <w:color w:val="auto"/>
              </w:rPr>
            </w:pPr>
            <w:r>
              <w:rPr>
                <w:rFonts w:ascii="Arial" w:cs="Arial" w:eastAsia="Arial" w:hAnsi="Arial"/>
                <w:sz w:val="18"/>
                <w:szCs w:val="18"/>
                <w:color w:val="auto"/>
              </w:rPr>
              <w:t>89</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320" w:top="125" w:right="35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9600" w:type="dxa"/>
            <w:vAlign w:val="bottom"/>
          </w:tcPr>
          <w:p>
            <w:pPr>
              <w:spacing w:after="0"/>
              <w:rPr>
                <w:sz w:val="20"/>
                <w:szCs w:val="20"/>
                <w:color w:val="auto"/>
              </w:rPr>
            </w:pPr>
          </w:p>
        </w:tc>
      </w:tr>
      <w:tr>
        <w:trPr>
          <w:trHeight w:val="630"/>
        </w:trPr>
        <w:tc>
          <w:tcPr>
            <w:tcW w:w="4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960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9600" w:type="dxa"/>
            <w:vAlign w:val="bottom"/>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101 .INS††</w:t>
            </w:r>
          </w:p>
        </w:tc>
        <w:tc>
          <w:tcPr>
            <w:tcW w:w="9600" w:type="dxa"/>
            <w:vAlign w:val="bottom"/>
          </w:tcPr>
          <w:p>
            <w:pPr>
              <w:ind w:left="20"/>
              <w:spacing w:after="0"/>
              <w:rPr>
                <w:sz w:val="20"/>
                <w:szCs w:val="20"/>
                <w:color w:val="auto"/>
              </w:rPr>
            </w:pPr>
            <w:r>
              <w:rPr>
                <w:rFonts w:ascii="Arial" w:cs="Arial" w:eastAsia="Arial" w:hAnsi="Arial"/>
                <w:sz w:val="18"/>
                <w:szCs w:val="18"/>
                <w:color w:val="auto"/>
                <w:w w:val="98"/>
              </w:rPr>
              <w:t>XBRL Instance Document - the instance document does not appear in the Interactive Data File because its XBRL tags are</w:t>
            </w:r>
          </w:p>
        </w:tc>
      </w:tr>
      <w:tr>
        <w:trPr>
          <w:trHeight w:val="230"/>
        </w:trPr>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0" w:type="dxa"/>
            <w:vAlign w:val="bottom"/>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40" w:type="dxa"/>
            <w:vAlign w:val="bottom"/>
          </w:tcPr>
          <w:p>
            <w:pPr>
              <w:spacing w:after="0"/>
              <w:rPr>
                <w:sz w:val="23"/>
                <w:szCs w:val="2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101 .SCH††</w:t>
            </w:r>
          </w:p>
        </w:tc>
        <w:tc>
          <w:tcPr>
            <w:tcW w:w="9600" w:type="dxa"/>
            <w:vAlign w:val="bottom"/>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40" w:type="dxa"/>
            <w:vAlign w:val="bottom"/>
          </w:tcPr>
          <w:p>
            <w:pPr>
              <w:spacing w:after="0"/>
              <w:rPr>
                <w:sz w:val="23"/>
                <w:szCs w:val="2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101 .CAL††</w:t>
            </w:r>
          </w:p>
        </w:tc>
        <w:tc>
          <w:tcPr>
            <w:tcW w:w="960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40" w:type="dxa"/>
            <w:vAlign w:val="bottom"/>
          </w:tcPr>
          <w:p>
            <w:pPr>
              <w:spacing w:after="0"/>
              <w:rPr>
                <w:sz w:val="23"/>
                <w:szCs w:val="2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101 .DEF††</w:t>
            </w:r>
          </w:p>
        </w:tc>
        <w:tc>
          <w:tcPr>
            <w:tcW w:w="960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40" w:type="dxa"/>
            <w:vAlign w:val="bottom"/>
          </w:tcPr>
          <w:p>
            <w:pPr>
              <w:spacing w:after="0"/>
              <w:rPr>
                <w:sz w:val="23"/>
                <w:szCs w:val="2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101 .LAB††</w:t>
            </w:r>
          </w:p>
        </w:tc>
        <w:tc>
          <w:tcPr>
            <w:tcW w:w="960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40" w:type="dxa"/>
            <w:vAlign w:val="bottom"/>
          </w:tcPr>
          <w:p>
            <w:pPr>
              <w:spacing w:after="0"/>
              <w:rPr>
                <w:sz w:val="23"/>
                <w:szCs w:val="2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101 .PRE††</w:t>
            </w:r>
          </w:p>
        </w:tc>
        <w:tc>
          <w:tcPr>
            <w:tcW w:w="960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6"/>
        </w:trPr>
        <w:tc>
          <w:tcPr>
            <w:tcW w:w="40" w:type="dxa"/>
            <w:vAlign w:val="bottom"/>
          </w:tcPr>
          <w:p>
            <w:pPr>
              <w:spacing w:after="0"/>
              <w:rPr>
                <w:sz w:val="22"/>
                <w:szCs w:val="22"/>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9600" w:type="dxa"/>
            <w:vAlign w:val="bottom"/>
          </w:tcPr>
          <w:p>
            <w:pPr>
              <w:ind w:left="20"/>
              <w:spacing w:after="0"/>
              <w:rPr>
                <w:sz w:val="20"/>
                <w:szCs w:val="20"/>
                <w:color w:val="auto"/>
              </w:rPr>
            </w:pPr>
            <w:r>
              <w:rPr>
                <w:rFonts w:ascii="Arial" w:cs="Arial" w:eastAsia="Arial" w:hAnsi="Arial"/>
                <w:sz w:val="18"/>
                <w:szCs w:val="18"/>
                <w:color w:val="auto"/>
                <w:w w:val="92"/>
              </w:rPr>
              <w:t>Cover Page Interactive Data File - the cover page XBRL tags are embedded within the Inline XBRL document (included in Exhibit</w:t>
            </w:r>
          </w:p>
        </w:tc>
      </w:tr>
      <w:tr>
        <w:trPr>
          <w:trHeight w:val="230"/>
        </w:trPr>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0" w:type="dxa"/>
            <w:vAlign w:val="bottom"/>
          </w:tcPr>
          <w:p>
            <w:pPr>
              <w:ind w:left="2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340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55" w:lineRule="exact"/>
        <w:rPr>
          <w:sz w:val="20"/>
          <w:szCs w:val="20"/>
          <w:color w:val="auto"/>
        </w:rPr>
      </w:pPr>
    </w:p>
    <w:p>
      <w:pPr>
        <w:ind w:left="1620" w:hanging="347"/>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76"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  Furnished with this report.</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Management contracts or compensation plans or arrangements in which directors or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DELL TECHNOLOGIES INC.</w:t>
      </w:r>
    </w:p>
    <w:p>
      <w:pPr>
        <w:spacing w:after="0" w:line="387" w:lineRule="exact"/>
        <w:rPr>
          <w:sz w:val="20"/>
          <w:szCs w:val="20"/>
          <w:color w:val="auto"/>
        </w:rPr>
      </w:pPr>
    </w:p>
    <w:p>
      <w:pPr>
        <w:ind w:left="46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BRUNILDA 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6175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Brunilda Rios</w:t>
      </w:r>
    </w:p>
    <w:p>
      <w:pPr>
        <w:spacing w:after="0" w:line="6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Corporate Finance and</w:t>
      </w:r>
    </w:p>
    <w:p>
      <w:pPr>
        <w:spacing w:after="0" w:line="6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6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(On behalf of registrant and as 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280"/>
          </w:cols>
          <w:pgMar w:left="320" w:top="125" w:right="129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REGISTRATION RIGHTS AGREEMENT</w:t>
      </w: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Dated as of April 9, 2020</w:t>
      </w: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20"/>
          <w:szCs w:val="20"/>
          <w:color w:val="auto"/>
        </w:rPr>
        <w:t>DELL INTERNATIONAL L.L.C.,</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EMC CORPORATION,</w:t>
      </w:r>
    </w:p>
    <w:p>
      <w:pPr>
        <w:ind w:left="3400"/>
        <w:spacing w:after="0"/>
        <w:rPr>
          <w:sz w:val="20"/>
          <w:szCs w:val="20"/>
          <w:color w:val="auto"/>
        </w:rPr>
      </w:pPr>
      <w:r>
        <w:rPr>
          <w:rFonts w:ascii="Arial" w:cs="Arial" w:eastAsia="Arial" w:hAnsi="Arial"/>
          <w:sz w:val="20"/>
          <w:szCs w:val="20"/>
          <w:color w:val="auto"/>
        </w:rPr>
        <w:t>the Guarantors party hereto,</w:t>
      </w: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BOFA SECURITIES, INC.,</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BARCLAYS CAPITAL INC.,</w:t>
      </w:r>
    </w:p>
    <w:p>
      <w:pPr>
        <w:jc w:val="center"/>
        <w:ind w:right="1100"/>
        <w:spacing w:after="0"/>
        <w:rPr>
          <w:sz w:val="20"/>
          <w:szCs w:val="20"/>
          <w:color w:val="auto"/>
        </w:rPr>
      </w:pPr>
      <w:r>
        <w:rPr>
          <w:rFonts w:ascii="Arial" w:cs="Arial" w:eastAsia="Arial" w:hAnsi="Arial"/>
          <w:sz w:val="20"/>
          <w:szCs w:val="20"/>
          <w:color w:val="auto"/>
        </w:rPr>
        <w:t>CITIGROUP GLOBAL MARKETS INC.,</w:t>
      </w:r>
    </w:p>
    <w:p>
      <w:pPr>
        <w:jc w:val="center"/>
        <w:ind w:right="1100"/>
        <w:spacing w:after="0"/>
        <w:rPr>
          <w:sz w:val="20"/>
          <w:szCs w:val="20"/>
          <w:color w:val="auto"/>
        </w:rPr>
      </w:pPr>
      <w:r>
        <w:rPr>
          <w:rFonts w:ascii="Arial" w:cs="Arial" w:eastAsia="Arial" w:hAnsi="Arial"/>
          <w:sz w:val="20"/>
          <w:szCs w:val="20"/>
          <w:color w:val="auto"/>
        </w:rPr>
        <w:t>CREDIT SUISSE SECURITIES (USA) LLC,</w:t>
      </w:r>
    </w:p>
    <w:p>
      <w:pPr>
        <w:jc w:val="center"/>
        <w:ind w:right="1100"/>
        <w:spacing w:after="0"/>
        <w:rPr>
          <w:sz w:val="20"/>
          <w:szCs w:val="20"/>
          <w:color w:val="auto"/>
        </w:rPr>
      </w:pPr>
      <w:r>
        <w:rPr>
          <w:rFonts w:ascii="Arial" w:cs="Arial" w:eastAsia="Arial" w:hAnsi="Arial"/>
          <w:sz w:val="20"/>
          <w:szCs w:val="20"/>
          <w:color w:val="auto"/>
        </w:rPr>
        <w:t>GOLDMAN SACHS &amp; CO. LLC,</w:t>
      </w:r>
    </w:p>
    <w:p>
      <w:pPr>
        <w:jc w:val="center"/>
        <w:ind w:right="1100"/>
        <w:spacing w:after="0"/>
        <w:rPr>
          <w:sz w:val="20"/>
          <w:szCs w:val="20"/>
          <w:color w:val="auto"/>
        </w:rPr>
      </w:pPr>
      <w:r>
        <w:rPr>
          <w:rFonts w:ascii="Arial" w:cs="Arial" w:eastAsia="Arial" w:hAnsi="Arial"/>
          <w:sz w:val="20"/>
          <w:szCs w:val="20"/>
          <w:color w:val="auto"/>
        </w:rPr>
        <w:t>and</w:t>
      </w:r>
    </w:p>
    <w:p>
      <w:pPr>
        <w:jc w:val="center"/>
        <w:ind w:right="1160"/>
        <w:spacing w:after="0"/>
        <w:rPr>
          <w:sz w:val="20"/>
          <w:szCs w:val="20"/>
          <w:color w:val="auto"/>
        </w:rPr>
      </w:pPr>
      <w:r>
        <w:rPr>
          <w:rFonts w:ascii="Arial" w:cs="Arial" w:eastAsia="Arial" w:hAnsi="Arial"/>
          <w:sz w:val="20"/>
          <w:szCs w:val="20"/>
          <w:color w:val="auto"/>
        </w:rPr>
        <w:t>J.P. MORGAN SECURITIES LLC,</w:t>
      </w:r>
    </w:p>
    <w:p>
      <w:pPr>
        <w:spacing w:after="0" w:line="21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As Representatives for the Initial Purchasers</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$1,000,000,000 5.850% First Lien Notes due 2025</w:t>
      </w:r>
    </w:p>
    <w:p>
      <w:pPr>
        <w:spacing w:after="0" w:line="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$500,000,000 6.100% First Lien Notes due 2027</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$750,000,000 6.200% First Lien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366395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92" w:name="page93"/>
    <w:bookmarkEnd w:id="92"/>
    <w:p>
      <w:pPr>
        <w:jc w:val="center"/>
        <w:ind w:right="-79"/>
        <w:spacing w:after="0"/>
        <w:rPr>
          <w:sz w:val="20"/>
          <w:szCs w:val="20"/>
          <w:color w:val="auto"/>
        </w:rPr>
      </w:pPr>
      <w:r>
        <w:rPr>
          <w:rFonts w:ascii="Arial" w:cs="Arial" w:eastAsia="Arial" w:hAnsi="Arial"/>
          <w:sz w:val="20"/>
          <w:szCs w:val="20"/>
          <w:color w:val="auto"/>
        </w:rPr>
        <w:t>REGISTRATION RIGHTS AGREEMENT</w:t>
      </w:r>
    </w:p>
    <w:p>
      <w:pPr>
        <w:spacing w:after="0" w:line="216" w:lineRule="exact"/>
        <w:rPr>
          <w:sz w:val="20"/>
          <w:szCs w:val="20"/>
          <w:color w:val="auto"/>
        </w:rPr>
      </w:pPr>
    </w:p>
    <w:p>
      <w:pPr>
        <w:ind w:right="100" w:firstLine="648"/>
        <w:spacing w:after="0" w:line="243" w:lineRule="auto"/>
        <w:rPr>
          <w:sz w:val="20"/>
          <w:szCs w:val="20"/>
          <w:color w:val="auto"/>
        </w:rPr>
      </w:pPr>
      <w:r>
        <w:rPr>
          <w:rFonts w:ascii="Arial" w:cs="Arial" w:eastAsia="Arial" w:hAnsi="Arial"/>
          <w:sz w:val="20"/>
          <w:szCs w:val="20"/>
          <w:color w:val="auto"/>
        </w:rPr>
        <w:t>This Registration Rights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dated as of April 9, 2020, among DELL INTERNATIONAL L.L.C., a Delaware limited liability company (“</w:t>
      </w:r>
      <w:r>
        <w:rPr>
          <w:rFonts w:ascii="Arial" w:cs="Arial" w:eastAsia="Arial" w:hAnsi="Arial"/>
          <w:sz w:val="20"/>
          <w:szCs w:val="20"/>
          <w:u w:val="single" w:color="auto"/>
          <w:color w:val="auto"/>
        </w:rPr>
        <w:t>Dell International</w:t>
      </w:r>
      <w:r>
        <w:rPr>
          <w:rFonts w:ascii="Arial" w:cs="Arial" w:eastAsia="Arial" w:hAnsi="Arial"/>
          <w:sz w:val="20"/>
          <w:szCs w:val="20"/>
          <w:color w:val="auto"/>
        </w:rPr>
        <w:t>”), EMC CORPORATION, a Massachusetts corporation (“</w:t>
      </w:r>
      <w:r>
        <w:rPr>
          <w:rFonts w:ascii="Arial" w:cs="Arial" w:eastAsia="Arial" w:hAnsi="Arial"/>
          <w:sz w:val="20"/>
          <w:szCs w:val="20"/>
          <w:u w:val="single" w:color="auto"/>
          <w:color w:val="auto"/>
        </w:rPr>
        <w:t>EMC</w:t>
      </w:r>
      <w:r>
        <w:rPr>
          <w:rFonts w:ascii="Arial" w:cs="Arial" w:eastAsia="Arial" w:hAnsi="Arial"/>
          <w:sz w:val="20"/>
          <w:szCs w:val="20"/>
          <w:color w:val="auto"/>
        </w:rPr>
        <w:t>” and, together with Dell International, the “</w:t>
      </w:r>
      <w:r>
        <w:rPr>
          <w:rFonts w:ascii="Arial" w:cs="Arial" w:eastAsia="Arial" w:hAnsi="Arial"/>
          <w:sz w:val="20"/>
          <w:szCs w:val="20"/>
          <w:u w:val="single" w:color="auto"/>
          <w:color w:val="auto"/>
        </w:rPr>
        <w:t>Issuers</w:t>
      </w:r>
      <w:r>
        <w:rPr>
          <w:rFonts w:ascii="Arial" w:cs="Arial" w:eastAsia="Arial" w:hAnsi="Arial"/>
          <w:sz w:val="20"/>
          <w:szCs w:val="20"/>
          <w:color w:val="auto"/>
        </w:rPr>
        <w:t>”), the Guarantors (as defined below) and BofA Securities, Inc., Barclays Capital Inc., Citigroup Global Markets Inc., Credit Suisse Securities (USA) LLC, Goldman Sachs &amp; Co. LLC and J.P. Morgan Securities LLC, as the representatives (the “</w:t>
      </w:r>
      <w:r>
        <w:rPr>
          <w:rFonts w:ascii="Arial" w:cs="Arial" w:eastAsia="Arial" w:hAnsi="Arial"/>
          <w:sz w:val="20"/>
          <w:szCs w:val="20"/>
          <w:u w:val="single" w:color="auto"/>
          <w:color w:val="auto"/>
        </w:rPr>
        <w:t>Representatives</w:t>
      </w:r>
      <w:r>
        <w:rPr>
          <w:rFonts w:ascii="Arial" w:cs="Arial" w:eastAsia="Arial" w:hAnsi="Arial"/>
          <w:sz w:val="20"/>
          <w:szCs w:val="20"/>
          <w:color w:val="auto"/>
        </w:rPr>
        <w:t>”) of the several initial purchasers (the “</w:t>
      </w:r>
      <w:r>
        <w:rPr>
          <w:rFonts w:ascii="Arial" w:cs="Arial" w:eastAsia="Arial" w:hAnsi="Arial"/>
          <w:sz w:val="20"/>
          <w:szCs w:val="20"/>
          <w:u w:val="single" w:color="auto"/>
          <w:color w:val="auto"/>
        </w:rPr>
        <w:t>Initial Purchasers</w:t>
      </w:r>
      <w:r>
        <w:rPr>
          <w:rFonts w:ascii="Arial" w:cs="Arial" w:eastAsia="Arial" w:hAnsi="Arial"/>
          <w:sz w:val="20"/>
          <w:szCs w:val="20"/>
          <w:color w:val="auto"/>
        </w:rPr>
        <w:t xml:space="preserve">”) named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to the Purchase Agreement (as defined below).</w:t>
      </w:r>
    </w:p>
    <w:p>
      <w:pPr>
        <w:spacing w:after="0" w:line="19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This Agreement is entered into in connection with the Purchase Agreement, dated April 3, 2020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by and among the Issuers, the guarantors party thereto (the “</w:t>
      </w:r>
      <w:r>
        <w:rPr>
          <w:rFonts w:ascii="Arial" w:cs="Arial" w:eastAsia="Arial" w:hAnsi="Arial"/>
          <w:sz w:val="16"/>
          <w:szCs w:val="16"/>
          <w:u w:val="single" w:color="auto"/>
          <w:color w:val="auto"/>
        </w:rPr>
        <w:t>Guarantors</w:t>
      </w:r>
      <w:r>
        <w:rPr>
          <w:rFonts w:ascii="Arial" w:cs="Arial" w:eastAsia="Arial" w:hAnsi="Arial"/>
          <w:sz w:val="16"/>
          <w:szCs w:val="16"/>
          <w:color w:val="auto"/>
        </w:rPr>
        <w:t>”) and the Representatives on behalf of the several Initial Purchasers, which provides for, among other things, the sale by the Issuers to the Initial Purchasers of (i) $1,000,000,000 aggregate principal amount of their</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5.850% First Lien Notes due 2025 (the “</w:t>
      </w:r>
      <w:r>
        <w:rPr>
          <w:rFonts w:ascii="Arial" w:cs="Arial" w:eastAsia="Arial" w:hAnsi="Arial"/>
          <w:sz w:val="19"/>
          <w:szCs w:val="19"/>
          <w:u w:val="single" w:color="auto"/>
          <w:color w:val="auto"/>
        </w:rPr>
        <w:t>2025 Notes</w:t>
      </w:r>
      <w:r>
        <w:rPr>
          <w:rFonts w:ascii="Arial" w:cs="Arial" w:eastAsia="Arial" w:hAnsi="Arial"/>
          <w:sz w:val="19"/>
          <w:szCs w:val="19"/>
          <w:color w:val="auto"/>
        </w:rPr>
        <w:t>”), (ii) $500,000,000 aggregate principal amount of their 6.100% First Lien Notes due 2027 (the “</w:t>
      </w:r>
      <w:r>
        <w:rPr>
          <w:rFonts w:ascii="Arial" w:cs="Arial" w:eastAsia="Arial" w:hAnsi="Arial"/>
          <w:sz w:val="19"/>
          <w:szCs w:val="19"/>
          <w:u w:val="single" w:color="auto"/>
          <w:color w:val="auto"/>
        </w:rPr>
        <w:t>2027 Notes</w:t>
      </w:r>
      <w:r>
        <w:rPr>
          <w:rFonts w:ascii="Arial" w:cs="Arial" w:eastAsia="Arial" w:hAnsi="Arial"/>
          <w:sz w:val="19"/>
          <w:szCs w:val="19"/>
          <w:color w:val="auto"/>
        </w:rPr>
        <w:t>”) and (iii) $750,000,000 aggregate principal amount of their 6.200% First Lien Notes due 2030 (the “</w:t>
      </w:r>
      <w:r>
        <w:rPr>
          <w:rFonts w:ascii="Arial" w:cs="Arial" w:eastAsia="Arial" w:hAnsi="Arial"/>
          <w:sz w:val="19"/>
          <w:szCs w:val="19"/>
          <w:u w:val="single" w:color="auto"/>
          <w:color w:val="auto"/>
        </w:rPr>
        <w:t>2030 Notes</w:t>
      </w:r>
      <w:r>
        <w:rPr>
          <w:rFonts w:ascii="Arial" w:cs="Arial" w:eastAsia="Arial" w:hAnsi="Arial"/>
          <w:sz w:val="19"/>
          <w:szCs w:val="19"/>
          <w:color w:val="auto"/>
        </w:rPr>
        <w:t>” and, together with the 2025 Notes and the 2027 Notes, the “</w:t>
      </w:r>
      <w:r>
        <w:rPr>
          <w:rFonts w:ascii="Arial" w:cs="Arial" w:eastAsia="Arial" w:hAnsi="Arial"/>
          <w:sz w:val="19"/>
          <w:szCs w:val="19"/>
          <w:u w:val="single" w:color="auto"/>
          <w:color w:val="auto"/>
        </w:rPr>
        <w:t>Notes</w:t>
      </w:r>
      <w:r>
        <w:rPr>
          <w:rFonts w:ascii="Arial" w:cs="Arial" w:eastAsia="Arial" w:hAnsi="Arial"/>
          <w:sz w:val="19"/>
          <w:szCs w:val="19"/>
          <w:color w:val="auto"/>
        </w:rPr>
        <w:t>” and each a “</w:t>
      </w:r>
      <w:r>
        <w:rPr>
          <w:rFonts w:ascii="Arial" w:cs="Arial" w:eastAsia="Arial" w:hAnsi="Arial"/>
          <w:sz w:val="19"/>
          <w:szCs w:val="19"/>
          <w:u w:val="single" w:color="auto"/>
          <w:color w:val="auto"/>
        </w:rPr>
        <w:t>series of Notes</w:t>
      </w:r>
      <w:r>
        <w:rPr>
          <w:rFonts w:ascii="Arial" w:cs="Arial" w:eastAsia="Arial" w:hAnsi="Arial"/>
          <w:sz w:val="19"/>
          <w:szCs w:val="19"/>
          <w:color w:val="auto"/>
        </w:rPr>
        <w:t>”). Pursuant to the Purchase Agreement and the Indenture (as defined below), the Guarantors have agreed to guarantee (collectively, the “</w:t>
      </w:r>
      <w:r>
        <w:rPr>
          <w:rFonts w:ascii="Arial" w:cs="Arial" w:eastAsia="Arial" w:hAnsi="Arial"/>
          <w:sz w:val="19"/>
          <w:szCs w:val="19"/>
          <w:u w:val="single" w:color="auto"/>
          <w:color w:val="auto"/>
        </w:rPr>
        <w:t>Guarantees</w:t>
      </w:r>
      <w:r>
        <w:rPr>
          <w:rFonts w:ascii="Arial" w:cs="Arial" w:eastAsia="Arial" w:hAnsi="Arial"/>
          <w:sz w:val="19"/>
          <w:szCs w:val="19"/>
          <w:color w:val="auto"/>
        </w:rPr>
        <w:t>”) the Issuers’ obligations under the Notes and the Indenture. References to the “</w:t>
      </w:r>
      <w:r>
        <w:rPr>
          <w:rFonts w:ascii="Arial" w:cs="Arial" w:eastAsia="Arial" w:hAnsi="Arial"/>
          <w:sz w:val="19"/>
          <w:szCs w:val="19"/>
          <w:u w:val="single" w:color="auto"/>
          <w:color w:val="auto"/>
        </w:rPr>
        <w:t>Securities</w:t>
      </w:r>
      <w:r>
        <w:rPr>
          <w:rFonts w:ascii="Arial" w:cs="Arial" w:eastAsia="Arial" w:hAnsi="Arial"/>
          <w:sz w:val="19"/>
          <w:szCs w:val="19"/>
          <w:color w:val="auto"/>
        </w:rPr>
        <w:t>” shall mean one or more Notes of the applicable series of Notes and the Guarantees thereof. In order to induce the Initial Purchasers to enter into the Purchase Agreement, the Issuers and the Guarantors have agreed to provide the registration rights set forth in this Agreement for the benefit of the Initial Purchasers and any subsequent holder or holders of the Securities. The execution and delivery by the Issuers and the Guarantors of this Agreement is a condition to the Initial Purchasers’ obligations under the Purchase Agreement.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hereby agree as follows:</w:t>
      </w:r>
    </w:p>
    <w:p>
      <w:pPr>
        <w:spacing w:after="0" w:line="216" w:lineRule="exact"/>
        <w:rPr>
          <w:sz w:val="20"/>
          <w:szCs w:val="20"/>
          <w:color w:val="auto"/>
        </w:rPr>
      </w:pPr>
    </w:p>
    <w:p>
      <w:pPr>
        <w:ind w:left="1460" w:hanging="804"/>
        <w:spacing w:after="0"/>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As used in this Agreement, the following terms shall have the following meanings: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Additional Interest</w:t>
      </w:r>
      <w:r>
        <w:rPr>
          <w:rFonts w:ascii="Arial" w:cs="Arial" w:eastAsia="Arial" w:hAnsi="Arial"/>
          <w:sz w:val="20"/>
          <w:szCs w:val="20"/>
          <w:color w:val="auto"/>
        </w:rPr>
        <w:t>: See Section 5(a)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Advice</w:t>
      </w:r>
      <w:r>
        <w:rPr>
          <w:rFonts w:ascii="Arial" w:cs="Arial" w:eastAsia="Arial" w:hAnsi="Arial"/>
          <w:sz w:val="20"/>
          <w:szCs w:val="20"/>
          <w:color w:val="auto"/>
        </w:rPr>
        <w:t>: See the last paragraph of Section 6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See the introductory paragraphs hereto.</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Applicable Period</w:t>
      </w:r>
      <w:r>
        <w:rPr>
          <w:rFonts w:ascii="Arial" w:cs="Arial" w:eastAsia="Arial" w:hAnsi="Arial"/>
          <w:sz w:val="20"/>
          <w:szCs w:val="20"/>
          <w:color w:val="auto"/>
        </w:rPr>
        <w:t>: See Section 2(b)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Business Day</w:t>
      </w:r>
      <w:r>
        <w:rPr>
          <w:rFonts w:ascii="Arial" w:cs="Arial" w:eastAsia="Arial" w:hAnsi="Arial"/>
          <w:sz w:val="20"/>
          <w:szCs w:val="20"/>
          <w:color w:val="auto"/>
        </w:rPr>
        <w:t>: Shall have the meaning ascribed to such term in Rule 14d-1 under the Exchange Act.</w:t>
      </w:r>
    </w:p>
    <w:p>
      <w:pPr>
        <w:spacing w:after="0" w:line="216" w:lineRule="exact"/>
        <w:rPr>
          <w:sz w:val="20"/>
          <w:szCs w:val="20"/>
          <w:color w:val="auto"/>
        </w:rPr>
      </w:pPr>
    </w:p>
    <w:p>
      <w:pPr>
        <w:ind w:left="660" w:right="100" w:firstLine="648"/>
        <w:spacing w:after="0" w:line="227" w:lineRule="auto"/>
        <w:rPr>
          <w:sz w:val="20"/>
          <w:szCs w:val="20"/>
          <w:color w:val="auto"/>
        </w:rPr>
      </w:pPr>
      <w:r>
        <w:rPr>
          <w:rFonts w:ascii="Arial" w:cs="Arial" w:eastAsia="Arial" w:hAnsi="Arial"/>
          <w:sz w:val="20"/>
          <w:szCs w:val="20"/>
          <w:u w:val="single" w:color="auto"/>
          <w:color w:val="auto"/>
        </w:rPr>
        <w:t>Effectiveness Date</w:t>
      </w:r>
      <w:r>
        <w:rPr>
          <w:rFonts w:ascii="Arial" w:cs="Arial" w:eastAsia="Arial" w:hAnsi="Arial"/>
          <w:sz w:val="20"/>
          <w:szCs w:val="20"/>
          <w:color w:val="auto"/>
        </w:rPr>
        <w:t>: With respect to any Shelf Registration Statement,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the Filing Date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the Effectiveness Date would otherwise fall on a day that is not a Business Day, then the Effectiveness Date shall be the next succeeding Business Day.</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Effectiveness Period</w:t>
      </w:r>
      <w:r>
        <w:rPr>
          <w:rFonts w:ascii="Arial" w:cs="Arial" w:eastAsia="Arial" w:hAnsi="Arial"/>
          <w:sz w:val="20"/>
          <w:szCs w:val="20"/>
          <w:color w:val="auto"/>
        </w:rPr>
        <w:t>: See Section 3(a) hereof.</w:t>
      </w:r>
    </w:p>
    <w:p>
      <w:pPr>
        <w:sectPr>
          <w:pgSz w:w="11900" w:h="16838" w:orient="portrait"/>
          <w:cols w:equalWidth="0" w:num="1">
            <w:col w:w="11180"/>
          </w:cols>
          <w:pgMar w:left="320" w:top="339" w:right="399" w:bottom="1440" w:gutter="0" w:footer="0" w:header="0"/>
        </w:sectPr>
      </w:pPr>
    </w:p>
    <w:bookmarkStart w:id="93" w:name="page94"/>
    <w:bookmarkEnd w:id="93"/>
    <w:p>
      <w:pPr>
        <w:ind w:left="640"/>
        <w:spacing w:after="0"/>
        <w:rPr>
          <w:sz w:val="20"/>
          <w:szCs w:val="20"/>
          <w:color w:val="auto"/>
        </w:rPr>
      </w:pPr>
      <w:r>
        <w:rPr>
          <w:rFonts w:ascii="Arial" w:cs="Arial" w:eastAsia="Arial" w:hAnsi="Arial"/>
          <w:sz w:val="20"/>
          <w:szCs w:val="20"/>
          <w:u w:val="single" w:color="auto"/>
          <w:color w:val="auto"/>
        </w:rPr>
        <w:t>Event Date</w:t>
      </w:r>
      <w:r>
        <w:rPr>
          <w:rFonts w:ascii="Arial" w:cs="Arial" w:eastAsia="Arial" w:hAnsi="Arial"/>
          <w:sz w:val="20"/>
          <w:szCs w:val="20"/>
          <w:color w:val="auto"/>
        </w:rPr>
        <w:t>: See Section 5(b) hereof.</w:t>
      </w:r>
    </w:p>
    <w:p>
      <w:pPr>
        <w:spacing w:after="0" w:line="216"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u w:val="single" w:color="auto"/>
          <w:color w:val="auto"/>
        </w:rPr>
        <w:t>Exchange Act</w:t>
      </w:r>
      <w:r>
        <w:rPr>
          <w:rFonts w:ascii="Arial" w:cs="Arial" w:eastAsia="Arial" w:hAnsi="Arial"/>
          <w:sz w:val="20"/>
          <w:szCs w:val="20"/>
          <w:color w:val="auto"/>
        </w:rPr>
        <w:t>: The Securities Exchange Act of 1934, as amended, and the rules and regulations of the SEC promulgated thereunder.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Exchange Notes</w:t>
      </w:r>
      <w:r>
        <w:rPr>
          <w:rFonts w:ascii="Arial" w:cs="Arial" w:eastAsia="Arial" w:hAnsi="Arial"/>
          <w:sz w:val="20"/>
          <w:szCs w:val="20"/>
          <w:color w:val="auto"/>
        </w:rPr>
        <w:t>: See Section 2(a)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Exchange Offer</w:t>
      </w:r>
      <w:r>
        <w:rPr>
          <w:rFonts w:ascii="Arial" w:cs="Arial" w:eastAsia="Arial" w:hAnsi="Arial"/>
          <w:sz w:val="20"/>
          <w:szCs w:val="20"/>
          <w:color w:val="auto"/>
        </w:rPr>
        <w:t>: See Section 2(a)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Exchange Offer Registration Statement</w:t>
      </w:r>
      <w:r>
        <w:rPr>
          <w:rFonts w:ascii="Arial" w:cs="Arial" w:eastAsia="Arial" w:hAnsi="Arial"/>
          <w:sz w:val="20"/>
          <w:szCs w:val="20"/>
          <w:color w:val="auto"/>
        </w:rPr>
        <w:t>: See Section 2(a)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Exchange Securities</w:t>
      </w:r>
      <w:r>
        <w:rPr>
          <w:rFonts w:ascii="Arial" w:cs="Arial" w:eastAsia="Arial" w:hAnsi="Arial"/>
          <w:sz w:val="20"/>
          <w:szCs w:val="20"/>
          <w:color w:val="auto"/>
        </w:rPr>
        <w:t>: See Section 2(a) hereof.</w:t>
      </w:r>
    </w:p>
    <w:p>
      <w:pPr>
        <w:spacing w:after="0" w:line="216" w:lineRule="exact"/>
        <w:rPr>
          <w:sz w:val="20"/>
          <w:szCs w:val="20"/>
          <w:color w:val="auto"/>
        </w:rPr>
      </w:pPr>
    </w:p>
    <w:p>
      <w:pPr>
        <w:ind w:firstLine="648"/>
        <w:spacing w:after="0" w:line="227" w:lineRule="auto"/>
        <w:rPr>
          <w:sz w:val="20"/>
          <w:szCs w:val="20"/>
          <w:color w:val="auto"/>
        </w:rPr>
      </w:pPr>
      <w:r>
        <w:rPr>
          <w:rFonts w:ascii="Arial" w:cs="Arial" w:eastAsia="Arial" w:hAnsi="Arial"/>
          <w:sz w:val="20"/>
          <w:szCs w:val="20"/>
          <w:u w:val="single" w:color="auto"/>
          <w:color w:val="auto"/>
        </w:rPr>
        <w:t>Filing Date</w:t>
      </w:r>
      <w:r>
        <w:rPr>
          <w:rFonts w:ascii="Arial" w:cs="Arial" w:eastAsia="Arial" w:hAnsi="Arial"/>
          <w:sz w:val="20"/>
          <w:szCs w:val="20"/>
          <w:color w:val="auto"/>
        </w:rPr>
        <w:t>: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the delivery of a Shelf Notice as required pursuant to Section 2(d)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the Filing Date would otherwise fall on a day that is not a Business Day, then the Filing Date shall be the next succeeding Business Day.</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FINRA</w:t>
      </w:r>
      <w:r>
        <w:rPr>
          <w:rFonts w:ascii="Arial" w:cs="Arial" w:eastAsia="Arial" w:hAnsi="Arial"/>
          <w:sz w:val="20"/>
          <w:szCs w:val="20"/>
          <w:color w:val="auto"/>
        </w:rPr>
        <w:t>: See Section 6(r)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Guarantees</w:t>
      </w:r>
      <w:r>
        <w:rPr>
          <w:rFonts w:ascii="Arial" w:cs="Arial" w:eastAsia="Arial" w:hAnsi="Arial"/>
          <w:sz w:val="20"/>
          <w:szCs w:val="20"/>
          <w:color w:val="auto"/>
        </w:rPr>
        <w:t>: See the introductory paragraphs hereto.</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 See the introductory paragraphs hereto.</w:t>
      </w:r>
    </w:p>
    <w:p>
      <w:pPr>
        <w:spacing w:after="0" w:line="216"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u w:val="single" w:color="auto"/>
          <w:color w:val="auto"/>
        </w:rPr>
        <w:t>Holder</w:t>
      </w:r>
      <w:r>
        <w:rPr>
          <w:rFonts w:ascii="Arial" w:cs="Arial" w:eastAsia="Arial" w:hAnsi="Arial"/>
          <w:sz w:val="20"/>
          <w:szCs w:val="20"/>
          <w:color w:val="auto"/>
        </w:rPr>
        <w:t>: Any holder of a Registrable Security or Registrable Securities, in each case for so long as such Person holds any Registrable Securities.</w:t>
      </w:r>
    </w:p>
    <w:p>
      <w:pPr>
        <w:spacing w:after="0" w:line="177"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u w:val="single" w:color="auto"/>
          <w:color w:val="auto"/>
        </w:rPr>
        <w:t>Indenture</w:t>
      </w:r>
      <w:r>
        <w:rPr>
          <w:rFonts w:ascii="Arial" w:cs="Arial" w:eastAsia="Arial" w:hAnsi="Arial"/>
          <w:sz w:val="19"/>
          <w:szCs w:val="19"/>
          <w:color w:val="auto"/>
        </w:rPr>
        <w:t>: The indenture, dated as of April 9, 2020, among the Issuers, the Guarantors and The Bank of New York Mellon Trust Company, N.A., as trustee and as notes collateral agent, as supplemented by a supplemental indenture for each series of Notes, as amended or supplemented from time to time in accordance with the terms thereof.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Information</w:t>
      </w:r>
      <w:r>
        <w:rPr>
          <w:rFonts w:ascii="Arial" w:cs="Arial" w:eastAsia="Arial" w:hAnsi="Arial"/>
          <w:sz w:val="20"/>
          <w:szCs w:val="20"/>
          <w:color w:val="auto"/>
        </w:rPr>
        <w:t>: See Section 6(n)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Initial Purchasers</w:t>
      </w:r>
      <w:r>
        <w:rPr>
          <w:rFonts w:ascii="Arial" w:cs="Arial" w:eastAsia="Arial" w:hAnsi="Arial"/>
          <w:sz w:val="20"/>
          <w:szCs w:val="20"/>
          <w:color w:val="auto"/>
        </w:rPr>
        <w:t>: See the introductory paragraphs hereto.</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Initial Shelf Registration</w:t>
      </w:r>
      <w:r>
        <w:rPr>
          <w:rFonts w:ascii="Arial" w:cs="Arial" w:eastAsia="Arial" w:hAnsi="Arial"/>
          <w:sz w:val="20"/>
          <w:szCs w:val="20"/>
          <w:color w:val="auto"/>
        </w:rPr>
        <w:t>: See Section 3(a)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Inspectors</w:t>
      </w:r>
      <w:r>
        <w:rPr>
          <w:rFonts w:ascii="Arial" w:cs="Arial" w:eastAsia="Arial" w:hAnsi="Arial"/>
          <w:sz w:val="20"/>
          <w:szCs w:val="20"/>
          <w:color w:val="auto"/>
        </w:rPr>
        <w:t>: See Section 6(n)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Issue Date</w:t>
      </w:r>
      <w:r>
        <w:rPr>
          <w:rFonts w:ascii="Arial" w:cs="Arial" w:eastAsia="Arial" w:hAnsi="Arial"/>
          <w:sz w:val="20"/>
          <w:szCs w:val="20"/>
          <w:color w:val="auto"/>
        </w:rPr>
        <w:t>: April 9, 2020, the date of original issuance of the Notes.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Issuers</w:t>
      </w:r>
      <w:r>
        <w:rPr>
          <w:rFonts w:ascii="Arial" w:cs="Arial" w:eastAsia="Arial" w:hAnsi="Arial"/>
          <w:sz w:val="20"/>
          <w:szCs w:val="20"/>
          <w:color w:val="auto"/>
        </w:rPr>
        <w:t>: Dell International and EMC, collectively.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New Guarantees</w:t>
      </w:r>
      <w:r>
        <w:rPr>
          <w:rFonts w:ascii="Arial" w:cs="Arial" w:eastAsia="Arial" w:hAnsi="Arial"/>
          <w:sz w:val="20"/>
          <w:szCs w:val="20"/>
          <w:color w:val="auto"/>
        </w:rPr>
        <w:t>: See Section 2(a)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See the introductory paragraphs hereto.</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Participant</w:t>
      </w:r>
      <w:r>
        <w:rPr>
          <w:rFonts w:ascii="Arial" w:cs="Arial" w:eastAsia="Arial" w:hAnsi="Arial"/>
          <w:sz w:val="20"/>
          <w:szCs w:val="20"/>
          <w:color w:val="auto"/>
        </w:rPr>
        <w:t>: See Section 8(a)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Participating Broker-Dealer</w:t>
      </w:r>
      <w:r>
        <w:rPr>
          <w:rFonts w:ascii="Arial" w:cs="Arial" w:eastAsia="Arial" w:hAnsi="Arial"/>
          <w:sz w:val="20"/>
          <w:szCs w:val="20"/>
          <w:color w:val="auto"/>
        </w:rPr>
        <w:t>: See Section 2(b) hereof.</w:t>
      </w:r>
    </w:p>
    <w:p>
      <w:pPr>
        <w:sectPr>
          <w:pgSz w:w="11900" w:h="16838" w:orient="portrait"/>
          <w:cols w:equalWidth="0" w:num="1">
            <w:col w:w="10500"/>
          </w:cols>
          <w:pgMar w:left="980" w:top="339" w:right="419" w:bottom="1440" w:gutter="0" w:footer="0" w:header="0"/>
        </w:sectPr>
      </w:pPr>
    </w:p>
    <w:bookmarkStart w:id="94" w:name="page95"/>
    <w:bookmarkEnd w:id="94"/>
    <w:p>
      <w:pPr>
        <w:ind w:right="40" w:firstLine="648"/>
        <w:spacing w:after="0" w:line="260" w:lineRule="auto"/>
        <w:rPr>
          <w:sz w:val="20"/>
          <w:szCs w:val="20"/>
          <w:color w:val="auto"/>
        </w:rPr>
      </w:pPr>
      <w:r>
        <w:rPr>
          <w:rFonts w:ascii="Arial" w:cs="Arial" w:eastAsia="Arial" w:hAnsi="Arial"/>
          <w:sz w:val="20"/>
          <w:szCs w:val="20"/>
          <w:u w:val="single" w:color="auto"/>
          <w:color w:val="auto"/>
        </w:rPr>
        <w:t>Person</w:t>
      </w:r>
      <w:r>
        <w:rPr>
          <w:rFonts w:ascii="Arial" w:cs="Arial" w:eastAsia="Arial" w:hAnsi="Arial"/>
          <w:sz w:val="20"/>
          <w:szCs w:val="20"/>
          <w:color w:val="auto"/>
        </w:rPr>
        <w:t>: An individual, trustee, corporation, partnership, limited liability company, joint stock company, trust, unincorporated association, union, business association, firm or other legal entity.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Private Exchange</w:t>
      </w:r>
      <w:r>
        <w:rPr>
          <w:rFonts w:ascii="Arial" w:cs="Arial" w:eastAsia="Arial" w:hAnsi="Arial"/>
          <w:sz w:val="20"/>
          <w:szCs w:val="20"/>
          <w:color w:val="auto"/>
        </w:rPr>
        <w:t>: See Section 2(b)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Private Exchange Notes</w:t>
      </w:r>
      <w:r>
        <w:rPr>
          <w:rFonts w:ascii="Arial" w:cs="Arial" w:eastAsia="Arial" w:hAnsi="Arial"/>
          <w:sz w:val="20"/>
          <w:szCs w:val="20"/>
          <w:color w:val="auto"/>
        </w:rPr>
        <w:t>: See Section 2(b) hereof.</w:t>
      </w:r>
    </w:p>
    <w:p>
      <w:pPr>
        <w:spacing w:after="0" w:line="216" w:lineRule="exact"/>
        <w:rPr>
          <w:sz w:val="20"/>
          <w:szCs w:val="20"/>
          <w:color w:val="auto"/>
        </w:rPr>
      </w:pPr>
    </w:p>
    <w:p>
      <w:pPr>
        <w:ind w:right="160" w:firstLine="648"/>
        <w:spacing w:after="0" w:line="278" w:lineRule="auto"/>
        <w:rPr>
          <w:sz w:val="20"/>
          <w:szCs w:val="20"/>
          <w:color w:val="auto"/>
        </w:rPr>
      </w:pPr>
      <w:r>
        <w:rPr>
          <w:rFonts w:ascii="Arial" w:cs="Arial" w:eastAsia="Arial" w:hAnsi="Arial"/>
          <w:sz w:val="18"/>
          <w:szCs w:val="18"/>
          <w:u w:val="single" w:color="auto"/>
          <w:color w:val="auto"/>
        </w:rPr>
        <w:t>Prospectus</w:t>
      </w:r>
      <w:r>
        <w:rPr>
          <w:rFonts w:ascii="Arial" w:cs="Arial" w:eastAsia="Arial" w:hAnsi="Arial"/>
          <w:sz w:val="18"/>
          <w:szCs w:val="18"/>
          <w:color w:val="auto"/>
        </w:rPr>
        <w:t>: The prospectus included in any Registration Statement (including, without limitation, any prospectus subject to completion and a prospectus that includes any information previously omitted from a prospectus filed as part of an effective registration statement in reliance upon Rule 430A and Rule 430C under the Securities Act), as amended or supplemented by any prospectus supplement, and all other amendments and supplements to the Prospectus, including post-effective amendments, and all material incorporated by reference or deemed to be incorporated by reference in such Prospectus.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Purchase Agreement</w:t>
      </w:r>
      <w:r>
        <w:rPr>
          <w:rFonts w:ascii="Arial" w:cs="Arial" w:eastAsia="Arial" w:hAnsi="Arial"/>
          <w:sz w:val="20"/>
          <w:szCs w:val="20"/>
          <w:color w:val="auto"/>
        </w:rPr>
        <w:t>: See the introductory paragraphs hereof.</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Records</w:t>
      </w:r>
      <w:r>
        <w:rPr>
          <w:rFonts w:ascii="Arial" w:cs="Arial" w:eastAsia="Arial" w:hAnsi="Arial"/>
          <w:sz w:val="20"/>
          <w:szCs w:val="20"/>
          <w:color w:val="auto"/>
        </w:rPr>
        <w:t>: See Section 6(n) hereof.</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u w:val="single" w:color="auto"/>
          <w:color w:val="auto"/>
        </w:rPr>
        <w:t>Registrable Securities</w:t>
      </w:r>
      <w:r>
        <w:rPr>
          <w:rFonts w:ascii="Arial" w:cs="Arial" w:eastAsia="Arial" w:hAnsi="Arial"/>
          <w:sz w:val="18"/>
          <w:szCs w:val="18"/>
          <w:color w:val="auto"/>
        </w:rPr>
        <w:t>: Each Security upon its original issuance and at all times subsequent thereto, each Exchange Security as to which Section 2(d)(iv) hereof is applicable upon original issuance and at all times subsequent thereto and each Private Exchange Note (and the related Guarantees) upon original issuance thereof and at all times subsequent thereto, until, in each case, the earliest to occur of (i) a Registration Statement (other than, with respect to any Exchange Securities as to which Section 2(d)(iv) hereof is applicable, the Exchange Offer Registration Statement) covering such Security, Exchange Security or Private Exchange Note (and the related Guarantees) has been declared effective by the SEC and such Security, Exchange Security or such Private Exchange Note (and the related Guarantees), as the case may be, has been disposed of in accordance with such effective Registration Statement, (ii) such Security has been exchanged pursuant to the Exchange Offer for an Exchange Security or Exchange Securities that may be resold without restriction under state and federal securities laws (other than any restriction due solely to the status of any Holder thereof being an affiliate of the Issuers within the meaning of the Securities Act), (iii) such Security, Exchange Security or Private Exchange Note (and the related Guarantees), as the case may be, ceases to be outstanding for purposes of the Indenture or any indenture (if different) governing the Exchange Security and Private Exchange Notes, as applicable, or (iv) the date which is seven years after the Issue Date.</w:t>
      </w:r>
    </w:p>
    <w:p>
      <w:pPr>
        <w:spacing w:after="0" w:line="17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Any registration statement of the Issuers that covers any of the Securities, the Exchange Securities or the Private Exchange Notes (and the related Guarantees) filed with the SEC under the Securities Act, including, in each case, the Prospectus, amendments and supplements to such registration statement, including post-effective amendments, all exhibits, and all material incorporated by reference or deemed to be incorporated by reference in such registration statement.</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Rule 144</w:t>
      </w:r>
      <w:r>
        <w:rPr>
          <w:rFonts w:ascii="Arial" w:cs="Arial" w:eastAsia="Arial" w:hAnsi="Arial"/>
          <w:sz w:val="20"/>
          <w:szCs w:val="20"/>
          <w:color w:val="auto"/>
        </w:rPr>
        <w:t>: Rule 144 under the Securities Act.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Rule 144A</w:t>
      </w:r>
      <w:r>
        <w:rPr>
          <w:rFonts w:ascii="Arial" w:cs="Arial" w:eastAsia="Arial" w:hAnsi="Arial"/>
          <w:sz w:val="20"/>
          <w:szCs w:val="20"/>
          <w:color w:val="auto"/>
        </w:rPr>
        <w:t>: Rule 144A under the Securities Act.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Rule 405</w:t>
      </w:r>
      <w:r>
        <w:rPr>
          <w:rFonts w:ascii="Arial" w:cs="Arial" w:eastAsia="Arial" w:hAnsi="Arial"/>
          <w:sz w:val="20"/>
          <w:szCs w:val="20"/>
          <w:color w:val="auto"/>
        </w:rPr>
        <w:t>: Rule 405 under the Securities Act.</w:t>
      </w:r>
    </w:p>
    <w:p>
      <w:pPr>
        <w:sectPr>
          <w:pgSz w:w="11900" w:h="16838" w:orient="portrait"/>
          <w:cols w:equalWidth="0" w:num="1">
            <w:col w:w="10580"/>
          </w:cols>
          <w:pgMar w:left="980" w:top="339" w:right="339" w:bottom="1440" w:gutter="0" w:footer="0" w:header="0"/>
        </w:sectPr>
      </w:pPr>
    </w:p>
    <w:bookmarkStart w:id="95" w:name="page96"/>
    <w:bookmarkEnd w:id="95"/>
    <w:p>
      <w:pPr>
        <w:ind w:left="644"/>
        <w:spacing w:after="0"/>
        <w:rPr>
          <w:sz w:val="20"/>
          <w:szCs w:val="20"/>
          <w:color w:val="auto"/>
        </w:rPr>
      </w:pPr>
      <w:r>
        <w:rPr>
          <w:rFonts w:ascii="Arial" w:cs="Arial" w:eastAsia="Arial" w:hAnsi="Arial"/>
          <w:sz w:val="20"/>
          <w:szCs w:val="20"/>
          <w:u w:val="single" w:color="auto"/>
          <w:color w:val="auto"/>
        </w:rPr>
        <w:t>Rule 415</w:t>
      </w:r>
      <w:r>
        <w:rPr>
          <w:rFonts w:ascii="Arial" w:cs="Arial" w:eastAsia="Arial" w:hAnsi="Arial"/>
          <w:sz w:val="20"/>
          <w:szCs w:val="20"/>
          <w:color w:val="auto"/>
        </w:rPr>
        <w:t>: Rule 415 under the Securities Act.</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Rule 424</w:t>
      </w:r>
      <w:r>
        <w:rPr>
          <w:rFonts w:ascii="Arial" w:cs="Arial" w:eastAsia="Arial" w:hAnsi="Arial"/>
          <w:sz w:val="20"/>
          <w:szCs w:val="20"/>
          <w:color w:val="auto"/>
        </w:rPr>
        <w:t>: Rule 424 under the Securities Act.</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SEC</w:t>
      </w:r>
      <w:r>
        <w:rPr>
          <w:rFonts w:ascii="Arial" w:cs="Arial" w:eastAsia="Arial" w:hAnsi="Arial"/>
          <w:sz w:val="20"/>
          <w:szCs w:val="20"/>
          <w:color w:val="auto"/>
        </w:rPr>
        <w:t>: The U.S. Securities and Exchange Commission.</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Securities</w:t>
      </w:r>
      <w:r>
        <w:rPr>
          <w:rFonts w:ascii="Arial" w:cs="Arial" w:eastAsia="Arial" w:hAnsi="Arial"/>
          <w:sz w:val="20"/>
          <w:szCs w:val="20"/>
          <w:color w:val="auto"/>
        </w:rPr>
        <w:t>: See the introductory paragraphs hereto.</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 and the rules and regulations of the SEC promulgated thereunder.</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Shelf Notice</w:t>
      </w:r>
      <w:r>
        <w:rPr>
          <w:rFonts w:ascii="Arial" w:cs="Arial" w:eastAsia="Arial" w:hAnsi="Arial"/>
          <w:sz w:val="20"/>
          <w:szCs w:val="20"/>
          <w:color w:val="auto"/>
        </w:rPr>
        <w:t>: See Section 2(d) hereof.</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Shelf Registration</w:t>
      </w:r>
      <w:r>
        <w:rPr>
          <w:rFonts w:ascii="Arial" w:cs="Arial" w:eastAsia="Arial" w:hAnsi="Arial"/>
          <w:sz w:val="20"/>
          <w:szCs w:val="20"/>
          <w:color w:val="auto"/>
        </w:rPr>
        <w:t>: See Section 3(b) hereof.</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Shelf Registration Statement</w:t>
      </w:r>
      <w:r>
        <w:rPr>
          <w:rFonts w:ascii="Arial" w:cs="Arial" w:eastAsia="Arial" w:hAnsi="Arial"/>
          <w:sz w:val="20"/>
          <w:szCs w:val="20"/>
          <w:color w:val="auto"/>
        </w:rPr>
        <w:t>: Any Registration Statement relating to a Shelf Registration.</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Shelf Suspension Period</w:t>
      </w:r>
      <w:r>
        <w:rPr>
          <w:rFonts w:ascii="Arial" w:cs="Arial" w:eastAsia="Arial" w:hAnsi="Arial"/>
          <w:sz w:val="20"/>
          <w:szCs w:val="20"/>
          <w:color w:val="auto"/>
        </w:rPr>
        <w:t>: See Section 3(a) hereof.</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Subsequent Shelf Registration</w:t>
      </w:r>
      <w:r>
        <w:rPr>
          <w:rFonts w:ascii="Arial" w:cs="Arial" w:eastAsia="Arial" w:hAnsi="Arial"/>
          <w:sz w:val="20"/>
          <w:szCs w:val="20"/>
          <w:color w:val="auto"/>
        </w:rPr>
        <w:t>: See Section 3(b) hereof.</w:t>
      </w:r>
    </w:p>
    <w:p>
      <w:pPr>
        <w:spacing w:after="0" w:line="216" w:lineRule="exact"/>
        <w:rPr>
          <w:sz w:val="20"/>
          <w:szCs w:val="20"/>
          <w:color w:val="auto"/>
        </w:rPr>
      </w:pPr>
    </w:p>
    <w:p>
      <w:pPr>
        <w:ind w:left="644"/>
        <w:spacing w:after="0"/>
        <w:rPr>
          <w:sz w:val="20"/>
          <w:szCs w:val="20"/>
          <w:color w:val="auto"/>
        </w:rPr>
      </w:pPr>
      <w:r>
        <w:rPr>
          <w:rFonts w:ascii="Arial" w:cs="Arial" w:eastAsia="Arial" w:hAnsi="Arial"/>
          <w:sz w:val="20"/>
          <w:szCs w:val="20"/>
          <w:u w:val="single" w:color="auto"/>
          <w:color w:val="auto"/>
        </w:rPr>
        <w:t>TIA</w:t>
      </w:r>
      <w:r>
        <w:rPr>
          <w:rFonts w:ascii="Arial" w:cs="Arial" w:eastAsia="Arial" w:hAnsi="Arial"/>
          <w:sz w:val="20"/>
          <w:szCs w:val="20"/>
          <w:color w:val="auto"/>
        </w:rPr>
        <w:t>: The Trust Indenture Act of 1939, as amended.</w:t>
      </w:r>
    </w:p>
    <w:p>
      <w:pPr>
        <w:spacing w:after="0" w:line="216" w:lineRule="exact"/>
        <w:rPr>
          <w:sz w:val="20"/>
          <w:szCs w:val="20"/>
          <w:color w:val="auto"/>
        </w:rPr>
      </w:pPr>
    </w:p>
    <w:p>
      <w:pPr>
        <w:ind w:left="4" w:right="160" w:firstLine="648"/>
        <w:spacing w:after="0" w:line="260" w:lineRule="auto"/>
        <w:rPr>
          <w:sz w:val="20"/>
          <w:szCs w:val="20"/>
          <w:color w:val="auto"/>
        </w:rPr>
      </w:pPr>
      <w:r>
        <w:rPr>
          <w:rFonts w:ascii="Arial" w:cs="Arial" w:eastAsia="Arial" w:hAnsi="Arial"/>
          <w:sz w:val="20"/>
          <w:szCs w:val="20"/>
          <w:u w:val="single" w:color="auto"/>
          <w:color w:val="auto"/>
        </w:rPr>
        <w:t>Trustee</w:t>
      </w:r>
      <w:r>
        <w:rPr>
          <w:rFonts w:ascii="Arial" w:cs="Arial" w:eastAsia="Arial" w:hAnsi="Arial"/>
          <w:sz w:val="20"/>
          <w:szCs w:val="20"/>
          <w:color w:val="auto"/>
        </w:rPr>
        <w:t>: (i) The trustee under the Indenture and (ii) the trustee under any indenture(s) (if different) governing the Exchange Securities and Private Exchange Notes (and the related Guarantees).</w:t>
      </w:r>
    </w:p>
    <w:p>
      <w:pPr>
        <w:spacing w:after="0" w:line="177" w:lineRule="exact"/>
        <w:rPr>
          <w:sz w:val="20"/>
          <w:szCs w:val="20"/>
          <w:color w:val="auto"/>
        </w:rPr>
      </w:pPr>
    </w:p>
    <w:p>
      <w:pPr>
        <w:ind w:left="4" w:right="40" w:firstLine="648"/>
        <w:spacing w:after="0" w:line="260" w:lineRule="auto"/>
        <w:rPr>
          <w:sz w:val="20"/>
          <w:szCs w:val="20"/>
          <w:color w:val="auto"/>
        </w:rPr>
      </w:pPr>
      <w:r>
        <w:rPr>
          <w:rFonts w:ascii="Arial" w:cs="Arial" w:eastAsia="Arial" w:hAnsi="Arial"/>
          <w:sz w:val="20"/>
          <w:szCs w:val="20"/>
          <w:u w:val="single" w:color="auto"/>
          <w:color w:val="auto"/>
        </w:rPr>
        <w:t>Underwritten registration or underwritten offering</w:t>
      </w:r>
      <w:r>
        <w:rPr>
          <w:rFonts w:ascii="Arial" w:cs="Arial" w:eastAsia="Arial" w:hAnsi="Arial"/>
          <w:sz w:val="20"/>
          <w:szCs w:val="20"/>
          <w:color w:val="auto"/>
        </w:rPr>
        <w:t>: A registration in which securities of the Issuers are sold to an underwriter for reoffering to the public.</w:t>
      </w:r>
    </w:p>
    <w:p>
      <w:pPr>
        <w:spacing w:after="0" w:line="177" w:lineRule="exact"/>
        <w:rPr>
          <w:sz w:val="20"/>
          <w:szCs w:val="20"/>
          <w:color w:val="auto"/>
        </w:rPr>
      </w:pPr>
    </w:p>
    <w:p>
      <w:pPr>
        <w:jc w:val="both"/>
        <w:ind w:left="4" w:right="20" w:firstLine="648"/>
        <w:spacing w:after="0" w:line="282" w:lineRule="auto"/>
        <w:rPr>
          <w:sz w:val="20"/>
          <w:szCs w:val="20"/>
          <w:color w:val="auto"/>
        </w:rPr>
      </w:pPr>
      <w:r>
        <w:rPr>
          <w:rFonts w:ascii="Arial" w:cs="Arial" w:eastAsia="Arial" w:hAnsi="Arial"/>
          <w:sz w:val="18"/>
          <w:szCs w:val="18"/>
          <w:color w:val="auto"/>
        </w:rPr>
        <w:t>Except as otherwise specifically provided, all references in this Agreement to acts, laws, statutes, rules, regulations, releases, forms, no-action letters and other regulatory requirements (collectively, “</w:t>
      </w:r>
      <w:r>
        <w:rPr>
          <w:rFonts w:ascii="Arial" w:cs="Arial" w:eastAsia="Arial" w:hAnsi="Arial"/>
          <w:sz w:val="18"/>
          <w:szCs w:val="18"/>
          <w:u w:val="single" w:color="auto"/>
          <w:color w:val="auto"/>
        </w:rPr>
        <w:t>Regulatory Requirements</w:t>
      </w:r>
      <w:r>
        <w:rPr>
          <w:rFonts w:ascii="Arial" w:cs="Arial" w:eastAsia="Arial" w:hAnsi="Arial"/>
          <w:sz w:val="18"/>
          <w:szCs w:val="18"/>
          <w:color w:val="auto"/>
        </w:rPr>
        <w:t xml:space="preserve">”) shall be deemed to refer also to any amendments thereto and all subsequent Regulatory Requirements adopted as a replacement thereto having substantially the same effect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Rule 144 shall not be deemed to amend or replace Rule 144A.</w:t>
      </w:r>
    </w:p>
    <w:p>
      <w:pPr>
        <w:spacing w:after="0" w:line="186" w:lineRule="exact"/>
        <w:rPr>
          <w:sz w:val="20"/>
          <w:szCs w:val="20"/>
          <w:color w:val="auto"/>
        </w:rPr>
      </w:pPr>
    </w:p>
    <w:p>
      <w:pPr>
        <w:ind w:left="344" w:hanging="344"/>
        <w:spacing w:after="0"/>
        <w:tabs>
          <w:tab w:leader="none" w:pos="344" w:val="left"/>
        </w:tabs>
        <w:numPr>
          <w:ilvl w:val="0"/>
          <w:numId w:val="28"/>
        </w:numPr>
        <w:rPr>
          <w:rFonts w:ascii="Arial" w:cs="Arial" w:eastAsia="Arial" w:hAnsi="Arial"/>
          <w:sz w:val="22"/>
          <w:szCs w:val="22"/>
          <w:color w:val="auto"/>
        </w:rPr>
      </w:pPr>
      <w:r>
        <w:rPr>
          <w:rFonts w:ascii="Arial" w:cs="Arial" w:eastAsia="Arial" w:hAnsi="Arial"/>
          <w:sz w:val="20"/>
          <w:szCs w:val="20"/>
          <w:u w:val="single" w:color="auto"/>
          <w:color w:val="auto"/>
        </w:rPr>
        <w:t>Exchange Offer</w:t>
      </w:r>
    </w:p>
    <w:p>
      <w:pPr>
        <w:spacing w:after="0" w:line="235" w:lineRule="exact"/>
        <w:rPr>
          <w:rFonts w:ascii="Arial" w:cs="Arial" w:eastAsia="Arial" w:hAnsi="Arial"/>
          <w:sz w:val="22"/>
          <w:szCs w:val="22"/>
          <w:color w:val="auto"/>
        </w:rPr>
      </w:pPr>
    </w:p>
    <w:p>
      <w:pPr>
        <w:ind w:left="4" w:firstLine="644"/>
        <w:spacing w:after="0" w:line="312" w:lineRule="auto"/>
        <w:tabs>
          <w:tab w:leader="none" w:pos="1072" w:val="left"/>
        </w:tabs>
        <w:numPr>
          <w:ilvl w:val="1"/>
          <w:numId w:val="28"/>
        </w:numPr>
        <w:rPr>
          <w:rFonts w:ascii="Arial" w:cs="Arial" w:eastAsia="Arial" w:hAnsi="Arial"/>
          <w:sz w:val="18"/>
          <w:szCs w:val="18"/>
          <w:color w:val="auto"/>
        </w:rPr>
      </w:pPr>
      <w:r>
        <w:rPr>
          <w:rFonts w:ascii="Arial" w:cs="Arial" w:eastAsia="Arial" w:hAnsi="Arial"/>
          <w:sz w:val="17"/>
          <w:szCs w:val="17"/>
          <w:color w:val="auto"/>
        </w:rPr>
        <w:t>Unless the Exchange Offer would violate applicable law or any applicable interpretation of the staff of the SEC, the Issuers and the Guarantors shall use commercially reasonable efforts to file with the SEC a Registration Statement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Offer Registration Statement</w:t>
      </w:r>
      <w:r>
        <w:rPr>
          <w:rFonts w:ascii="Arial" w:cs="Arial" w:eastAsia="Arial" w:hAnsi="Arial"/>
          <w:sz w:val="17"/>
          <w:szCs w:val="17"/>
          <w:color w:val="auto"/>
        </w:rPr>
        <w:t>”) on an appropriate registration form with respect to a registered offer (the “</w:t>
      </w:r>
      <w:r>
        <w:rPr>
          <w:rFonts w:ascii="Arial" w:cs="Arial" w:eastAsia="Arial" w:hAnsi="Arial"/>
          <w:sz w:val="17"/>
          <w:szCs w:val="17"/>
          <w:u w:val="single" w:color="auto"/>
          <w:color w:val="auto"/>
        </w:rPr>
        <w:t>Exchange Offer</w:t>
      </w:r>
      <w:r>
        <w:rPr>
          <w:rFonts w:ascii="Arial" w:cs="Arial" w:eastAsia="Arial" w:hAnsi="Arial"/>
          <w:sz w:val="17"/>
          <w:szCs w:val="17"/>
          <w:color w:val="auto"/>
        </w:rPr>
        <w:t>”) to exchange any and all of the applicable series of Registrable Securities for a like aggregate principal amount of debt securities of the Issuers (the “</w:t>
      </w:r>
      <w:r>
        <w:rPr>
          <w:rFonts w:ascii="Arial" w:cs="Arial" w:eastAsia="Arial" w:hAnsi="Arial"/>
          <w:sz w:val="17"/>
          <w:szCs w:val="17"/>
          <w:u w:val="single" w:color="auto"/>
          <w:color w:val="auto"/>
        </w:rPr>
        <w:t>Exchange Notes</w:t>
      </w:r>
      <w:r>
        <w:rPr>
          <w:rFonts w:ascii="Arial" w:cs="Arial" w:eastAsia="Arial" w:hAnsi="Arial"/>
          <w:sz w:val="17"/>
          <w:szCs w:val="17"/>
          <w:color w:val="auto"/>
        </w:rPr>
        <w:t>”), guaranteed, to the extent applicable, on an unsecured senior basis by Dell Technologies Inc., a Delaware corporation (“</w:t>
      </w:r>
      <w:r>
        <w:rPr>
          <w:rFonts w:ascii="Arial" w:cs="Arial" w:eastAsia="Arial" w:hAnsi="Arial"/>
          <w:sz w:val="17"/>
          <w:szCs w:val="17"/>
          <w:u w:val="single" w:color="auto"/>
          <w:color w:val="auto"/>
        </w:rPr>
        <w:t>Holdings</w:t>
      </w:r>
      <w:r>
        <w:rPr>
          <w:rFonts w:ascii="Arial" w:cs="Arial" w:eastAsia="Arial" w:hAnsi="Arial"/>
          <w:sz w:val="17"/>
          <w:szCs w:val="17"/>
          <w:color w:val="auto"/>
        </w:rPr>
        <w:t>”), and on a secured senior basis by the other Guarantors (the “</w:t>
      </w:r>
      <w:r>
        <w:rPr>
          <w:rFonts w:ascii="Arial" w:cs="Arial" w:eastAsia="Arial" w:hAnsi="Arial"/>
          <w:sz w:val="17"/>
          <w:szCs w:val="17"/>
          <w:u w:val="single" w:color="auto"/>
          <w:color w:val="auto"/>
        </w:rPr>
        <w:t>New Guarantees</w:t>
      </w:r>
      <w:r>
        <w:rPr>
          <w:rFonts w:ascii="Arial" w:cs="Arial" w:eastAsia="Arial" w:hAnsi="Arial"/>
          <w:sz w:val="17"/>
          <w:szCs w:val="17"/>
          <w:color w:val="auto"/>
        </w:rPr>
        <w:t>” and, together with the Exchange Notes, the “</w:t>
      </w:r>
      <w:r>
        <w:rPr>
          <w:rFonts w:ascii="Arial" w:cs="Arial" w:eastAsia="Arial" w:hAnsi="Arial"/>
          <w:sz w:val="17"/>
          <w:szCs w:val="17"/>
          <w:u w:val="single" w:color="auto"/>
          <w:color w:val="auto"/>
        </w:rPr>
        <w:t>Exchange Securities</w:t>
      </w:r>
      <w:r>
        <w:rPr>
          <w:rFonts w:ascii="Arial" w:cs="Arial" w:eastAsia="Arial" w:hAnsi="Arial"/>
          <w:sz w:val="17"/>
          <w:szCs w:val="17"/>
          <w:color w:val="auto"/>
        </w:rPr>
        <w:t>”), that are identical in all material respects to the applicable series of Notes except that</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(i) the Exchange</w:t>
      </w:r>
    </w:p>
    <w:p>
      <w:pPr>
        <w:sectPr>
          <w:pgSz w:w="11900" w:h="16838" w:orient="portrait"/>
          <w:cols w:equalWidth="0" w:num="1">
            <w:col w:w="10564"/>
          </w:cols>
          <w:pgMar w:left="976" w:top="339" w:right="359" w:bottom="1440" w:gutter="0" w:footer="0" w:header="0"/>
        </w:sectPr>
      </w:pPr>
    </w:p>
    <w:bookmarkStart w:id="96" w:name="page97"/>
    <w:bookmarkEnd w:id="96"/>
    <w:p>
      <w:pPr>
        <w:spacing w:after="0" w:line="270" w:lineRule="auto"/>
        <w:rPr>
          <w:sz w:val="20"/>
          <w:szCs w:val="20"/>
          <w:color w:val="auto"/>
        </w:rPr>
      </w:pPr>
      <w:r>
        <w:rPr>
          <w:rFonts w:ascii="Arial" w:cs="Arial" w:eastAsia="Arial" w:hAnsi="Arial"/>
          <w:sz w:val="18"/>
          <w:szCs w:val="18"/>
          <w:color w:val="auto"/>
        </w:rPr>
        <w:t>Notes shall contain no restrictive legend thereon, (ii) interest thereon shall accrue from the later of (x) the last date on which interest was paid on such series of Notes or, if no such interest has been paid, from the Issue Date or (y) if such Note is surrendered for exchange on a date in a period that includes the record date for an interest payment date to occur on or after the date of such Exchange Offer and as to which interest will be paid, the date of such interest payment date, (iii) the Exchange Securities will not contain provisions for the Additional Interest contemplated in Section 5 below, and (iv) the Exchange Securities shall be entitled to the benefits of the Indenture or a trust indenture which is identical in all material respects to the Indenture (other than such changes to the Indenture or any such identical trust indenture as are necessary to comply with the TIA) and which, in either case, has been qualified under the TIA. The Exchange Offer shall comply with all applicable tender offer rules and regulations under the Exchange Act and other applicable laws. The Issuers and the Guarantors shall use commercially reasonable efforts to (x) prepare and file with the SEC the Exchange Offer Registration Statement with respect to the Exchange Offer; (y) keep the Exchange Offer open for at least 20 Business Days (or longer if required by applicable law) after the date that notice of the Exchange Offer is delivered to Holders; and (z) consummate the Exchange Offer on or prior to the day that is five years after the Issue Date.</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Each Holder (including, without limitation, each Participating Broker-Dealer) that participates in the Exchange Offer, as a condition to participation in the Exchange Offer, will be required to represent to the Issuers in writing (which may be contained in the applicable letter of transmittal) that: (i) any Exchange Securities acquired in exchange for Registrable Securities tendered are being acquired in the ordinary course of business of the Person receiving such Exchange Securities, whether or not such recipient is such Holder itself; (ii) at the time of the commencement or consummation of the applicable Exchange Offer neither such Holder nor, to the actual knowledge of such Holder, any other Person receiving Exchange Securities from such Holder has an arrangement or understanding with any Person to participate in the distribution (within the meaning of the Securities Act) of the applicable Exchange Securities in violation of the provisions of the Securities Act; (iii) neither the Holder nor, to the actual knowledge of such Holder, any other Person receiving Exchange Securities from such Holder is an “affiliate” (as defined in Rule 405) of an Issuer or, if it is an affiliate of an Issuer, it will comply with the registration and prospectus delivery requirements of the Securities Act to the extent applicable and will provide information to be included in the Shelf Registration Statement in accordance with Section 6 hereof in order to have their Securities included in the Shelf Registration Statement and benefit from the provisions regarding Additional Interest in Section 5 hereof; (iv) if such Holder is not a broker-dealer, neither such Holder nor, to the actual knowledge of such Holder, any other Person receiving Exchange Securities from such Holder is engaging in or intends to engage in a distribution of the Exchange Securities; and (v) if such Holder is a Participating Broker-Dealer, such Holder has acquired such Registrable Securities for its own account in exchange for Securities that were acquired as a result of market-making activities or other trading activities and that it will comply with the applicable provisions of the Securities Act (including, but not limited to, the prospectus delivery requirements thereunder).</w:t>
      </w:r>
    </w:p>
    <w:p>
      <w:pPr>
        <w:spacing w:after="0" w:line="18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9"/>
          <w:szCs w:val="19"/>
          <w:color w:val="auto"/>
        </w:rPr>
        <w:t xml:space="preserve">Upon consummation of the Exchange Offer in accordance with this Section 2, the provisions of this Agreement shall continue to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xml:space="preserve"> solely with respect to Registrable Securities that are Private Exchange Notes (and the related Guarantees) and Exchange Securities as to which Section 2(d)(iv) is applicable and Exchange Securities held by Participating Broker-Dealers, and the Issuers shall have no further obligation to register</w:t>
      </w:r>
    </w:p>
    <w:p>
      <w:pPr>
        <w:sectPr>
          <w:pgSz w:w="11900" w:h="16838" w:orient="portrait"/>
          <w:cols w:equalWidth="0" w:num="1">
            <w:col w:w="10580"/>
          </w:cols>
          <w:pgMar w:left="980" w:top="339" w:right="339" w:bottom="1440" w:gutter="0" w:footer="0" w:header="0"/>
        </w:sectPr>
      </w:pPr>
    </w:p>
    <w:bookmarkStart w:id="97" w:name="page98"/>
    <w:bookmarkEnd w:id="97"/>
    <w:p>
      <w:pPr>
        <w:ind w:right="220"/>
        <w:spacing w:after="0" w:line="260" w:lineRule="auto"/>
        <w:rPr>
          <w:sz w:val="20"/>
          <w:szCs w:val="20"/>
          <w:color w:val="auto"/>
        </w:rPr>
      </w:pPr>
      <w:r>
        <w:rPr>
          <w:rFonts w:ascii="Arial" w:cs="Arial" w:eastAsia="Arial" w:hAnsi="Arial"/>
          <w:sz w:val="20"/>
          <w:szCs w:val="20"/>
          <w:color w:val="auto"/>
        </w:rPr>
        <w:t>Registrable Securities (other than Private Exchange Notes (and the related Guarantees) and Exchange Securities as to which clause 2(d)(iv) hereof applies) pursuant to Section 3 hereof.</w:t>
      </w:r>
    </w:p>
    <w:p>
      <w:pPr>
        <w:spacing w:after="0" w:line="204" w:lineRule="exact"/>
        <w:rPr>
          <w:sz w:val="20"/>
          <w:szCs w:val="20"/>
          <w:color w:val="auto"/>
        </w:rPr>
      </w:pPr>
    </w:p>
    <w:p>
      <w:pPr>
        <w:ind w:right="20" w:firstLine="644"/>
        <w:spacing w:after="0" w:line="266" w:lineRule="auto"/>
        <w:tabs>
          <w:tab w:leader="none" w:pos="1080" w:val="left"/>
        </w:tabs>
        <w:numPr>
          <w:ilvl w:val="0"/>
          <w:numId w:val="29"/>
        </w:numPr>
        <w:rPr>
          <w:rFonts w:ascii="Arial" w:cs="Arial" w:eastAsia="Arial" w:hAnsi="Arial"/>
          <w:sz w:val="22"/>
          <w:szCs w:val="22"/>
          <w:color w:val="auto"/>
        </w:rPr>
      </w:pPr>
      <w:r>
        <w:rPr>
          <w:rFonts w:ascii="Arial" w:cs="Arial" w:eastAsia="Arial" w:hAnsi="Arial"/>
          <w:sz w:val="20"/>
          <w:szCs w:val="20"/>
          <w:color w:val="auto"/>
        </w:rPr>
        <w:t>The Issuers shall include within the Prospectus contained in the Exchange Offer Registration Statement a section entitled “Plan of Distribution,” which shall contain a summary statement of the positions taken or policies made by the staff of the SEC with respect to the potential “underwriter” status of any broker-dealer that is the “beneficial owner” (as defined in Rule 13d-3 under the Exchange Act) of Exchange Notes received by such broker-dealer in the Exchange Offer (a “</w:t>
      </w:r>
      <w:r>
        <w:rPr>
          <w:rFonts w:ascii="Arial" w:cs="Arial" w:eastAsia="Arial" w:hAnsi="Arial"/>
          <w:sz w:val="20"/>
          <w:szCs w:val="20"/>
          <w:u w:val="single" w:color="auto"/>
          <w:color w:val="auto"/>
        </w:rPr>
        <w:t>Participating Broker-Dealer</w:t>
      </w:r>
      <w:r>
        <w:rPr>
          <w:rFonts w:ascii="Arial" w:cs="Arial" w:eastAsia="Arial" w:hAnsi="Arial"/>
          <w:sz w:val="20"/>
          <w:szCs w:val="20"/>
          <w:color w:val="auto"/>
        </w:rPr>
        <w:t>”), whether such positions or policies have been publicly disseminated by the staff of the SEC or such positions or policies represent the prevailing views of the staff of the SEC. Such “Plan of Distribution” section shall also expressly permit, to the extent permitted by applicable policies and regulations of the SEC, the use of the Prospectus by all Participating Broker-Dealers, and include a statement describing the means by which Participating Broker-Dealers may resell the Exchange Securities in compliance with the Securities Act.</w:t>
      </w:r>
    </w:p>
    <w:p>
      <w:pPr>
        <w:spacing w:after="0" w:line="191"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 xml:space="preserve">The Issuers and the Guarantors shall use commercially reasonable efforts to keep the Exchange Offer Registration Statement effective and to amend and supplement the Prospectus contained therein in order to permit such Prospectus to be lawfully delivered by all Persons subject to the prospectus delivery requirements of the Securities Act for such period of time as is necessary to comply with applicable law in connection with any resale of the Exchange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period shall not be required to exceed 90 days, such longer period if extended pursuant to the last paragraph of Section 6 hereof (the “</w:t>
      </w:r>
      <w:r>
        <w:rPr>
          <w:rFonts w:ascii="Arial" w:cs="Arial" w:eastAsia="Arial" w:hAnsi="Arial"/>
          <w:sz w:val="20"/>
          <w:szCs w:val="20"/>
          <w:u w:val="single" w:color="auto"/>
          <w:color w:val="auto"/>
        </w:rPr>
        <w:t>Applicable</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If, prior to consummation of the Exchange Offer, the Initial Purchasers hold any Notes acquired by them that have the status of an unsold allotment in the initial distribution, the Issuers, upon the request of the Initial Purchasers, shall simultaneously with the delivery of the Exchange Notes issue and deliver to the Initial Purchasers, in exchange (the “</w:t>
      </w:r>
      <w:r>
        <w:rPr>
          <w:rFonts w:ascii="Arial" w:cs="Arial" w:eastAsia="Arial" w:hAnsi="Arial"/>
          <w:sz w:val="16"/>
          <w:szCs w:val="16"/>
          <w:u w:val="single" w:color="auto"/>
          <w:color w:val="auto"/>
        </w:rPr>
        <w:t>Private Exchange</w:t>
      </w:r>
      <w:r>
        <w:rPr>
          <w:rFonts w:ascii="Arial" w:cs="Arial" w:eastAsia="Arial" w:hAnsi="Arial"/>
          <w:sz w:val="16"/>
          <w:szCs w:val="16"/>
          <w:color w:val="auto"/>
        </w:rPr>
        <w:t>”) for such Notes held by any such Initial Purchasers, a like principal amount of the applicable series of notes (the “</w:t>
      </w:r>
      <w:r>
        <w:rPr>
          <w:rFonts w:ascii="Arial" w:cs="Arial" w:eastAsia="Arial" w:hAnsi="Arial"/>
          <w:sz w:val="16"/>
          <w:szCs w:val="16"/>
          <w:u w:val="single" w:color="auto"/>
          <w:color w:val="auto"/>
        </w:rPr>
        <w:t>Private Exchange Notes</w:t>
      </w:r>
      <w:r>
        <w:rPr>
          <w:rFonts w:ascii="Arial" w:cs="Arial" w:eastAsia="Arial" w:hAnsi="Arial"/>
          <w:sz w:val="16"/>
          <w:szCs w:val="16"/>
          <w:color w:val="auto"/>
        </w:rPr>
        <w:t>”) of the Issuers, guaranteed by the Guarantors, if applicable, that are identical in all material respects to the Exchange Notes except for the placement of a restrictive legend on such Private Exchange Notes. The Private Exchange Notes shall be issued pursuant to the same indenture as the Exchange Notes and bear the same CUSIP number as the Exchange Notes if permitted by the CUSIP Global Services.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connection with the Exchange Offer, the Issuers shall:</w:t>
      </w:r>
    </w:p>
    <w:p>
      <w:pPr>
        <w:spacing w:after="0" w:line="216" w:lineRule="exact"/>
        <w:rPr>
          <w:sz w:val="20"/>
          <w:szCs w:val="20"/>
          <w:color w:val="auto"/>
        </w:rPr>
      </w:pPr>
    </w:p>
    <w:p>
      <w:pPr>
        <w:ind w:left="640" w:right="200" w:firstLine="652"/>
        <w:spacing w:after="0" w:line="250" w:lineRule="auto"/>
        <w:tabs>
          <w:tab w:leader="none" w:pos="1717"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deliver, or cause to be delivered, to each Holder of record entitled to participate in the Exchange Offer a copy of the Prospectus forming part of the Exchange Offer Registration Statement, together with an appropriate letter of transmittal and related documents;</w:t>
      </w:r>
    </w:p>
    <w:p>
      <w:pPr>
        <w:spacing w:after="0" w:line="77" w:lineRule="exact"/>
        <w:rPr>
          <w:rFonts w:ascii="Arial" w:cs="Arial" w:eastAsia="Arial" w:hAnsi="Arial"/>
          <w:sz w:val="20"/>
          <w:szCs w:val="20"/>
          <w:color w:val="auto"/>
        </w:rPr>
      </w:pPr>
    </w:p>
    <w:p>
      <w:pPr>
        <w:jc w:val="both"/>
        <w:ind w:left="640" w:right="160" w:firstLine="652"/>
        <w:spacing w:after="0" w:line="250" w:lineRule="auto"/>
        <w:tabs>
          <w:tab w:leader="none" w:pos="1717" w:val="left"/>
        </w:tabs>
        <w:numPr>
          <w:ilvl w:val="0"/>
          <w:numId w:val="30"/>
        </w:numPr>
        <w:rPr>
          <w:rFonts w:ascii="Arial" w:cs="Arial" w:eastAsia="Arial" w:hAnsi="Arial"/>
          <w:sz w:val="20"/>
          <w:szCs w:val="20"/>
          <w:color w:val="auto"/>
        </w:rPr>
      </w:pPr>
      <w:r>
        <w:rPr>
          <w:rFonts w:ascii="Arial" w:cs="Arial" w:eastAsia="Arial" w:hAnsi="Arial"/>
          <w:sz w:val="20"/>
          <w:szCs w:val="20"/>
          <w:color w:val="auto"/>
        </w:rPr>
        <w:t>use their commercially reasonable efforts to keep the Exchange Offer open for at least 20 Business Days from the date that notice of the Exchange Offer is delivered to Holders of the applicable series of Notes (or longer if required by applicable law);</w:t>
      </w:r>
    </w:p>
    <w:p>
      <w:pPr>
        <w:spacing w:after="0" w:line="77" w:lineRule="exact"/>
        <w:rPr>
          <w:rFonts w:ascii="Arial" w:cs="Arial" w:eastAsia="Arial" w:hAnsi="Arial"/>
          <w:sz w:val="20"/>
          <w:szCs w:val="20"/>
          <w:color w:val="auto"/>
        </w:rPr>
      </w:pPr>
    </w:p>
    <w:p>
      <w:pPr>
        <w:ind w:left="1720" w:hanging="428"/>
        <w:spacing w:after="0"/>
        <w:tabs>
          <w:tab w:leader="none" w:pos="1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[Reserved];</w:t>
      </w:r>
    </w:p>
    <w:p>
      <w:pPr>
        <w:sectPr>
          <w:pgSz w:w="11900" w:h="16838" w:orient="portrait"/>
          <w:cols w:equalWidth="0" w:num="1">
            <w:col w:w="10580"/>
          </w:cols>
          <w:pgMar w:left="980" w:top="339" w:right="339" w:bottom="1440" w:gutter="0" w:footer="0" w:header="0"/>
        </w:sectPr>
      </w:pPr>
    </w:p>
    <w:bookmarkStart w:id="98" w:name="page99"/>
    <w:bookmarkEnd w:id="98"/>
    <w:p>
      <w:pPr>
        <w:ind w:left="640" w:right="220" w:firstLine="652"/>
        <w:spacing w:after="0" w:line="260" w:lineRule="auto"/>
        <w:tabs>
          <w:tab w:leader="none" w:pos="17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permit Holders to withdraw tendered Notes at any time prior to the close of business, New York time, on the last Business Day on which the Exchange Offer remains open; and</w:t>
      </w:r>
    </w:p>
    <w:p>
      <w:pPr>
        <w:spacing w:after="0" w:line="68" w:lineRule="exact"/>
        <w:rPr>
          <w:rFonts w:ascii="Arial" w:cs="Arial" w:eastAsia="Arial" w:hAnsi="Arial"/>
          <w:sz w:val="20"/>
          <w:szCs w:val="20"/>
          <w:color w:val="auto"/>
        </w:rPr>
      </w:pPr>
    </w:p>
    <w:p>
      <w:pPr>
        <w:ind w:left="640" w:right="40" w:firstLine="652"/>
        <w:spacing w:after="0" w:line="405" w:lineRule="auto"/>
        <w:tabs>
          <w:tab w:leader="none" w:pos="1717" w:val="left"/>
        </w:tabs>
        <w:numPr>
          <w:ilvl w:val="0"/>
          <w:numId w:val="31"/>
        </w:numPr>
        <w:rPr>
          <w:rFonts w:ascii="Arial" w:cs="Arial" w:eastAsia="Arial" w:hAnsi="Arial"/>
          <w:sz w:val="19"/>
          <w:szCs w:val="19"/>
          <w:color w:val="auto"/>
        </w:rPr>
      </w:pPr>
      <w:r>
        <w:rPr>
          <w:rFonts w:ascii="Arial" w:cs="Arial" w:eastAsia="Arial" w:hAnsi="Arial"/>
          <w:sz w:val="19"/>
          <w:szCs w:val="19"/>
          <w:color w:val="auto"/>
        </w:rPr>
        <w:t>otherwise comply in all material respects with all laws, rules and regulations applicable to the Exchange Offer. As soon as practicable after the expiration of the Exchange Offer and any Private Exchange, the Issuers shall:</w:t>
      </w:r>
    </w:p>
    <w:p>
      <w:pPr>
        <w:spacing w:after="0" w:line="46" w:lineRule="exact"/>
        <w:rPr>
          <w:sz w:val="20"/>
          <w:szCs w:val="20"/>
          <w:color w:val="auto"/>
        </w:rPr>
      </w:pPr>
    </w:p>
    <w:p>
      <w:pPr>
        <w:ind w:left="640" w:right="500" w:firstLine="652"/>
        <w:spacing w:after="0" w:line="260" w:lineRule="auto"/>
        <w:tabs>
          <w:tab w:leader="none" w:pos="1717" w:val="left"/>
        </w:tabs>
        <w:numPr>
          <w:ilvl w:val="0"/>
          <w:numId w:val="32"/>
        </w:numPr>
        <w:rPr>
          <w:rFonts w:ascii="Arial" w:cs="Arial" w:eastAsia="Arial" w:hAnsi="Arial"/>
          <w:sz w:val="20"/>
          <w:szCs w:val="20"/>
          <w:color w:val="auto"/>
        </w:rPr>
      </w:pPr>
      <w:r>
        <w:rPr>
          <w:rFonts w:ascii="Arial" w:cs="Arial" w:eastAsia="Arial" w:hAnsi="Arial"/>
          <w:sz w:val="20"/>
          <w:szCs w:val="20"/>
          <w:color w:val="auto"/>
        </w:rPr>
        <w:t>accept for exchange all Registrable Securities validly tendered and not validly withdrawn pursuant to the Exchange Offer and any Private Exchange;</w:t>
      </w:r>
    </w:p>
    <w:p>
      <w:pPr>
        <w:spacing w:after="0" w:line="68" w:lineRule="exact"/>
        <w:rPr>
          <w:rFonts w:ascii="Arial" w:cs="Arial" w:eastAsia="Arial" w:hAnsi="Arial"/>
          <w:sz w:val="20"/>
          <w:szCs w:val="20"/>
          <w:color w:val="auto"/>
        </w:rPr>
      </w:pPr>
    </w:p>
    <w:p>
      <w:pPr>
        <w:ind w:left="1720" w:hanging="428"/>
        <w:spacing w:after="0"/>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deliver to the applicable Trustee for cancellation all Registrable Securities so accepted for exchange; and</w:t>
      </w:r>
    </w:p>
    <w:p>
      <w:pPr>
        <w:spacing w:after="0" w:line="130" w:lineRule="exact"/>
        <w:rPr>
          <w:rFonts w:ascii="Arial" w:cs="Arial" w:eastAsia="Arial" w:hAnsi="Arial"/>
          <w:sz w:val="18"/>
          <w:szCs w:val="18"/>
          <w:color w:val="auto"/>
        </w:rPr>
      </w:pPr>
    </w:p>
    <w:p>
      <w:pPr>
        <w:ind w:left="640" w:right="100" w:firstLine="652"/>
        <w:spacing w:after="0" w:line="243" w:lineRule="auto"/>
        <w:tabs>
          <w:tab w:leader="none" w:pos="1717"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cause the applicable Trustee to authenticate and deliver promptly to each Holder of Notes, Exchange Notes or Private Exchange Notes, as the case may be, equal in principal amount to the applicable series of Notes of such Holder so accepted for exchange;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Notes held in global form by a depositary, authentication and delivery to such depositary of one or more replacement Notes of the applicable series in global form in an equivalent principal amount thereto for the account of such Holders in accordance with the Indenture shall satisfy such authentication and delivery requirement.</w:t>
      </w:r>
    </w:p>
    <w:p>
      <w:pPr>
        <w:spacing w:after="0" w:line="8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Exchange Offer and the Private Exchange shall not be subject to any conditions, other than that (i) the Exchange Offer or Private Exchange, as the case may be, does not violate applicable law or any applicable interpretation of the staff of the SEC; (ii) no action or proceeding shall have been instituted or threatened in any court or by any governmental agency which might materially impair the ability of the Issuers and the Guarantors to proceed with the Exchange Offer or the Private Exchange, and no material adverse development shall have occurred in any existing action or proceeding with respect to the Issuers or the Guarantors; (iii) all governmental approvals shall have been obtained, which approvals the Issuers deem necessary for the consummation of the Exchange Offer or Private Exchange; and (iv) the accuracy of customary representations of the Holders and other representations as may reasonably be necessary under applicable SEC rules, regulations or interpretations, the satisfaction by the Holders of customary conditions relating to the delivery of Exchange Securities and the Private Exchange Notes (and related guarantees) and the execution and delivery of customary documentation relating to the Exchange Offer.</w:t>
      </w:r>
    </w:p>
    <w:p>
      <w:pPr>
        <w:spacing w:after="0" w:line="201" w:lineRule="exact"/>
        <w:rPr>
          <w:sz w:val="20"/>
          <w:szCs w:val="20"/>
          <w:color w:val="auto"/>
        </w:rPr>
      </w:pPr>
    </w:p>
    <w:p>
      <w:pPr>
        <w:ind w:right="20" w:firstLine="644"/>
        <w:spacing w:after="0" w:line="266" w:lineRule="auto"/>
        <w:tabs>
          <w:tab w:leader="none" w:pos="1068" w:val="left"/>
        </w:tabs>
        <w:numPr>
          <w:ilvl w:val="0"/>
          <w:numId w:val="33"/>
        </w:numPr>
        <w:rPr>
          <w:rFonts w:ascii="Arial" w:cs="Arial" w:eastAsia="Arial" w:hAnsi="Arial"/>
          <w:sz w:val="22"/>
          <w:szCs w:val="22"/>
          <w:color w:val="auto"/>
        </w:rPr>
      </w:pPr>
      <w:r>
        <w:rPr>
          <w:rFonts w:ascii="Arial" w:cs="Arial" w:eastAsia="Arial" w:hAnsi="Arial"/>
          <w:sz w:val="20"/>
          <w:szCs w:val="20"/>
          <w:color w:val="auto"/>
        </w:rPr>
        <w:t>The Exchange Securities and the Private Exchange Notes (and related guarantees) shall be issued under (i) the Indenture or (ii) an indenture identical in all material respects to the Indenture and which, in either case, has been qualified under the TIA or is exempt from such qualification and shall provide that the Exchange Securities shall not be subject to the transfer restrictions set forth in the Indenture. The Indenture or such indenture shall provide that the Exchange Notes, the Private Exchange Notes and the Notes of a series outstanding shall vote and consent together on all matters as one class and that none of the Exchange Notes, the Private Exchange Notes or the Notes outstanding of a series will have the right to vote or consent as a separate class on any matter.</w:t>
      </w:r>
    </w:p>
    <w:p>
      <w:pPr>
        <w:spacing w:after="0" w:line="215" w:lineRule="exact"/>
        <w:rPr>
          <w:rFonts w:ascii="Arial" w:cs="Arial" w:eastAsia="Arial" w:hAnsi="Arial"/>
          <w:sz w:val="22"/>
          <w:szCs w:val="22"/>
          <w:color w:val="auto"/>
        </w:rPr>
      </w:pPr>
    </w:p>
    <w:p>
      <w:pPr>
        <w:ind w:right="80" w:firstLine="644"/>
        <w:spacing w:after="0" w:line="264" w:lineRule="auto"/>
        <w:tabs>
          <w:tab w:leader="none" w:pos="1080" w:val="left"/>
        </w:tabs>
        <w:numPr>
          <w:ilvl w:val="0"/>
          <w:numId w:val="33"/>
        </w:numPr>
        <w:rPr>
          <w:rFonts w:ascii="Arial" w:cs="Arial" w:eastAsia="Arial" w:hAnsi="Arial"/>
          <w:sz w:val="22"/>
          <w:szCs w:val="22"/>
          <w:color w:val="auto"/>
        </w:rPr>
      </w:pPr>
      <w:r>
        <w:rPr>
          <w:rFonts w:ascii="Arial" w:cs="Arial" w:eastAsia="Arial" w:hAnsi="Arial"/>
          <w:sz w:val="20"/>
          <w:szCs w:val="20"/>
          <w:color w:val="auto"/>
        </w:rPr>
        <w:t>If, (i) because of any change in law or in currently prevailing interpretations of the staff of the SEC, the Issuers are not permitted to effect the Exchange Offer, (ii) the Exchange</w:t>
      </w:r>
    </w:p>
    <w:p>
      <w:pPr>
        <w:sectPr>
          <w:pgSz w:w="11900" w:h="16838" w:orient="portrait"/>
          <w:cols w:equalWidth="0" w:num="1">
            <w:col w:w="10520"/>
          </w:cols>
          <w:pgMar w:left="980" w:top="339" w:right="399" w:bottom="1440" w:gutter="0" w:footer="0" w:header="0"/>
        </w:sectPr>
      </w:pPr>
    </w:p>
    <w:bookmarkStart w:id="99" w:name="page100"/>
    <w:bookmarkEnd w:id="99"/>
    <w:p>
      <w:pPr>
        <w:ind w:left="4"/>
        <w:spacing w:after="0" w:line="242" w:lineRule="auto"/>
        <w:rPr>
          <w:sz w:val="20"/>
          <w:szCs w:val="20"/>
          <w:color w:val="auto"/>
        </w:rPr>
      </w:pPr>
      <w:r>
        <w:rPr>
          <w:rFonts w:ascii="Arial" w:cs="Arial" w:eastAsia="Arial" w:hAnsi="Arial"/>
          <w:sz w:val="20"/>
          <w:szCs w:val="20"/>
          <w:color w:val="auto"/>
        </w:rPr>
        <w:t>Offer is not consummated within five years of the Issue Date, (iii) any holder of Private Exchange Notes so requests in writing to the Issuers at any time within 30 days after the consummation of the Exchange Offer, or (iv) in the case of any Holder that participates in the Exchange Offer, such Holder does not receive Exchange Securities on the date of the exchange that may be sold without restriction under state and federal securities laws (other than due solely to the status of such Holder as an affiliate of the Issuers within the meaning of the Securities Act) and so notifies the Issuers within 30 days after such Holder first becomes aware of such restrictions, in the case of each of clauses (i) to and including (iv) of this sentence, then the Issuers shall promptly (but, for the avoidance of doubt, no earlier than the date that is five years after the Issue Date) deliver to the applicable Trustee (to deliver to the Holders of the applicable series of Notes) written notice thereof (the “</w:t>
      </w:r>
      <w:r>
        <w:rPr>
          <w:rFonts w:ascii="Arial" w:cs="Arial" w:eastAsia="Arial" w:hAnsi="Arial"/>
          <w:sz w:val="20"/>
          <w:szCs w:val="20"/>
          <w:u w:val="single" w:color="auto"/>
          <w:color w:val="auto"/>
        </w:rPr>
        <w:t>Shelf Notice</w:t>
      </w:r>
      <w:r>
        <w:rPr>
          <w:rFonts w:ascii="Arial" w:cs="Arial" w:eastAsia="Arial" w:hAnsi="Arial"/>
          <w:sz w:val="20"/>
          <w:szCs w:val="20"/>
          <w:color w:val="auto"/>
        </w:rPr>
        <w:t>”) and shall file a Shelf Registration pursuant to Section 3 hereof.</w:t>
      </w:r>
    </w:p>
    <w:p>
      <w:pPr>
        <w:spacing w:after="0" w:line="219" w:lineRule="exact"/>
        <w:rPr>
          <w:sz w:val="20"/>
          <w:szCs w:val="20"/>
          <w:color w:val="auto"/>
        </w:rPr>
      </w:pPr>
    </w:p>
    <w:p>
      <w:pPr>
        <w:ind w:left="344" w:hanging="344"/>
        <w:spacing w:after="0"/>
        <w:tabs>
          <w:tab w:leader="none" w:pos="344" w:val="left"/>
        </w:tabs>
        <w:numPr>
          <w:ilvl w:val="0"/>
          <w:numId w:val="34"/>
        </w:numPr>
        <w:rPr>
          <w:rFonts w:ascii="Arial" w:cs="Arial" w:eastAsia="Arial" w:hAnsi="Arial"/>
          <w:sz w:val="22"/>
          <w:szCs w:val="22"/>
          <w:color w:val="auto"/>
        </w:rPr>
      </w:pPr>
      <w:r>
        <w:rPr>
          <w:rFonts w:ascii="Arial" w:cs="Arial" w:eastAsia="Arial" w:hAnsi="Arial"/>
          <w:sz w:val="20"/>
          <w:szCs w:val="20"/>
          <w:u w:val="single" w:color="auto"/>
          <w:color w:val="auto"/>
        </w:rPr>
        <w:t>Shelf Registration</w:t>
      </w:r>
    </w:p>
    <w:p>
      <w:pPr>
        <w:spacing w:after="0" w:line="209" w:lineRule="exact"/>
        <w:rPr>
          <w:sz w:val="20"/>
          <w:szCs w:val="20"/>
          <w:color w:val="auto"/>
        </w:rPr>
      </w:pPr>
    </w:p>
    <w:p>
      <w:pPr>
        <w:ind w:left="644"/>
        <w:spacing w:after="0"/>
        <w:rPr>
          <w:sz w:val="20"/>
          <w:szCs w:val="20"/>
          <w:color w:val="auto"/>
        </w:rPr>
      </w:pPr>
      <w:r>
        <w:rPr>
          <w:rFonts w:ascii="Arial" w:cs="Arial" w:eastAsia="Arial" w:hAnsi="Arial"/>
          <w:sz w:val="20"/>
          <w:szCs w:val="20"/>
          <w:color w:val="auto"/>
        </w:rPr>
        <w:t>If at any time a Shelf Notice is delivered as contemplated by Section 2(d) hereof, then:</w:t>
      </w:r>
    </w:p>
    <w:p>
      <w:pPr>
        <w:spacing w:after="0" w:line="200" w:lineRule="exact"/>
        <w:rPr>
          <w:sz w:val="20"/>
          <w:szCs w:val="20"/>
          <w:color w:val="auto"/>
        </w:rPr>
      </w:pPr>
    </w:p>
    <w:p>
      <w:pPr>
        <w:spacing w:after="0" w:line="232" w:lineRule="exact"/>
        <w:rPr>
          <w:sz w:val="20"/>
          <w:szCs w:val="20"/>
          <w:color w:val="auto"/>
        </w:rPr>
      </w:pPr>
    </w:p>
    <w:p>
      <w:pPr>
        <w:ind w:left="4" w:right="40" w:firstLine="644"/>
        <w:spacing w:after="0" w:line="244" w:lineRule="auto"/>
        <w:tabs>
          <w:tab w:leader="none" w:pos="152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Shelf Registration</w:t>
      </w:r>
      <w:r>
        <w:rPr>
          <w:rFonts w:ascii="Arial" w:cs="Arial" w:eastAsia="Arial" w:hAnsi="Arial"/>
          <w:sz w:val="19"/>
          <w:szCs w:val="19"/>
          <w:color w:val="auto"/>
        </w:rPr>
        <w:t>. The Issuers shall as promptly as practicable file with the SEC a Registration Statement for an offering to be made on a continuous basis pursuant to Rule 415 covering all of the Registrable Securities (the “</w:t>
      </w:r>
      <w:r>
        <w:rPr>
          <w:rFonts w:ascii="Arial" w:cs="Arial" w:eastAsia="Arial" w:hAnsi="Arial"/>
          <w:sz w:val="19"/>
          <w:szCs w:val="19"/>
          <w:u w:val="single" w:color="auto"/>
          <w:color w:val="auto"/>
        </w:rPr>
        <w:t>Initial Shelf</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w:t>
      </w:r>
      <w:r>
        <w:rPr>
          <w:rFonts w:ascii="Arial" w:cs="Arial" w:eastAsia="Arial" w:hAnsi="Arial"/>
          <w:sz w:val="19"/>
          <w:szCs w:val="19"/>
          <w:color w:val="auto"/>
        </w:rPr>
        <w:t>”). The Issuers and the Guarantors shall use commercially reasonable efforts to file with the SEC the Initial Shelf Registration on or prior to the Filing Date. The Initial Shelf Registration shall be on Form S-1, Form S-3 or another appropriate form permitting registration of such Registrable Securities for resale by Holders in the manner or manners designated by them (including, without limitation, one or more underwritten offerings).</w:t>
      </w:r>
    </w:p>
    <w:p>
      <w:pPr>
        <w:spacing w:after="0" w:line="179" w:lineRule="exact"/>
        <w:rPr>
          <w:sz w:val="20"/>
          <w:szCs w:val="20"/>
          <w:color w:val="auto"/>
        </w:rPr>
      </w:pPr>
    </w:p>
    <w:p>
      <w:pPr>
        <w:ind w:left="4" w:right="140" w:firstLine="648"/>
        <w:spacing w:after="0" w:line="269" w:lineRule="auto"/>
        <w:rPr>
          <w:sz w:val="20"/>
          <w:szCs w:val="20"/>
          <w:color w:val="auto"/>
        </w:rPr>
      </w:pPr>
      <w:r>
        <w:rPr>
          <w:rFonts w:ascii="Arial" w:cs="Arial" w:eastAsia="Arial" w:hAnsi="Arial"/>
          <w:sz w:val="18"/>
          <w:szCs w:val="18"/>
          <w:color w:val="auto"/>
        </w:rPr>
        <w:t>The Issuers and the Guarantors shall use commercially reasonable efforts to cause the Shelf Registration to be declared effective under the Securities Act on or prior to the Effectiveness Date and to keep the Initial Shelf Registration continuously effective under the Securities Act until the earliest of (i) the date that is seven years after the Issue Date, (ii) such shorter period ending when all Registrable Securities covered by the Initial Shelf Registration have been sold in the manner set forth and as contemplated in the Initial Shelf Registration or, if applicable, a Subsequent Shelf Registration or (iii) the date upon which all Registrable Securities are resold to the public pursuant to Rule 144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Effectiveness Period in respect of the Initial Shelf Registration shall be extended to the extent required to permit dealers to comply with the applicable prospectus delivery requirements of Rule 174 under the Securities Act and as otherwise provided herein. Notwithstanding anything to the contrary in this Agreement, at any time, the Issuers may delay the filing of any Initial Shelf Registration Statement or delay or suspend the effectiveness thereof, for a reasonable period of time, but not in excess of 90 consecutive days or more than three (3) times during any calendar year (each, a “</w:t>
      </w:r>
      <w:r>
        <w:rPr>
          <w:rFonts w:ascii="Arial" w:cs="Arial" w:eastAsia="Arial" w:hAnsi="Arial"/>
          <w:sz w:val="18"/>
          <w:szCs w:val="18"/>
          <w:u w:val="single" w:color="auto"/>
          <w:color w:val="auto"/>
        </w:rPr>
        <w:t>Shelf Suspension Period</w:t>
      </w:r>
      <w:r>
        <w:rPr>
          <w:rFonts w:ascii="Arial" w:cs="Arial" w:eastAsia="Arial" w:hAnsi="Arial"/>
          <w:sz w:val="18"/>
          <w:szCs w:val="18"/>
          <w:color w:val="auto"/>
        </w:rPr>
        <w:t>”), if the Boards of Directors of the Issuers determine reasonably and in good faith that the filing of any such Initial Shelf Registration Statement or the continuing effectiveness thereof would require the disclosure of non-public material information that, in the reasonable judgment of the Boards of Directors of the Issuers, would be detrimental to the Issuers if so disclosed or would otherwise materially adversely affect a financing, acquisition, disposition, merger or other material transaction or such disclosure is required by applicable law.</w:t>
      </w:r>
    </w:p>
    <w:p>
      <w:pPr>
        <w:spacing w:after="0" w:line="71" w:lineRule="exact"/>
        <w:rPr>
          <w:sz w:val="20"/>
          <w:szCs w:val="20"/>
          <w:color w:val="auto"/>
        </w:rPr>
      </w:pPr>
    </w:p>
    <w:p>
      <w:pPr>
        <w:jc w:val="both"/>
        <w:ind w:left="4" w:right="20" w:firstLine="648"/>
        <w:spacing w:after="0" w:line="250" w:lineRule="auto"/>
        <w:rPr>
          <w:sz w:val="20"/>
          <w:szCs w:val="20"/>
          <w:color w:val="auto"/>
        </w:rPr>
      </w:pPr>
      <w:r>
        <w:rPr>
          <w:rFonts w:ascii="Arial" w:cs="Arial" w:eastAsia="Arial" w:hAnsi="Arial"/>
          <w:sz w:val="20"/>
          <w:szCs w:val="20"/>
          <w:color w:val="auto"/>
        </w:rPr>
        <w:t>Notwithstanding anything in this Agreement to the contrary, neither the Issuers nor the Guarantors shall be obligated to file a Shelf Registration, or cause a Shelf Registration to be effective or continue to be effective, prior to the date that is five years after the Issue Date.</w:t>
      </w:r>
    </w:p>
    <w:p>
      <w:pPr>
        <w:sectPr>
          <w:pgSz w:w="11900" w:h="16838" w:orient="portrait"/>
          <w:cols w:equalWidth="0" w:num="1">
            <w:col w:w="10564"/>
          </w:cols>
          <w:pgMar w:left="976" w:top="339" w:right="359" w:bottom="1440" w:gutter="0" w:footer="0" w:header="0"/>
        </w:sectPr>
      </w:pPr>
    </w:p>
    <w:bookmarkStart w:id="100" w:name="page101"/>
    <w:bookmarkEnd w:id="100"/>
    <w:p>
      <w:pPr>
        <w:ind w:left="4" w:firstLine="644"/>
        <w:spacing w:after="0" w:line="300" w:lineRule="auto"/>
        <w:tabs>
          <w:tab w:leader="none" w:pos="1084" w:val="left"/>
        </w:tabs>
        <w:numPr>
          <w:ilvl w:val="1"/>
          <w:numId w:val="36"/>
        </w:numPr>
        <w:rPr>
          <w:rFonts w:ascii="Arial" w:cs="Arial" w:eastAsia="Arial" w:hAnsi="Arial"/>
          <w:sz w:val="19"/>
          <w:szCs w:val="19"/>
          <w:color w:val="auto"/>
        </w:rPr>
      </w:pPr>
      <w:r>
        <w:rPr>
          <w:rFonts w:ascii="Arial" w:cs="Arial" w:eastAsia="Arial" w:hAnsi="Arial"/>
          <w:sz w:val="18"/>
          <w:szCs w:val="18"/>
          <w:u w:val="single" w:color="auto"/>
          <w:color w:val="auto"/>
        </w:rPr>
        <w:t>Withdrawal of Stop Orders; Subsequent Shelf Registrations</w:t>
      </w:r>
      <w:r>
        <w:rPr>
          <w:rFonts w:ascii="Arial" w:cs="Arial" w:eastAsia="Arial" w:hAnsi="Arial"/>
          <w:sz w:val="18"/>
          <w:szCs w:val="18"/>
          <w:color w:val="auto"/>
        </w:rPr>
        <w:t>. If the Initial Shelf Registration or any Subsequent Shelf Registration ceases to be effective for any reason at any time during the Effectiveness Period (other than because of the sale of all of the Securities registered thereunder or a Shelf Suspension Period), the Issuers and the Guarantors shall use commercially reasonable efforts to obtain the prompt withdrawal of any order suspending the effectiveness thereof, and in any event shall file an additional Shelf Registration Statement pursuant to Rule 415 covering all of the Registrable Securities covered by and not sold under the Initial Shelf Registration or an earlier Subsequent Shelf Registration (each, a “</w:t>
      </w:r>
      <w:r>
        <w:rPr>
          <w:rFonts w:ascii="Arial" w:cs="Arial" w:eastAsia="Arial" w:hAnsi="Arial"/>
          <w:sz w:val="18"/>
          <w:szCs w:val="18"/>
          <w:u w:val="single" w:color="auto"/>
          <w:color w:val="auto"/>
        </w:rPr>
        <w:t>Subsequent Shelf Registration</w:t>
      </w:r>
      <w:r>
        <w:rPr>
          <w:rFonts w:ascii="Arial" w:cs="Arial" w:eastAsia="Arial" w:hAnsi="Arial"/>
          <w:sz w:val="18"/>
          <w:szCs w:val="18"/>
          <w:color w:val="auto"/>
        </w:rPr>
        <w:t>”). If a Subsequent Shelf Registration is filed, the Issuers shall use commercially reasonable efforts to cause the Subsequent Shelf Registration to be declared effective under the Securities Act as soon as practicable after such filing and to keep such subsequent Shelf Registration continuously effective for a period equal to the number of days in the Effectiveness Period less the aggregate number of days during which the Initial Shelf Registration or any Subsequent Shelf Registration was previously continuously effective. As used herein the term “</w:t>
      </w:r>
      <w:r>
        <w:rPr>
          <w:rFonts w:ascii="Arial" w:cs="Arial" w:eastAsia="Arial" w:hAnsi="Arial"/>
          <w:sz w:val="18"/>
          <w:szCs w:val="18"/>
          <w:u w:val="single" w:color="auto"/>
          <w:color w:val="auto"/>
        </w:rPr>
        <w:t>Shelf</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w:t>
      </w:r>
      <w:r>
        <w:rPr>
          <w:rFonts w:ascii="Arial" w:cs="Arial" w:eastAsia="Arial" w:hAnsi="Arial"/>
          <w:sz w:val="18"/>
          <w:szCs w:val="18"/>
          <w:color w:val="auto"/>
        </w:rPr>
        <w:t>” means the Initial Shelf Registration and any Subsequent Shelf Registration.</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4" w:right="40" w:firstLine="644"/>
        <w:spacing w:after="0" w:line="266" w:lineRule="auto"/>
        <w:tabs>
          <w:tab w:leader="none" w:pos="1072" w:val="left"/>
        </w:tabs>
        <w:numPr>
          <w:ilvl w:val="1"/>
          <w:numId w:val="36"/>
        </w:numPr>
        <w:rPr>
          <w:rFonts w:ascii="Arial" w:cs="Arial" w:eastAsia="Arial" w:hAnsi="Arial"/>
          <w:sz w:val="22"/>
          <w:szCs w:val="22"/>
          <w:color w:val="auto"/>
        </w:rPr>
      </w:pPr>
      <w:r>
        <w:rPr>
          <w:rFonts w:ascii="Arial" w:cs="Arial" w:eastAsia="Arial" w:hAnsi="Arial"/>
          <w:sz w:val="20"/>
          <w:szCs w:val="20"/>
          <w:u w:val="single" w:color="auto"/>
          <w:color w:val="auto"/>
        </w:rPr>
        <w:t>Supplements and Amendments</w:t>
      </w:r>
      <w:r>
        <w:rPr>
          <w:rFonts w:ascii="Arial" w:cs="Arial" w:eastAsia="Arial" w:hAnsi="Arial"/>
          <w:sz w:val="20"/>
          <w:szCs w:val="20"/>
          <w:color w:val="auto"/>
        </w:rPr>
        <w:t>. The Issuers shall promptly supplement and amend the Shelf Registration if required by the rules, regulations or instructions applicable to the registration form used for such Shelf Registration, if required by the Securities Act, or if reasonably requested by the Holders of a majority in aggregate principal amount of the Registrable Securities (or their counsel) covered by such Registration Statement with respect to the information included therein with respect to one or more of such Holders, or, if reasonably requested by any underwriter of such Registrable Securities, with respect to the information included therein with respect to such underwriter.</w:t>
      </w:r>
    </w:p>
    <w:p>
      <w:pPr>
        <w:spacing w:after="0" w:line="211" w:lineRule="exact"/>
        <w:rPr>
          <w:rFonts w:ascii="Arial" w:cs="Arial" w:eastAsia="Arial" w:hAnsi="Arial"/>
          <w:sz w:val="22"/>
          <w:szCs w:val="22"/>
          <w:color w:val="auto"/>
        </w:rPr>
      </w:pPr>
    </w:p>
    <w:p>
      <w:pPr>
        <w:ind w:left="344" w:hanging="344"/>
        <w:spacing w:after="0"/>
        <w:tabs>
          <w:tab w:leader="none" w:pos="344" w:val="left"/>
        </w:tabs>
        <w:numPr>
          <w:ilvl w:val="0"/>
          <w:numId w:val="37"/>
        </w:numPr>
        <w:rPr>
          <w:rFonts w:ascii="Arial" w:cs="Arial" w:eastAsia="Arial" w:hAnsi="Arial"/>
          <w:sz w:val="22"/>
          <w:szCs w:val="22"/>
          <w:color w:val="auto"/>
        </w:rPr>
      </w:pPr>
      <w:r>
        <w:rPr>
          <w:rFonts w:ascii="Arial" w:cs="Arial" w:eastAsia="Arial" w:hAnsi="Arial"/>
          <w:sz w:val="20"/>
          <w:szCs w:val="20"/>
          <w:color w:val="auto"/>
        </w:rPr>
        <w:t>[Reserved].</w:t>
      </w:r>
    </w:p>
    <w:p>
      <w:pPr>
        <w:spacing w:after="0" w:line="233" w:lineRule="exact"/>
        <w:rPr>
          <w:rFonts w:ascii="Arial" w:cs="Arial" w:eastAsia="Arial" w:hAnsi="Arial"/>
          <w:sz w:val="22"/>
          <w:szCs w:val="22"/>
          <w:color w:val="auto"/>
        </w:rPr>
      </w:pPr>
    </w:p>
    <w:p>
      <w:pPr>
        <w:ind w:left="344" w:hanging="344"/>
        <w:spacing w:after="0"/>
        <w:tabs>
          <w:tab w:leader="none" w:pos="344" w:val="left"/>
        </w:tabs>
        <w:numPr>
          <w:ilvl w:val="0"/>
          <w:numId w:val="37"/>
        </w:numPr>
        <w:rPr>
          <w:rFonts w:ascii="Arial" w:cs="Arial" w:eastAsia="Arial" w:hAnsi="Arial"/>
          <w:sz w:val="22"/>
          <w:szCs w:val="22"/>
          <w:color w:val="auto"/>
        </w:rPr>
      </w:pPr>
      <w:r>
        <w:rPr>
          <w:rFonts w:ascii="Arial" w:cs="Arial" w:eastAsia="Arial" w:hAnsi="Arial"/>
          <w:sz w:val="20"/>
          <w:szCs w:val="20"/>
          <w:u w:val="single" w:color="auto"/>
          <w:color w:val="auto"/>
        </w:rPr>
        <w:t>Additional Interest</w:t>
      </w:r>
    </w:p>
    <w:p>
      <w:pPr>
        <w:spacing w:after="0" w:line="235" w:lineRule="exact"/>
        <w:rPr>
          <w:rFonts w:ascii="Arial" w:cs="Arial" w:eastAsia="Arial" w:hAnsi="Arial"/>
          <w:sz w:val="22"/>
          <w:szCs w:val="22"/>
          <w:color w:val="auto"/>
        </w:rPr>
      </w:pPr>
    </w:p>
    <w:p>
      <w:pPr>
        <w:ind w:left="4" w:firstLine="644"/>
        <w:spacing w:after="0" w:line="299" w:lineRule="auto"/>
        <w:tabs>
          <w:tab w:leader="none" w:pos="1072" w:val="left"/>
        </w:tabs>
        <w:numPr>
          <w:ilvl w:val="1"/>
          <w:numId w:val="37"/>
        </w:numPr>
        <w:rPr>
          <w:rFonts w:ascii="Arial" w:cs="Arial" w:eastAsia="Arial" w:hAnsi="Arial"/>
          <w:sz w:val="19"/>
          <w:szCs w:val="19"/>
          <w:color w:val="auto"/>
        </w:rPr>
      </w:pPr>
      <w:r>
        <w:rPr>
          <w:rFonts w:ascii="Arial" w:cs="Arial" w:eastAsia="Arial" w:hAnsi="Arial"/>
          <w:sz w:val="18"/>
          <w:szCs w:val="18"/>
          <w:color w:val="auto"/>
        </w:rPr>
        <w:t>The Issuers, the Guarantors and the Initial Purchasers agree that the Holders will suffer damages if the Issuers or the Guarantors fail to fulfill their respective obligations under Section 2 or Section 3 hereof and that it would not be feasible to ascertain the extent of such damages with precision. Accordingly, the Issuers and the Guarantors agree to pay, jointly and severally, as liquidated damages, additional interest on the Registrable Securities of the applicable series of Notes (“</w:t>
      </w:r>
      <w:r>
        <w:rPr>
          <w:rFonts w:ascii="Arial" w:cs="Arial" w:eastAsia="Arial" w:hAnsi="Arial"/>
          <w:sz w:val="18"/>
          <w:szCs w:val="18"/>
          <w:u w:val="single" w:color="auto"/>
          <w:color w:val="auto"/>
        </w:rPr>
        <w:t>Additional Interest</w:t>
      </w:r>
      <w:r>
        <w:rPr>
          <w:rFonts w:ascii="Arial" w:cs="Arial" w:eastAsia="Arial" w:hAnsi="Arial"/>
          <w:sz w:val="18"/>
          <w:szCs w:val="18"/>
          <w:color w:val="auto"/>
        </w:rPr>
        <w:t xml:space="preserve">”) if (A) the Issuers have neither (i) exchanged Exchange Securities for all Securities of such series validly tendered in accordance with the terms of the Exchange Offer nor (ii) had a Shelf Registration Statement declared effective, in either case on or prior to the day that is five years after the Issue Date or (B) if applicable, a Shelf Registration has been declared effective and such Shelf Registration ceases to be effective at any time during the Effectiveness Period (other than because of the sale of all of the Securities registered thereunder), then Additional Interest shall accrue on the principal amount of the applicable series of Notes at a rate of 0.25% per annum (which rate will be increased by an additional 0.25% per annum for each subsequent 90-day period that such Additional Interest continues to accrue,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rate at which such Additional Interest accrues may in no event exceed 1.00% per annum) (such Additional Interest to be calculated by the Issuers) commencing on the (x) the day after the date that is five years after the Issue Date, in the case of (A) above or (y) the day such Shelf Registration (if required) ceases to be effective in the case of (B)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exchange of the Exchange Securities for all Securities of such series tendered (in the case of clause (A) of this Section 5), or upon the effectiveness of the applicable Shelf Registration</w:t>
      </w:r>
    </w:p>
    <w:p>
      <w:pPr>
        <w:sectPr>
          <w:pgSz w:w="11900" w:h="16838" w:orient="portrait"/>
          <w:cols w:equalWidth="0" w:num="1">
            <w:col w:w="10564"/>
          </w:cols>
          <w:pgMar w:left="976" w:top="582" w:right="359" w:bottom="1440" w:gutter="0" w:footer="0" w:header="0"/>
        </w:sectPr>
      </w:pPr>
    </w:p>
    <w:bookmarkStart w:id="101" w:name="page102"/>
    <w:bookmarkEnd w:id="101"/>
    <w:p>
      <w:pPr>
        <w:ind w:left="4" w:right="100"/>
        <w:spacing w:after="0" w:line="278" w:lineRule="auto"/>
        <w:rPr>
          <w:sz w:val="20"/>
          <w:szCs w:val="20"/>
          <w:color w:val="auto"/>
        </w:rPr>
      </w:pPr>
      <w:r>
        <w:rPr>
          <w:rFonts w:ascii="Arial" w:cs="Arial" w:eastAsia="Arial" w:hAnsi="Arial"/>
          <w:sz w:val="18"/>
          <w:szCs w:val="18"/>
          <w:color w:val="auto"/>
        </w:rPr>
        <w:t xml:space="preserve">Statement which had ceased to remain effective (in the case of (B) of this Section 5), Additional Interest on the Notes of such series in respect of which such events relate as a result of such clause (or the relevant subclause thereof), as the case may be, shall cease to accrue. Notwithstanding any other provisions of this Section 5, none of the Issuers or the Guarantors shall be obligated to pay Additional Interest provided in Section 5(a)(B) during a Shelf Suspension Period permitted by Section 3(a)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no Additional Interest shall accrue on the Notes following the seventh anniversary of the Issue Date.</w:t>
      </w:r>
    </w:p>
    <w:p>
      <w:pPr>
        <w:spacing w:after="0" w:line="165" w:lineRule="exact"/>
        <w:rPr>
          <w:sz w:val="20"/>
          <w:szCs w:val="20"/>
          <w:color w:val="auto"/>
        </w:rPr>
      </w:pPr>
    </w:p>
    <w:p>
      <w:pPr>
        <w:ind w:left="4" w:right="160" w:firstLine="648"/>
        <w:spacing w:after="0" w:line="250" w:lineRule="auto"/>
        <w:rPr>
          <w:sz w:val="20"/>
          <w:szCs w:val="20"/>
          <w:color w:val="auto"/>
        </w:rPr>
      </w:pPr>
      <w:r>
        <w:rPr>
          <w:rFonts w:ascii="Arial" w:cs="Arial" w:eastAsia="Arial" w:hAnsi="Arial"/>
          <w:sz w:val="20"/>
          <w:szCs w:val="20"/>
          <w:color w:val="auto"/>
        </w:rPr>
        <w:t>Notwithstanding anything in this Agreement to the contrary, neither the Issuers nor the Guarantors shall be obligated to pay any Additional Interest, and no Additional Interest shall accrue, on any series of Notes prior to the date that is five years after the Issue Date.</w:t>
      </w:r>
    </w:p>
    <w:p>
      <w:pPr>
        <w:spacing w:after="0" w:line="213" w:lineRule="exact"/>
        <w:rPr>
          <w:sz w:val="20"/>
          <w:szCs w:val="20"/>
          <w:color w:val="auto"/>
        </w:rPr>
      </w:pPr>
    </w:p>
    <w:p>
      <w:pPr>
        <w:ind w:left="4" w:firstLine="644"/>
        <w:spacing w:after="0" w:line="301" w:lineRule="auto"/>
        <w:tabs>
          <w:tab w:leader="none" w:pos="1084" w:val="left"/>
        </w:tabs>
        <w:numPr>
          <w:ilvl w:val="1"/>
          <w:numId w:val="38"/>
        </w:numPr>
        <w:rPr>
          <w:rFonts w:ascii="Arial" w:cs="Arial" w:eastAsia="Arial" w:hAnsi="Arial"/>
          <w:sz w:val="19"/>
          <w:szCs w:val="19"/>
          <w:color w:val="auto"/>
        </w:rPr>
      </w:pPr>
      <w:r>
        <w:rPr>
          <w:rFonts w:ascii="Arial" w:cs="Arial" w:eastAsia="Arial" w:hAnsi="Arial"/>
          <w:sz w:val="18"/>
          <w:szCs w:val="18"/>
          <w:color w:val="auto"/>
        </w:rPr>
        <w:t>The Issuers shall notify the applicable Trustee within three business days after each and every date on which an event occurs in respect of which Additional Interest is required to be paid (an “</w:t>
      </w:r>
      <w:r>
        <w:rPr>
          <w:rFonts w:ascii="Arial" w:cs="Arial" w:eastAsia="Arial" w:hAnsi="Arial"/>
          <w:sz w:val="18"/>
          <w:szCs w:val="18"/>
          <w:u w:val="single" w:color="auto"/>
          <w:color w:val="auto"/>
        </w:rPr>
        <w:t>Event Date</w:t>
      </w:r>
      <w:r>
        <w:rPr>
          <w:rFonts w:ascii="Arial" w:cs="Arial" w:eastAsia="Arial" w:hAnsi="Arial"/>
          <w:sz w:val="18"/>
          <w:szCs w:val="18"/>
          <w:color w:val="auto"/>
        </w:rPr>
        <w:t>”). Any amounts of Additional Interest due pursuant to clause (a) of this Section 5 will be payable in cash semiannually on the interest payment dates stated in the Indenture with respect to the applicable series of Notes (to the holders of record of such series of Notes on the record dates stated in the Indenture with respect to such series of Notes immediately preceding such dates), commencing with the first such date occurring after any such Additional Interest commences to accrue with respect to such series of Notes. The amount of Additional Interest will be determined by the Issuers by multiplying the applicable Additional Interest rate by the principal amount of the applicable series of Registrable Securities, multiplied by a fraction, the numerator of which is the number of days such Additional Interest rate was applicable during such period (determined on the basis of a 360 day year comprised of twelve 30 day months and, in the case of a partial month, the actual number of days elapsed), and the denominator of which is 360.</w:t>
      </w:r>
    </w:p>
    <w:p>
      <w:pPr>
        <w:spacing w:after="0" w:line="181" w:lineRule="exact"/>
        <w:rPr>
          <w:rFonts w:ascii="Arial" w:cs="Arial" w:eastAsia="Arial" w:hAnsi="Arial"/>
          <w:sz w:val="19"/>
          <w:szCs w:val="19"/>
          <w:color w:val="auto"/>
        </w:rPr>
      </w:pPr>
    </w:p>
    <w:p>
      <w:pPr>
        <w:ind w:left="344" w:hanging="344"/>
        <w:spacing w:after="0"/>
        <w:tabs>
          <w:tab w:leader="none" w:pos="344" w:val="left"/>
        </w:tabs>
        <w:numPr>
          <w:ilvl w:val="0"/>
          <w:numId w:val="39"/>
        </w:numPr>
        <w:rPr>
          <w:rFonts w:ascii="Arial" w:cs="Arial" w:eastAsia="Arial" w:hAnsi="Arial"/>
          <w:sz w:val="22"/>
          <w:szCs w:val="22"/>
          <w:color w:val="auto"/>
        </w:rPr>
      </w:pPr>
      <w:r>
        <w:rPr>
          <w:rFonts w:ascii="Arial" w:cs="Arial" w:eastAsia="Arial" w:hAnsi="Arial"/>
          <w:sz w:val="20"/>
          <w:szCs w:val="20"/>
          <w:u w:val="single" w:color="auto"/>
          <w:color w:val="auto"/>
        </w:rPr>
        <w:t>Registration Procedures</w:t>
      </w:r>
    </w:p>
    <w:p>
      <w:pPr>
        <w:spacing w:after="0" w:line="209" w:lineRule="exact"/>
        <w:rPr>
          <w:sz w:val="20"/>
          <w:szCs w:val="20"/>
          <w:color w:val="auto"/>
        </w:rPr>
      </w:pPr>
    </w:p>
    <w:p>
      <w:pPr>
        <w:jc w:val="both"/>
        <w:ind w:left="4" w:right="300" w:firstLine="648"/>
        <w:spacing w:after="0" w:line="246" w:lineRule="auto"/>
        <w:rPr>
          <w:sz w:val="20"/>
          <w:szCs w:val="20"/>
          <w:color w:val="auto"/>
        </w:rPr>
      </w:pPr>
      <w:r>
        <w:rPr>
          <w:rFonts w:ascii="Arial" w:cs="Arial" w:eastAsia="Arial" w:hAnsi="Arial"/>
          <w:sz w:val="20"/>
          <w:szCs w:val="20"/>
          <w:color w:val="auto"/>
        </w:rPr>
        <w:t>In connection with the filing of any Registration Statement pursuant to Section 2 or 3 hereof, the Issuers shall effect such registrations to permit the sale of the securities covered thereby in accordance with the intended method or methods of disposition thereof, and pursuant thereto and in connection with any Registration Statement filed by the Issuers hereunder, the Issuers and the Guarantors shall:</w:t>
      </w:r>
    </w:p>
    <w:p>
      <w:pPr>
        <w:spacing w:after="0" w:line="218" w:lineRule="exact"/>
        <w:rPr>
          <w:sz w:val="20"/>
          <w:szCs w:val="20"/>
          <w:color w:val="auto"/>
        </w:rPr>
      </w:pPr>
    </w:p>
    <w:p>
      <w:pPr>
        <w:ind w:left="644" w:firstLine="652"/>
        <w:spacing w:after="0" w:line="301" w:lineRule="auto"/>
        <w:tabs>
          <w:tab w:leader="none" w:pos="1712" w:val="left"/>
        </w:tabs>
        <w:numPr>
          <w:ilvl w:val="0"/>
          <w:numId w:val="40"/>
        </w:numPr>
        <w:rPr>
          <w:rFonts w:ascii="Arial" w:cs="Arial" w:eastAsia="Arial" w:hAnsi="Arial"/>
          <w:sz w:val="19"/>
          <w:szCs w:val="19"/>
          <w:color w:val="auto"/>
        </w:rPr>
      </w:pPr>
      <w:r>
        <w:rPr>
          <w:rFonts w:ascii="Arial" w:cs="Arial" w:eastAsia="Arial" w:hAnsi="Arial"/>
          <w:sz w:val="18"/>
          <w:szCs w:val="18"/>
          <w:color w:val="auto"/>
        </w:rPr>
        <w:t xml:space="preserve">Prepare and file with the SEC (prior to the applicable Filing Date in the case of a Shelf Registration), a Registration Statement or Registration Statements as prescribed by Section 2 or 3 hereof, and use reasonable best efforts to cause each such Registration Statement to become effective and remain effective as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(1) such filing is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relating thereto from whom the Issuers have received prior written notice that it will be a Participating Broker-Dealer in the Exchange Offer, before filing any Registration Statement or Prospectus or any amendments or supplements thereto, the Issuers shall furnish to and afford counsel for the Holders of the Registrable Securities covered by such Registration Statement (with respect to a Registration Statement filed pursuant to Section 3 hereof) or counsel for such Participating Broker-Dealer (with respect to any</w:t>
      </w:r>
    </w:p>
    <w:p>
      <w:pPr>
        <w:sectPr>
          <w:pgSz w:w="11900" w:h="16838" w:orient="portrait"/>
          <w:cols w:equalWidth="0" w:num="1">
            <w:col w:w="10584"/>
          </w:cols>
          <w:pgMar w:left="976" w:top="339" w:right="339" w:bottom="1440" w:gutter="0" w:footer="0" w:header="0"/>
        </w:sectPr>
      </w:pPr>
    </w:p>
    <w:bookmarkStart w:id="102" w:name="page103"/>
    <w:bookmarkEnd w:id="102"/>
    <w:p>
      <w:pPr>
        <w:ind w:left="180" w:right="40"/>
        <w:spacing w:after="0" w:line="259" w:lineRule="auto"/>
        <w:rPr>
          <w:sz w:val="20"/>
          <w:szCs w:val="20"/>
          <w:color w:val="auto"/>
        </w:rPr>
      </w:pPr>
      <w:r>
        <w:rPr>
          <w:rFonts w:ascii="Arial" w:cs="Arial" w:eastAsia="Arial" w:hAnsi="Arial"/>
          <w:sz w:val="19"/>
          <w:szCs w:val="19"/>
          <w:color w:val="auto"/>
        </w:rPr>
        <w:t>such Registration Statement), as the case may be, and counsel to the managing underwriters, if any, a reasonable opportunity to review copies of all such documents (including copies of any documents to be incorporated by reference therein and all exhibits thereto) proposed to be filed (in each case at least three business days prior to such filing). The Issuers shall not file any Registration Statement or Prospectus or any amendments or supplements thereto if the Holders of a majority in aggregate principal amount of the Registrable Securities covered by such Registration Statement, their counsel, or the managing underwriters, if any, shall reasonably object.</w:t>
      </w:r>
    </w:p>
    <w:p>
      <w:pPr>
        <w:spacing w:after="0" w:line="205" w:lineRule="exact"/>
        <w:rPr>
          <w:sz w:val="20"/>
          <w:szCs w:val="20"/>
          <w:color w:val="auto"/>
        </w:rPr>
      </w:pPr>
    </w:p>
    <w:p>
      <w:pPr>
        <w:ind w:left="180" w:firstLine="652"/>
        <w:spacing w:after="0" w:line="300" w:lineRule="auto"/>
        <w:tabs>
          <w:tab w:leader="none" w:pos="1260" w:val="left"/>
        </w:tabs>
        <w:numPr>
          <w:ilvl w:val="1"/>
          <w:numId w:val="41"/>
        </w:numPr>
        <w:rPr>
          <w:rFonts w:ascii="Arial" w:cs="Arial" w:eastAsia="Arial" w:hAnsi="Arial"/>
          <w:sz w:val="19"/>
          <w:szCs w:val="19"/>
          <w:color w:val="auto"/>
        </w:rPr>
      </w:pPr>
      <w:r>
        <w:rPr>
          <w:rFonts w:ascii="Arial" w:cs="Arial" w:eastAsia="Arial" w:hAnsi="Arial"/>
          <w:sz w:val="18"/>
          <w:szCs w:val="18"/>
          <w:color w:val="auto"/>
        </w:rPr>
        <w:t>Prepare and file with the SEC such amendments and post-effective amendments to each Shelf Registration Statement or Exchange Offer Registration Statement, as the case may be, as may be necessary to maintain the effectiveness of such Registration Statement during the Effectiveness Period (other than during a Shelf Suspension Period), the Applicable Period or until consummation of the Exchange Offer, as the case may be; cause the related prospectus to be supplemented by any prospectus supplement required by applicable law, and as so supplemented to be filed pursuant to Rule 424; and comply with the provisions of the Securities Act and the Exchange Act applicable to it with respect to the disposition of all securities covered by such Registration Statement as so amended or in such Prospectus as so supplemented and with respect to the subsequent resale of any securities being sold by an Participating Broker-Dealer covered by any such Prospectus in all material respects. The Issuers and the Guarantors shall be deemed not to have used commercially reasonable efforts to keep a Registration Statement effective if they voluntarily take any action that is reasonably expected to result in selling Holders of the Registrable Securities covered thereby or Participating Broker-Dealers seeking to sell Exchange Securities not being able to sell such Registrable Securities or such Exchange Securities during that period unless such action is required by applicable law or permitted by this Agreement.</w:t>
      </w:r>
    </w:p>
    <w:p>
      <w:pPr>
        <w:spacing w:after="0" w:line="186" w:lineRule="exact"/>
        <w:rPr>
          <w:rFonts w:ascii="Arial" w:cs="Arial" w:eastAsia="Arial" w:hAnsi="Arial"/>
          <w:sz w:val="19"/>
          <w:szCs w:val="19"/>
          <w:color w:val="auto"/>
        </w:rPr>
      </w:pPr>
    </w:p>
    <w:p>
      <w:pPr>
        <w:ind w:left="180" w:right="80" w:firstLine="652"/>
        <w:spacing w:after="0" w:line="295" w:lineRule="auto"/>
        <w:tabs>
          <w:tab w:leader="none" w:pos="1248" w:val="left"/>
        </w:tabs>
        <w:numPr>
          <w:ilvl w:val="1"/>
          <w:numId w:val="41"/>
        </w:numPr>
        <w:rPr>
          <w:rFonts w:ascii="Arial" w:cs="Arial" w:eastAsia="Arial" w:hAnsi="Arial"/>
          <w:sz w:val="19"/>
          <w:szCs w:val="19"/>
          <w:color w:val="auto"/>
        </w:rPr>
      </w:pPr>
      <w:r>
        <w:rPr>
          <w:rFonts w:ascii="Arial" w:cs="Arial" w:eastAsia="Arial" w:hAnsi="Arial"/>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relating thereto from whom the Issuers have received written notice that it will be a Participating Broker-Dealer in the Exchange Offer, notify the selling Holders of Registrable Securities (with respect to a Registration Statement filed pursuant to Section 3 hereof), or each such Participating Broker-Dealer (with respect to any such Registration Statement), as the case may be, their counsel and the managing underwriters, if any, promptly (but in any event within three Business Days), and confirm such notice in writing,</w:t>
      </w:r>
    </w:p>
    <w:p>
      <w:pPr>
        <w:ind w:left="180" w:right="20" w:firstLine="4"/>
        <w:spacing w:after="0" w:line="334" w:lineRule="auto"/>
        <w:tabs>
          <w:tab w:leader="none" w:pos="416"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when a Prospectus or any prospectus supplement or post-effective amendment has been filed, and, with respect to a Registration Statement or any post-effective amendment, when the same has become effective under the Securities Act (including in such notice a written statement that any Holder may, upon request, obtain, at the sole expense of the Issuers, one conformed copy (which may be in electronic form) of such Registration Statement or post-effective amendment including financial statements and schedules, documents incorporated or deemed to be incorporated by reference and exhibits), (ii) of the issuance by the SEC of any stop order suspending the effectiveness of a Registration Statement or of any order preventing or suspending the use of any preliminary prospectus or the initiation of any proceedings for that purpose,</w:t>
      </w:r>
    </w:p>
    <w:p>
      <w:pPr>
        <w:spacing w:after="0" w:line="3" w:lineRule="exact"/>
        <w:rPr>
          <w:rFonts w:ascii="Arial" w:cs="Arial" w:eastAsia="Arial" w:hAnsi="Arial"/>
          <w:sz w:val="16"/>
          <w:szCs w:val="16"/>
          <w:color w:val="auto"/>
        </w:rPr>
      </w:pPr>
    </w:p>
    <w:p>
      <w:pPr>
        <w:ind w:left="540" w:hanging="356"/>
        <w:spacing w:after="0"/>
        <w:tabs>
          <w:tab w:leader="none" w:pos="5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if at any time when a prospectus is required by the Securities Act to be delivered in connection</w:t>
      </w:r>
    </w:p>
    <w:p>
      <w:pPr>
        <w:sectPr>
          <w:pgSz w:w="11900" w:h="16838" w:orient="portrait"/>
          <w:cols w:equalWidth="0" w:num="1">
            <w:col w:w="10100"/>
          </w:cols>
          <w:pgMar w:left="1440" w:top="339" w:right="359" w:bottom="1440" w:gutter="0" w:footer="0" w:header="0"/>
        </w:sectPr>
      </w:pPr>
    </w:p>
    <w:bookmarkStart w:id="103" w:name="page104"/>
    <w:bookmarkEnd w:id="103"/>
    <w:p>
      <w:pPr>
        <w:ind w:left="180" w:right="20"/>
        <w:spacing w:after="0" w:line="269" w:lineRule="auto"/>
        <w:rPr>
          <w:sz w:val="20"/>
          <w:szCs w:val="20"/>
          <w:color w:val="auto"/>
        </w:rPr>
      </w:pPr>
      <w:r>
        <w:rPr>
          <w:rFonts w:ascii="Arial" w:cs="Arial" w:eastAsia="Arial" w:hAnsi="Arial"/>
          <w:sz w:val="18"/>
          <w:szCs w:val="18"/>
          <w:color w:val="auto"/>
        </w:rPr>
        <w:t>with sales of the Registrable Securities or resales of Exchange Securities by Participating Broker-Dealers the representations and warranties of the Issuers contained in any agreement (including any underwriting agreement) contemplated by Section 6(m) hereof cease to be true and correct, (iv) of the receipt by the Issuers of any notification with respect to the suspension of the qualification or exemption from qualification of a Registration Statement or any of the Registrable Securities or the Exchange Securities to be sold by any Participating Broker-Dealer for offer or sale in any jurisdiction, or the initiation or threatening of any proceeding for such purpose, (v) of the happening of any event, the existence of any condition or any information becoming known that makes any statement made in such Registration Statement or related Prospectus untrue in any material respect or that requires the making of any changes in or amendments or supplements to such Registration Statement or Prospectus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the light of the circumstances under which they were made, not misleading, and (vi) of the Issuers’ determination that a post-effective amendment to a Registration Statement would be appropriate.</w:t>
      </w:r>
    </w:p>
    <w:p>
      <w:pPr>
        <w:spacing w:after="0" w:line="208" w:lineRule="exact"/>
        <w:rPr>
          <w:sz w:val="20"/>
          <w:szCs w:val="20"/>
          <w:color w:val="auto"/>
        </w:rPr>
      </w:pPr>
    </w:p>
    <w:p>
      <w:pPr>
        <w:ind w:left="180" w:right="80" w:firstLine="652"/>
        <w:spacing w:after="0" w:line="265" w:lineRule="auto"/>
        <w:tabs>
          <w:tab w:leader="none" w:pos="1260" w:val="left"/>
        </w:tabs>
        <w:numPr>
          <w:ilvl w:val="0"/>
          <w:numId w:val="44"/>
        </w:numPr>
        <w:rPr>
          <w:rFonts w:ascii="Arial" w:cs="Arial" w:eastAsia="Arial" w:hAnsi="Arial"/>
          <w:sz w:val="22"/>
          <w:szCs w:val="22"/>
          <w:color w:val="auto"/>
        </w:rPr>
      </w:pPr>
      <w:r>
        <w:rPr>
          <w:rFonts w:ascii="Arial" w:cs="Arial" w:eastAsia="Arial" w:hAnsi="Arial"/>
          <w:sz w:val="20"/>
          <w:szCs w:val="20"/>
          <w:color w:val="auto"/>
        </w:rPr>
        <w:t>Use commercially reasonable efforts to prevent the issuance of any order suspending the effectiveness of a Registration Statement or of any order preventing or suspending the use of a Prospectus or suspending the qualification (or exemption from qualification) of any of the Registrable Securities or the Exchange Securities to be sold by any Participating Broker-Dealer, for sale in any jurisdiction.</w:t>
      </w:r>
    </w:p>
    <w:p>
      <w:pPr>
        <w:spacing w:after="0" w:line="214" w:lineRule="exact"/>
        <w:rPr>
          <w:rFonts w:ascii="Arial" w:cs="Arial" w:eastAsia="Arial" w:hAnsi="Arial"/>
          <w:sz w:val="22"/>
          <w:szCs w:val="22"/>
          <w:color w:val="auto"/>
        </w:rPr>
      </w:pPr>
    </w:p>
    <w:p>
      <w:pPr>
        <w:ind w:left="180" w:firstLine="652"/>
        <w:spacing w:after="0" w:line="282" w:lineRule="auto"/>
        <w:tabs>
          <w:tab w:leader="none" w:pos="1248" w:val="left"/>
        </w:tabs>
        <w:numPr>
          <w:ilvl w:val="0"/>
          <w:numId w:val="44"/>
        </w:numPr>
        <w:rPr>
          <w:rFonts w:ascii="Arial" w:cs="Arial" w:eastAsia="Arial" w:hAnsi="Arial"/>
          <w:sz w:val="21"/>
          <w:szCs w:val="21"/>
          <w:color w:val="auto"/>
        </w:rPr>
      </w:pPr>
      <w:r>
        <w:rPr>
          <w:rFonts w:ascii="Arial" w:cs="Arial" w:eastAsia="Arial" w:hAnsi="Arial"/>
          <w:sz w:val="19"/>
          <w:szCs w:val="19"/>
          <w:color w:val="auto"/>
        </w:rPr>
        <w:t>If a Shelf Registration is filed pursuant to Section 3 and if requested during the Effectiveness Period by the managing underwriter or underwriters (if any) or the Holders of a majority in aggregate principal amount of the Registrable Securities being sold in connection with an underwritten offering, (i) as promptly as practicable incorporate in a prospectus supplement or post-effective amendment such information as the managing underwriter or underwriters (if any), such Holders or counsel for either of them reasonably request to be included therein, (ii) make all required filings of such prospectus supplement or such post-effective amendment as soon as practicable after the Issuers have received notification of the matters to be incorporated in such prospectus supplement or post-effective amendment, and (iii) supplement or make amendments to such Registration Statement.</w:t>
      </w:r>
    </w:p>
    <w:p>
      <w:pPr>
        <w:spacing w:after="0" w:line="200" w:lineRule="exact"/>
        <w:rPr>
          <w:rFonts w:ascii="Arial" w:cs="Arial" w:eastAsia="Arial" w:hAnsi="Arial"/>
          <w:sz w:val="21"/>
          <w:szCs w:val="21"/>
          <w:color w:val="auto"/>
        </w:rPr>
      </w:pPr>
    </w:p>
    <w:p>
      <w:pPr>
        <w:ind w:left="180" w:right="60" w:firstLine="652"/>
        <w:spacing w:after="0" w:line="322" w:lineRule="auto"/>
        <w:tabs>
          <w:tab w:leader="none" w:pos="1224" w:val="left"/>
        </w:tabs>
        <w:numPr>
          <w:ilvl w:val="0"/>
          <w:numId w:val="44"/>
        </w:numPr>
        <w:rPr>
          <w:rFonts w:ascii="Arial" w:cs="Arial" w:eastAsia="Arial" w:hAnsi="Arial"/>
          <w:sz w:val="18"/>
          <w:szCs w:val="18"/>
          <w:color w:val="auto"/>
        </w:rPr>
      </w:pPr>
      <w:r>
        <w:rPr>
          <w:rFonts w:ascii="Arial" w:cs="Arial" w:eastAsia="Arial" w:hAnsi="Arial"/>
          <w:sz w:val="17"/>
          <w:szCs w:val="17"/>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furnish to each selling Holder of Registrable Securities (with respect to a Registration Statement filed pursuant to Section 3 hereof) and to each such Participating Broker-Dealer who so requests (with respect to any such Registration Statement) and to its counsel and each managing underwriter, if any, at the sole expense of the Issuers, one conformed copy (which may be in electronic form) of the Registration Statement or Registration Statements and each post-effective amendment thereto, including financial</w:t>
      </w:r>
    </w:p>
    <w:p>
      <w:pPr>
        <w:sectPr>
          <w:pgSz w:w="11900" w:h="16838" w:orient="portrait"/>
          <w:cols w:equalWidth="0" w:num="1">
            <w:col w:w="10120"/>
          </w:cols>
          <w:pgMar w:left="1440" w:top="339" w:right="339" w:bottom="1440" w:gutter="0" w:footer="0" w:header="0"/>
        </w:sectPr>
      </w:pPr>
    </w:p>
    <w:bookmarkStart w:id="104" w:name="page105"/>
    <w:bookmarkEnd w:id="104"/>
    <w:p>
      <w:pPr>
        <w:ind w:left="180" w:right="280"/>
        <w:spacing w:after="0" w:line="260" w:lineRule="auto"/>
        <w:rPr>
          <w:sz w:val="20"/>
          <w:szCs w:val="20"/>
          <w:color w:val="auto"/>
        </w:rPr>
      </w:pPr>
      <w:r>
        <w:rPr>
          <w:rFonts w:ascii="Arial" w:cs="Arial" w:eastAsia="Arial" w:hAnsi="Arial"/>
          <w:sz w:val="20"/>
          <w:szCs w:val="20"/>
          <w:color w:val="auto"/>
        </w:rPr>
        <w:t>statements and schedules, and, if requested, all documents incorporated or deemed to be incorporated therein by reference and all exhibits.</w:t>
      </w:r>
    </w:p>
    <w:p>
      <w:pPr>
        <w:spacing w:after="0" w:line="204" w:lineRule="exact"/>
        <w:rPr>
          <w:sz w:val="20"/>
          <w:szCs w:val="20"/>
          <w:color w:val="auto"/>
        </w:rPr>
      </w:pPr>
    </w:p>
    <w:p>
      <w:pPr>
        <w:ind w:left="180" w:firstLine="652"/>
        <w:spacing w:after="0" w:line="300" w:lineRule="auto"/>
        <w:tabs>
          <w:tab w:leader="none" w:pos="1260" w:val="left"/>
        </w:tabs>
        <w:numPr>
          <w:ilvl w:val="1"/>
          <w:numId w:val="45"/>
        </w:numPr>
        <w:rPr>
          <w:rFonts w:ascii="Arial" w:cs="Arial" w:eastAsia="Arial" w:hAnsi="Arial"/>
          <w:sz w:val="19"/>
          <w:szCs w:val="19"/>
          <w:color w:val="auto"/>
        </w:rPr>
      </w:pPr>
      <w:r>
        <w:rPr>
          <w:rFonts w:ascii="Arial" w:cs="Arial" w:eastAsia="Arial" w:hAnsi="Arial"/>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deliver to each selling Holder of Registrable Securities (with respect to a Registration Statement filed pursuant to Section 3 hereof), or each such Participating Broker-Dealer (with respect to any such Registration Statement), as the case may be, its counsel, and the underwriters, if any, at the sole expense of the Issuers, as many copies (which may be in electronic form) of the Prospectus or Prospectuses (including each form of preliminary prospectus) and each amendment or supplement thereto and any documents incorporated by reference therein as such Persons may reasonably request; and, subject to the last paragraph of this Section 6, the Issuers hereby consent to the use of the Prospectus contained in any Shelf Registration or Exchange Offer Registration Statement and each amendment or supplement thereto by each of the selling Holders of Registrable Securities or each such Participating Broker-Dealer, as the case may be, and the underwriters or agents, if any, and dealers, if any, in connection with the offering and sale of the Registrable Securities covered by, or the sale by Participating Broker-Dealers of the Exchange Securities pursuant to, such Prospectus and any amendment or supplement thereto.</w:t>
      </w:r>
    </w:p>
    <w:p>
      <w:pPr>
        <w:spacing w:after="0" w:line="186" w:lineRule="exact"/>
        <w:rPr>
          <w:rFonts w:ascii="Arial" w:cs="Arial" w:eastAsia="Arial" w:hAnsi="Arial"/>
          <w:sz w:val="19"/>
          <w:szCs w:val="19"/>
          <w:color w:val="auto"/>
        </w:rPr>
      </w:pPr>
    </w:p>
    <w:p>
      <w:pPr>
        <w:ind w:left="180" w:right="40" w:firstLine="652"/>
        <w:spacing w:after="0" w:line="313" w:lineRule="auto"/>
        <w:tabs>
          <w:tab w:leader="none" w:pos="1260" w:val="left"/>
        </w:tabs>
        <w:numPr>
          <w:ilvl w:val="1"/>
          <w:numId w:val="45"/>
        </w:numPr>
        <w:rPr>
          <w:rFonts w:ascii="Arial" w:cs="Arial" w:eastAsia="Arial" w:hAnsi="Arial"/>
          <w:sz w:val="18"/>
          <w:szCs w:val="18"/>
          <w:color w:val="auto"/>
        </w:rPr>
      </w:pPr>
      <w:r>
        <w:rPr>
          <w:rFonts w:ascii="Arial" w:cs="Arial" w:eastAsia="Arial" w:hAnsi="Arial"/>
          <w:sz w:val="17"/>
          <w:szCs w:val="17"/>
          <w:color w:val="auto"/>
        </w:rPr>
        <w:t xml:space="preserve">Prior to any public offering of Registrable Securities or any delivery of a Prospectus contained in the Exchange Offer Registration Statement by any Participating Broker-Dealer who seeks to sell Exchange Securities during the Applicable Period, use reasonable best efforts to register or qualify, and to cooperate with the selling Holders of Registrable Securities or each such Participating Broker-Dealer, as the case may be, the managing underwriter or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selling Holder, Participating Broker-Dealer, or the managing underwriter or underwriters reasonably request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where Exchange Securities held by Participating Broker-Dealers or Registrable Securities are offered other than through an underwritten offering, the Issuers agree to cause their counsel to perform Blue Sky investigations and file registrations and qualifications required to be filed pursuant to this Section 6(h), keep each such registration or qualification (or exemption therefrom) effective during the period such Registration Statement is required to be kept effective and do any and all other acts or things necessary or advisable to enable the disposition in such jurisdictions of the Exchange Securities held by Participating Broker-Dealers or the Registrable Securities covered by the applicable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none of the Issuers or the Guarantors shall be required to</w:t>
      </w:r>
    </w:p>
    <w:p>
      <w:pPr>
        <w:spacing w:after="0" w:line="6" w:lineRule="exact"/>
        <w:rPr>
          <w:rFonts w:ascii="Arial" w:cs="Arial" w:eastAsia="Arial" w:hAnsi="Arial"/>
          <w:sz w:val="18"/>
          <w:szCs w:val="18"/>
          <w:color w:val="auto"/>
        </w:rPr>
      </w:pPr>
    </w:p>
    <w:p>
      <w:pPr>
        <w:ind w:left="180" w:right="220" w:firstLine="4"/>
        <w:spacing w:after="0" w:line="278" w:lineRule="auto"/>
        <w:tabs>
          <w:tab w:leader="none" w:pos="504" w:val="left"/>
        </w:tabs>
        <w:numPr>
          <w:ilvl w:val="0"/>
          <w:numId w:val="46"/>
        </w:numPr>
        <w:rPr>
          <w:rFonts w:ascii="Arial" w:cs="Arial" w:eastAsia="Arial" w:hAnsi="Arial"/>
          <w:sz w:val="20"/>
          <w:szCs w:val="20"/>
          <w:color w:val="auto"/>
        </w:rPr>
      </w:pPr>
      <w:r>
        <w:rPr>
          <w:rFonts w:ascii="Arial" w:cs="Arial" w:eastAsia="Arial" w:hAnsi="Arial"/>
          <w:sz w:val="20"/>
          <w:szCs w:val="20"/>
          <w:color w:val="auto"/>
        </w:rPr>
        <w:t>qualify generally to do business in any jurisdiction where they are not then so qualified, (B) take any action that would subject them to general service of process in any such jurisdiction where they are not then so subject or (C) subject themselves to taxation in any such jurisdiction where they are not then so subject.</w:t>
      </w:r>
    </w:p>
    <w:p>
      <w:pPr>
        <w:sectPr>
          <w:pgSz w:w="11900" w:h="16838" w:orient="portrait"/>
          <w:cols w:equalWidth="0" w:num="1">
            <w:col w:w="10120"/>
          </w:cols>
          <w:pgMar w:left="1440" w:top="339" w:right="339" w:bottom="1440" w:gutter="0" w:footer="0" w:header="0"/>
        </w:sectPr>
      </w:pPr>
    </w:p>
    <w:bookmarkStart w:id="105" w:name="page106"/>
    <w:bookmarkEnd w:id="105"/>
    <w:p>
      <w:pPr>
        <w:ind w:left="180" w:firstLine="652"/>
        <w:spacing w:after="0" w:line="282" w:lineRule="auto"/>
        <w:tabs>
          <w:tab w:leader="none" w:pos="1212" w:val="left"/>
        </w:tabs>
        <w:numPr>
          <w:ilvl w:val="0"/>
          <w:numId w:val="47"/>
        </w:numPr>
        <w:rPr>
          <w:rFonts w:ascii="Arial" w:cs="Arial" w:eastAsia="Arial" w:hAnsi="Arial"/>
          <w:sz w:val="21"/>
          <w:szCs w:val="21"/>
          <w:color w:val="auto"/>
        </w:rPr>
      </w:pPr>
      <w:r>
        <w:rPr>
          <w:rFonts w:ascii="Arial" w:cs="Arial" w:eastAsia="Arial" w:hAnsi="Arial"/>
          <w:sz w:val="19"/>
          <w:szCs w:val="19"/>
          <w:color w:val="auto"/>
        </w:rPr>
        <w:t>If a Shelf Registration is filed pursuant to Section 3 hereof, cooperate with the selling Holders of Registrable Securities and the managing underwriter or underwriters, if any, to facilitate the timely preparation and delivery of certificates representing Registrable Securities to be sold, which certificates shall not bear any restrictive legends and shall be in a form eligible for deposit with The Depository Trust Company; and enable such Registrable Securities to be in such denominations (subject to applicable requirements contained in the Indenture) and registered in such names as the managing underwriter or underwriters, if any, or Holders may request.</w:t>
      </w:r>
    </w:p>
    <w:p>
      <w:pPr>
        <w:spacing w:after="0" w:line="201" w:lineRule="exact"/>
        <w:rPr>
          <w:rFonts w:ascii="Arial" w:cs="Arial" w:eastAsia="Arial" w:hAnsi="Arial"/>
          <w:sz w:val="21"/>
          <w:szCs w:val="21"/>
          <w:color w:val="auto"/>
        </w:rPr>
      </w:pPr>
    </w:p>
    <w:p>
      <w:pPr>
        <w:ind w:left="180" w:right="80" w:firstLine="652"/>
        <w:spacing w:after="0" w:line="326" w:lineRule="auto"/>
        <w:tabs>
          <w:tab w:leader="none" w:pos="1212" w:val="left"/>
        </w:tabs>
        <w:numPr>
          <w:ilvl w:val="0"/>
          <w:numId w:val="47"/>
        </w:numPr>
        <w:rPr>
          <w:rFonts w:ascii="Arial" w:cs="Arial" w:eastAsia="Arial" w:hAnsi="Arial"/>
          <w:sz w:val="18"/>
          <w:szCs w:val="18"/>
          <w:color w:val="auto"/>
        </w:rPr>
      </w:pPr>
      <w:r>
        <w:rPr>
          <w:rFonts w:ascii="Arial" w:cs="Arial" w:eastAsia="Arial" w:hAnsi="Arial"/>
          <w:sz w:val="17"/>
          <w:szCs w:val="17"/>
          <w:color w:val="auto"/>
        </w:rPr>
        <w:t>Use reasonable best efforts to cause the Registrable Securities covered by the Registration Statement to be registered with or approved by such other U.S. governmental agencies or authorities as may be necessary to enable the seller or sellers thereof or the underwriter or underwriters, if any, to consummate the disposition of such Registrable Securities, except as may be required solely as a consequence of the nature of such selling Holder’s business, in which case the Issuers will cooperate in all respects with the filing of such Registration Statement and the granting of such approvals.</w:t>
      </w:r>
    </w:p>
    <w:p>
      <w:pPr>
        <w:spacing w:after="0" w:line="168" w:lineRule="exact"/>
        <w:rPr>
          <w:rFonts w:ascii="Arial" w:cs="Arial" w:eastAsia="Arial" w:hAnsi="Arial"/>
          <w:sz w:val="18"/>
          <w:szCs w:val="18"/>
          <w:color w:val="auto"/>
        </w:rPr>
      </w:pPr>
    </w:p>
    <w:p>
      <w:pPr>
        <w:ind w:left="180" w:right="80" w:firstLine="652"/>
        <w:spacing w:after="0" w:line="319"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7"/>
          <w:szCs w:val="17"/>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upon the occurrence of any event contemplated by paragraph 6(c)(v) or 6(c)(vi) hereof, as promptly as practicable prepare and (subject to Section 6(a) hereof) file with the SEC, at the sole expense of the Issuers, a supplement or post-effective amendment to the Registration Statement or a supplement to the related Prospectus or any document incorporated therein by reference, or file any other required document so that, as thereafter delivered to the purchasers of the Registrable Securities being sold thereunder (with respect to a Registration Statement filed pursuant to Section 3 hereof) or to the purchasers of the Exchange Securities to whom such Prospectus will be delivered by a Participating Broker-Dealer (with respect to any such Registration Statement), any such Prospectus will not contain an untrue statement of a material fact or omit to state a material fact necessary in order to make the statements therein, in the light of the circumstances under which they were made, not misleading.</w:t>
      </w:r>
    </w:p>
    <w:p>
      <w:pPr>
        <w:spacing w:after="0" w:line="177" w:lineRule="exact"/>
        <w:rPr>
          <w:rFonts w:ascii="Arial" w:cs="Arial" w:eastAsia="Arial" w:hAnsi="Arial"/>
          <w:sz w:val="18"/>
          <w:szCs w:val="18"/>
          <w:color w:val="auto"/>
        </w:rPr>
      </w:pPr>
    </w:p>
    <w:p>
      <w:pPr>
        <w:ind w:left="180" w:firstLine="652"/>
        <w:spacing w:after="0" w:line="284" w:lineRule="auto"/>
        <w:tabs>
          <w:tab w:leader="none" w:pos="1212" w:val="left"/>
        </w:tabs>
        <w:numPr>
          <w:ilvl w:val="0"/>
          <w:numId w:val="47"/>
        </w:numPr>
        <w:rPr>
          <w:rFonts w:ascii="Arial" w:cs="Arial" w:eastAsia="Arial" w:hAnsi="Arial"/>
          <w:sz w:val="21"/>
          <w:szCs w:val="21"/>
          <w:color w:val="auto"/>
        </w:rPr>
      </w:pPr>
      <w:r>
        <w:rPr>
          <w:rFonts w:ascii="Arial" w:cs="Arial" w:eastAsia="Arial" w:hAnsi="Arial"/>
          <w:sz w:val="19"/>
          <w:szCs w:val="19"/>
          <w:color w:val="auto"/>
        </w:rPr>
        <w:t>Prior to the effective date of the first Registration Statement relating to the Registrable Securities, (i) provide the applicable Trustee with certificates for the Registrable Securities in a form eligible for deposit with The Depository Trust Company and (ii) provide a CUSIP number for the applicable series of Registrable Securities.</w:t>
      </w:r>
    </w:p>
    <w:p>
      <w:pPr>
        <w:spacing w:after="0" w:line="196" w:lineRule="exact"/>
        <w:rPr>
          <w:rFonts w:ascii="Arial" w:cs="Arial" w:eastAsia="Arial" w:hAnsi="Arial"/>
          <w:sz w:val="21"/>
          <w:szCs w:val="21"/>
          <w:color w:val="auto"/>
        </w:rPr>
      </w:pPr>
    </w:p>
    <w:p>
      <w:pPr>
        <w:ind w:left="180" w:right="100" w:firstLine="652"/>
        <w:spacing w:after="0" w:line="266" w:lineRule="auto"/>
        <w:tabs>
          <w:tab w:leader="none" w:pos="1320" w:val="left"/>
        </w:tabs>
        <w:numPr>
          <w:ilvl w:val="0"/>
          <w:numId w:val="47"/>
        </w:numPr>
        <w:rPr>
          <w:rFonts w:ascii="Arial" w:cs="Arial" w:eastAsia="Arial" w:hAnsi="Arial"/>
          <w:sz w:val="22"/>
          <w:szCs w:val="22"/>
          <w:color w:val="auto"/>
        </w:rPr>
      </w:pPr>
      <w:r>
        <w:rPr>
          <w:rFonts w:ascii="Arial" w:cs="Arial" w:eastAsia="Arial" w:hAnsi="Arial"/>
          <w:sz w:val="20"/>
          <w:szCs w:val="20"/>
          <w:color w:val="auto"/>
        </w:rPr>
        <w:t>In connection with any underwritten offering of Registrable Securities pursuant to a Shelf Registration, enter into an underwriting agreement as is customary in underwritten offerings of debt securities similar to the Securities (including, without limitation, a customary condition to the obligations of the underwriters that the underwriters shall have received “comfort” letters and updates thereof in form, scope and substance reasonably satisfactory to the managing underwriter or underwriters from the independent certified public accountants of the Issuers (and, if necessary, any other independent certified public accountants of the Issuers, or of any business acquired by the Issuers, for which financial statements and financial data are, or are required to be, included or incorporated by reference in the Registration Statement), addressed to</w:t>
      </w:r>
    </w:p>
    <w:p>
      <w:pPr>
        <w:sectPr>
          <w:pgSz w:w="11900" w:h="16838" w:orient="portrait"/>
          <w:cols w:equalWidth="0" w:num="1">
            <w:col w:w="10120"/>
          </w:cols>
          <w:pgMar w:left="1440" w:top="366" w:right="339" w:bottom="1440" w:gutter="0" w:footer="0" w:header="0"/>
        </w:sectPr>
      </w:pPr>
    </w:p>
    <w:bookmarkStart w:id="106" w:name="page107"/>
    <w:bookmarkEnd w:id="106"/>
    <w:p>
      <w:pPr>
        <w:ind w:left="180"/>
        <w:spacing w:after="0" w:line="269" w:lineRule="auto"/>
        <w:rPr>
          <w:sz w:val="20"/>
          <w:szCs w:val="20"/>
          <w:color w:val="auto"/>
        </w:rPr>
      </w:pPr>
      <w:r>
        <w:rPr>
          <w:rFonts w:ascii="Arial" w:cs="Arial" w:eastAsia="Arial" w:hAnsi="Arial"/>
          <w:sz w:val="18"/>
          <w:szCs w:val="18"/>
          <w:color w:val="auto"/>
        </w:rPr>
        <w:t>representatives of the underwriters, such letters to be in customary form and covering matters of the type customarily covered in “comfort” letters in connection with underwritten offerings of debt securities similar to the Securities), and take all such other actions as are reasonably requested by the managing underwriter or underwriters in order to expedite or facilitate the registration or the disposition of such Registrable Securities and, in such connection, (i) make such representations and warranties to, and covenants with, the underwriters with respect to the business of the Issuers (including any acquired business, properties or entity, if applicable), and the Registration Statement, Prospectus and documents, if any, incorporated or deemed to be incorporated by reference therein, in each case, as are customarily made by Issuers to underwriters in underwritten offerings of debt securities similar to the Securities; (ii) obtain a written opinion of counsel to the Issuers, and written updates thereof in form, scope and substance reasonably satisfactory to the managing underwriter or underwriters, addressed to representatives of the underwriters covering the matters customarily covered in opinions reasonably requested in underwritten offerings; and (iii) if an underwriting agreement is entered into, the same shall contain indemnification provisions and procedures substantially consistent with those set forth in Section 8 hereof, taken as a whole (or such other provisions and procedures reasonably acceptable to Holders of a majority in aggregate principal amount of the applicable series of Registrable Securities covered by such Registration Statement and the managing underwriter or underwriters or agents, if any). The above shall be done at each closing under such underwriting agreement, or as and to the extent required thereunder.</w:t>
      </w:r>
    </w:p>
    <w:p>
      <w:pPr>
        <w:spacing w:after="0" w:line="203" w:lineRule="exact"/>
        <w:rPr>
          <w:sz w:val="20"/>
          <w:szCs w:val="20"/>
          <w:color w:val="auto"/>
        </w:rPr>
      </w:pPr>
    </w:p>
    <w:p>
      <w:pPr>
        <w:ind w:left="180" w:firstLine="652"/>
        <w:spacing w:after="0" w:line="299" w:lineRule="auto"/>
        <w:tabs>
          <w:tab w:leader="none" w:pos="1260" w:val="left"/>
        </w:tabs>
        <w:numPr>
          <w:ilvl w:val="0"/>
          <w:numId w:val="48"/>
        </w:numPr>
        <w:rPr>
          <w:rFonts w:ascii="Arial" w:cs="Arial" w:eastAsia="Arial" w:hAnsi="Arial"/>
          <w:sz w:val="19"/>
          <w:szCs w:val="19"/>
          <w:color w:val="auto"/>
        </w:rPr>
      </w:pPr>
      <w:r>
        <w:rPr>
          <w:rFonts w:ascii="Arial" w:cs="Arial" w:eastAsia="Arial" w:hAnsi="Arial"/>
          <w:sz w:val="18"/>
          <w:szCs w:val="18"/>
          <w:color w:val="auto"/>
        </w:rPr>
        <w:t>If (1) a Shelf Registration is filed pursuant to Section 3 hereof, or (2) a Prospectus contained in the Exchange Offer Registration Statement filed pursuant to Section 2 hereof is required to be delivered under the Securities Act by any Participating Broker-Dealer who seeks to sell Exchange Securities during the Applicable Period, make available for inspection by any Initial Purchaser, any selling Holder of such Registrable Securities being sold (with respect to a Registration Statement filed pursuant to Section 3 hereof), or each such Participating Broker-Dealer, as the case may be, any underwriter participating in any such disposition of Registrable Securities, if any, and any attorney, accountant or other agent retained by any such selling Holder or each such Participating Broker-Dealer (with respect to any such Registration Statement), as the case may be, or underwriter who, in each case, shall certify to the Issuers that they have, or, in the case of any attorney, accountant or other agent, that they are acting on behalf of one or more Selling Holders, Participating Broker-Dealers or underwriters, as applicable, who has a current intention to sell Registrable Securities pursuant to the Shelf Registration (any such Initial Purchasers, Holders, Participating Broker-Dealers, underwriters, attorneys, accountants or agents, collectively, the “</w:t>
      </w:r>
      <w:r>
        <w:rPr>
          <w:rFonts w:ascii="Arial" w:cs="Arial" w:eastAsia="Arial" w:hAnsi="Arial"/>
          <w:sz w:val="18"/>
          <w:szCs w:val="18"/>
          <w:u w:val="single" w:color="auto"/>
          <w:color w:val="auto"/>
        </w:rPr>
        <w:t>Inspectors</w:t>
      </w:r>
      <w:r>
        <w:rPr>
          <w:rFonts w:ascii="Arial" w:cs="Arial" w:eastAsia="Arial" w:hAnsi="Arial"/>
          <w:sz w:val="18"/>
          <w:szCs w:val="18"/>
          <w:color w:val="auto"/>
        </w:rPr>
        <w:t>”), upon written request, at the offices where normally kept, during reasonable business hours, all pertinent financial and other records, pertinent corporate documents and instruments of the Issuers and subsidiaries of the Issuers (collectively, the “</w:t>
      </w:r>
      <w:r>
        <w:rPr>
          <w:rFonts w:ascii="Arial" w:cs="Arial" w:eastAsia="Arial" w:hAnsi="Arial"/>
          <w:sz w:val="18"/>
          <w:szCs w:val="18"/>
          <w:u w:val="single" w:color="auto"/>
          <w:color w:val="auto"/>
        </w:rPr>
        <w:t>Records</w:t>
      </w:r>
      <w:r>
        <w:rPr>
          <w:rFonts w:ascii="Arial" w:cs="Arial" w:eastAsia="Arial" w:hAnsi="Arial"/>
          <w:sz w:val="18"/>
          <w:szCs w:val="18"/>
          <w:color w:val="auto"/>
        </w:rPr>
        <w:t>”), as shall be reasonably necessary, in the opinion of counsel for such Inspector, to enable them to exercise any applicable due diligence responsibilities, and cause the officers, directors and employees of the Issuers and any of its subsidiaries to supply all information (“</w:t>
      </w:r>
      <w:r>
        <w:rPr>
          <w:rFonts w:ascii="Arial" w:cs="Arial" w:eastAsia="Arial" w:hAnsi="Arial"/>
          <w:sz w:val="18"/>
          <w:szCs w:val="18"/>
          <w:u w:val="single" w:color="auto"/>
          <w:color w:val="auto"/>
        </w:rPr>
        <w:t>Information</w:t>
      </w:r>
      <w:r>
        <w:rPr>
          <w:rFonts w:ascii="Arial" w:cs="Arial" w:eastAsia="Arial" w:hAnsi="Arial"/>
          <w:sz w:val="18"/>
          <w:szCs w:val="18"/>
          <w:color w:val="auto"/>
        </w:rPr>
        <w:t>”) reasonably requested by any such Inspector in connection with such due diligence responsibilities. Each Inspector shall agree in writing that it will keep the Records and Information confidential, to use the Information only for due diligence purposes, to abstain from using the Information as the basis for any market transactions in securities of the Issuers, the Guarantors or any of</w:t>
      </w:r>
    </w:p>
    <w:p>
      <w:pPr>
        <w:sectPr>
          <w:pgSz w:w="11900" w:h="16838" w:orient="portrait"/>
          <w:cols w:equalWidth="0" w:num="1">
            <w:col w:w="10080"/>
          </w:cols>
          <w:pgMar w:left="1440" w:top="339" w:right="379" w:bottom="1440" w:gutter="0" w:footer="0" w:header="0"/>
        </w:sectPr>
      </w:pPr>
    </w:p>
    <w:bookmarkStart w:id="107" w:name="page108"/>
    <w:bookmarkEnd w:id="107"/>
    <w:p>
      <w:pPr>
        <w:ind w:left="180"/>
        <w:spacing w:after="0" w:line="254" w:lineRule="auto"/>
        <w:rPr>
          <w:sz w:val="20"/>
          <w:szCs w:val="20"/>
          <w:color w:val="auto"/>
        </w:rPr>
      </w:pPr>
      <w:r>
        <w:rPr>
          <w:rFonts w:ascii="Arial" w:cs="Arial" w:eastAsia="Arial" w:hAnsi="Arial"/>
          <w:sz w:val="19"/>
          <w:szCs w:val="19"/>
          <w:color w:val="auto"/>
        </w:rPr>
        <w:t xml:space="preserve">their respective subsidiaries and that it will not disclose any of the Records or Information that the Issuers determine, in good faith, to be confidential and notifies the Inspectors in writing are confidential unless (i) the disclosure of such Records or Information is necessary to avoid or correct a material misstatement or material omission in such Registration Statement or Prospectus, (ii) the release of such Records or Information is ordered pursuant to a subpoena or other order from a court of competent jurisdiction, (iii) disclosure of such Records or Information is necessary or advisable, in the opinion of counsel for any Inspector, in connection with any action, claim, suit or proceeding, directly or indirectly, involving or potentially involving such Inspector and arising out of, based upon, relating to, or involving this Agreement or the Purchase Agreement, or any transactions contemplated hereby or thereby or arising hereunder or thereunder, or (iv) the information in such Records or Information has been made generally available to the public other than by an Inspector or an “affiliate” (as defined in Rule 405)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prior notice shall be provided as soon as practicable to the Issuers of the potential disclosure of any information by such Inspector pursuant to clauses (i) or (ii) of this sentence to permit the Issuers to obtain a protective order (or waive the provisions of this paragraph (n)) and that such Inspector shall take such actions as are reasonably necessary to protect the confidentiality of such information (if practicable) to the extent such action is otherwise not inconsistent with, an impairment of or in derogation of the rights and interests of the Holder or any Inspector.</w:t>
      </w:r>
    </w:p>
    <w:p>
      <w:pPr>
        <w:spacing w:after="0" w:line="217" w:lineRule="exact"/>
        <w:rPr>
          <w:sz w:val="20"/>
          <w:szCs w:val="20"/>
          <w:color w:val="auto"/>
        </w:rPr>
      </w:pPr>
    </w:p>
    <w:p>
      <w:pPr>
        <w:ind w:left="180" w:firstLine="652"/>
        <w:spacing w:after="0" w:line="282" w:lineRule="auto"/>
        <w:tabs>
          <w:tab w:leader="none" w:pos="1260" w:val="left"/>
        </w:tabs>
        <w:numPr>
          <w:ilvl w:val="0"/>
          <w:numId w:val="49"/>
        </w:numPr>
        <w:rPr>
          <w:rFonts w:ascii="Arial" w:cs="Arial" w:eastAsia="Arial" w:hAnsi="Arial"/>
          <w:sz w:val="21"/>
          <w:szCs w:val="21"/>
          <w:color w:val="auto"/>
        </w:rPr>
      </w:pPr>
      <w:r>
        <w:rPr>
          <w:rFonts w:ascii="Arial" w:cs="Arial" w:eastAsia="Arial" w:hAnsi="Arial"/>
          <w:sz w:val="19"/>
          <w:szCs w:val="19"/>
          <w:color w:val="auto"/>
        </w:rPr>
        <w:t>Provide an indenture trustee for the Registrable Securities or the Exchange Securities, as the case may be, and cause the Indenture or the trust indentures provided for in Section 2(a) hereof, as the case may be, to be qualified under the TIA not later than the effective date of the first Registration Statement relating to the Registrable Securities; and in connection therewith, cooperate with the trustee under any such indentures and the Holders of the Registrable Securities, to effect such changes (if any) to such indentures as may be required for such indentures to be so qualified in accordance with the terms of the TIA; and execute, and use its commercially reasonable best efforts to cause such trustee to execute, all documents as may be required to effect such changes, and all other forms and documents required to be filed with the SEC to enable such indenture to be so qualified in a timely manner.</w:t>
      </w:r>
    </w:p>
    <w:p>
      <w:pPr>
        <w:spacing w:after="0" w:line="200" w:lineRule="exact"/>
        <w:rPr>
          <w:rFonts w:ascii="Arial" w:cs="Arial" w:eastAsia="Arial" w:hAnsi="Arial"/>
          <w:sz w:val="21"/>
          <w:szCs w:val="21"/>
          <w:color w:val="auto"/>
        </w:rPr>
      </w:pPr>
    </w:p>
    <w:p>
      <w:pPr>
        <w:ind w:left="180" w:right="60" w:firstLine="652"/>
        <w:spacing w:after="0" w:line="301" w:lineRule="auto"/>
        <w:tabs>
          <w:tab w:leader="none" w:pos="1260" w:val="left"/>
        </w:tabs>
        <w:numPr>
          <w:ilvl w:val="0"/>
          <w:numId w:val="49"/>
        </w:numPr>
        <w:rPr>
          <w:rFonts w:ascii="Arial" w:cs="Arial" w:eastAsia="Arial" w:hAnsi="Arial"/>
          <w:sz w:val="19"/>
          <w:szCs w:val="19"/>
          <w:color w:val="auto"/>
        </w:rPr>
      </w:pPr>
      <w:r>
        <w:rPr>
          <w:rFonts w:ascii="Arial" w:cs="Arial" w:eastAsia="Arial" w:hAnsi="Arial"/>
          <w:sz w:val="18"/>
          <w:szCs w:val="18"/>
          <w:color w:val="auto"/>
        </w:rPr>
        <w:t xml:space="preserve">Comply in all material respects with all applicable rules and regulations of the SEC and make generally available to its securityholders with regard to any applicable Registration Statement, a consolidated earning statement satisfying the provisions of Section 11(a) of the Securities Act and Rule 158 thereunder (or any similar rule promulgated under the Securities Act) no later than 45 days after the end of any fiscal quarter of Holdings (or 90 days after the end of any 12-month period if such period is a fiscal year of Holdings) (i) commencing at the end of any fiscal quarter of Holdings in which Registrable Securities are sold to underwriters in a firm commitment or best efforts underwritten offering and (ii) if not sold to underwriters in such an offering, commencing on the first day of the first fiscal quarter of Holdings, after the effective date of a Registration Statement, which statements shall cover said 12-month periods;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requirement shall be deemed satisfied by the Issuers complying with Section 4.03 of the Indenture.</w:t>
      </w:r>
    </w:p>
    <w:p>
      <w:pPr>
        <w:spacing w:after="0" w:line="187" w:lineRule="exact"/>
        <w:rPr>
          <w:rFonts w:ascii="Arial" w:cs="Arial" w:eastAsia="Arial" w:hAnsi="Arial"/>
          <w:sz w:val="19"/>
          <w:szCs w:val="19"/>
          <w:color w:val="auto"/>
        </w:rPr>
      </w:pPr>
    </w:p>
    <w:p>
      <w:pPr>
        <w:ind w:left="180" w:right="80" w:firstLine="652"/>
        <w:spacing w:after="0" w:line="264" w:lineRule="auto"/>
        <w:tabs>
          <w:tab w:leader="none" w:pos="1260" w:val="left"/>
        </w:tabs>
        <w:numPr>
          <w:ilvl w:val="0"/>
          <w:numId w:val="49"/>
        </w:numPr>
        <w:rPr>
          <w:rFonts w:ascii="Arial" w:cs="Arial" w:eastAsia="Arial" w:hAnsi="Arial"/>
          <w:sz w:val="22"/>
          <w:szCs w:val="22"/>
          <w:color w:val="auto"/>
        </w:rPr>
      </w:pPr>
      <w:r>
        <w:rPr>
          <w:rFonts w:ascii="Arial" w:cs="Arial" w:eastAsia="Arial" w:hAnsi="Arial"/>
          <w:sz w:val="20"/>
          <w:szCs w:val="20"/>
          <w:color w:val="auto"/>
        </w:rPr>
        <w:t>Upon consummation of the Exchange Offer or a Private Exchange, obtain an opinion of counsel to the Issuers, in a form customary for underwritten</w:t>
      </w:r>
    </w:p>
    <w:p>
      <w:pPr>
        <w:sectPr>
          <w:pgSz w:w="11900" w:h="16838" w:orient="portrait"/>
          <w:cols w:equalWidth="0" w:num="1">
            <w:col w:w="10100"/>
          </w:cols>
          <w:pgMar w:left="1440" w:top="339" w:right="359" w:bottom="1440" w:gutter="0" w:footer="0" w:header="0"/>
        </w:sectPr>
      </w:pPr>
    </w:p>
    <w:bookmarkStart w:id="108" w:name="page109"/>
    <w:bookmarkEnd w:id="108"/>
    <w:p>
      <w:pPr>
        <w:ind w:left="180" w:right="200"/>
        <w:spacing w:after="0" w:line="271" w:lineRule="auto"/>
        <w:rPr>
          <w:sz w:val="20"/>
          <w:szCs w:val="20"/>
          <w:color w:val="auto"/>
        </w:rPr>
      </w:pPr>
      <w:r>
        <w:rPr>
          <w:rFonts w:ascii="Arial" w:cs="Arial" w:eastAsia="Arial" w:hAnsi="Arial"/>
          <w:sz w:val="18"/>
          <w:szCs w:val="18"/>
          <w:color w:val="auto"/>
        </w:rPr>
        <w:t>transactions, addressed to the applicable Trustee for the benefit of all Holders of Registrable Securities participating in the Exchange Offer or the Private Exchange, as the case may be, that the Exchange Securities or Private Exchange Notes (and the related Guarantees), as the case may be, the related guarantee, if applicable, and the related indenture constitute legal, valid and binding obligations of the Issuers and the Guarantors, as applicable, enforceable against the Issuers and the Guarantors, as applicable, in accordance with their respective terms, subject to customary exceptions and qualifications. If the Exchange Offer or a Private Exchange is to be consummated, upon delivery of the Registrable Securities by Holders to the Issuers (or to such other Person as directed by the Issuers), in exchange for the applicable series of Exchange Securities or the Private Exchange Notes (and the related Guarantees), as the case may be, the Issuers shall mark, or cause to be marked, on such Registrable Securities that such Registrable Securities are being cancelled in exchange for the applicable series of Exchange Securities or the Private Exchange Notes (and the related Guarantees), as the case may be; in no event shall such Registrable Securities be marked as paid or otherwise satisfied.</w:t>
      </w:r>
    </w:p>
    <w:p>
      <w:pPr>
        <w:spacing w:after="0" w:line="197" w:lineRule="exact"/>
        <w:rPr>
          <w:sz w:val="20"/>
          <w:szCs w:val="20"/>
          <w:color w:val="auto"/>
        </w:rPr>
      </w:pPr>
    </w:p>
    <w:p>
      <w:pPr>
        <w:ind w:left="180" w:firstLine="652"/>
        <w:spacing w:after="0" w:line="313" w:lineRule="auto"/>
        <w:tabs>
          <w:tab w:leader="none" w:pos="1224" w:val="left"/>
        </w:tabs>
        <w:numPr>
          <w:ilvl w:val="0"/>
          <w:numId w:val="50"/>
        </w:numPr>
        <w:rPr>
          <w:rFonts w:ascii="Arial" w:cs="Arial" w:eastAsia="Arial" w:hAnsi="Arial"/>
          <w:sz w:val="19"/>
          <w:szCs w:val="19"/>
          <w:color w:val="auto"/>
        </w:rPr>
      </w:pPr>
      <w:r>
        <w:rPr>
          <w:rFonts w:ascii="Arial" w:cs="Arial" w:eastAsia="Arial" w:hAnsi="Arial"/>
          <w:sz w:val="18"/>
          <w:szCs w:val="18"/>
          <w:color w:val="auto"/>
        </w:rPr>
        <w:t>Use reasonable efforts to cooperate with each seller of Registrable Securities covered by any Registration Statement and each underwriter, if any, participating in the disposition of such Registrable Securities and their respective counsel in connection with any filings required to be made with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w:t>
      </w:r>
    </w:p>
    <w:p>
      <w:pPr>
        <w:spacing w:after="0" w:line="174" w:lineRule="exact"/>
        <w:rPr>
          <w:rFonts w:ascii="Arial" w:cs="Arial" w:eastAsia="Arial" w:hAnsi="Arial"/>
          <w:sz w:val="19"/>
          <w:szCs w:val="19"/>
          <w:color w:val="auto"/>
        </w:rPr>
      </w:pPr>
    </w:p>
    <w:p>
      <w:pPr>
        <w:ind w:left="180" w:right="380" w:firstLine="652"/>
        <w:spacing w:after="0" w:line="291" w:lineRule="auto"/>
        <w:tabs>
          <w:tab w:leader="none" w:pos="1236" w:val="left"/>
        </w:tabs>
        <w:numPr>
          <w:ilvl w:val="0"/>
          <w:numId w:val="50"/>
        </w:numPr>
        <w:rPr>
          <w:rFonts w:ascii="Arial" w:cs="Arial" w:eastAsia="Arial" w:hAnsi="Arial"/>
          <w:sz w:val="21"/>
          <w:szCs w:val="21"/>
          <w:color w:val="auto"/>
        </w:rPr>
      </w:pPr>
      <w:r>
        <w:rPr>
          <w:rFonts w:ascii="Arial" w:cs="Arial" w:eastAsia="Arial" w:hAnsi="Arial"/>
          <w:sz w:val="19"/>
          <w:szCs w:val="19"/>
          <w:color w:val="auto"/>
        </w:rPr>
        <w:t>Use reasonable efforts to take all other steps reasonably necessary to effect the registration of the Exchange Securities and/or Registrable Securities covered by a Registration Statement contemplated hereby.</w:t>
      </w:r>
    </w:p>
    <w:p>
      <w:pPr>
        <w:spacing w:after="0" w:line="158" w:lineRule="exact"/>
        <w:rPr>
          <w:sz w:val="20"/>
          <w:szCs w:val="20"/>
          <w:color w:val="auto"/>
        </w:rPr>
      </w:pPr>
    </w:p>
    <w:p>
      <w:pPr>
        <w:ind w:left="180" w:firstLine="648"/>
        <w:spacing w:after="0" w:line="256" w:lineRule="auto"/>
        <w:rPr>
          <w:sz w:val="20"/>
          <w:szCs w:val="20"/>
          <w:color w:val="auto"/>
        </w:rPr>
      </w:pPr>
      <w:r>
        <w:rPr>
          <w:rFonts w:ascii="Arial" w:cs="Arial" w:eastAsia="Arial" w:hAnsi="Arial"/>
          <w:sz w:val="19"/>
          <w:szCs w:val="19"/>
          <w:color w:val="auto"/>
        </w:rPr>
        <w:t>The Issuers may require each seller of Registrable Securities as to which any registration is being effected to furnish to the Issuers such information regarding such seller and the distribution of such Registrable Securities as the Issuers may, from time to time, reasonably request. The Issuers may exclude from such registration the Registrable Securities of any seller so long as such seller fails to furnish such information within a reasonable time after receiving such request. Each seller as to which any Shelf Registration is being effected agrees to furnish promptly to the Issuers all information required to be disclosed in order to make the information previously furnished to the Issuers by such seller so that any prospectus relating to such Shelf Registration shall not contain, with respect to such Seller, an untrue statement of a material fact or omit to state a material fact necessary in order to make the statements therein, in light of the circumstances under which they were made, not misleading.</w:t>
      </w:r>
    </w:p>
    <w:p>
      <w:pPr>
        <w:spacing w:after="0" w:line="76" w:lineRule="exact"/>
        <w:rPr>
          <w:sz w:val="20"/>
          <w:szCs w:val="20"/>
          <w:color w:val="auto"/>
        </w:rPr>
      </w:pPr>
    </w:p>
    <w:p>
      <w:pPr>
        <w:ind w:left="180" w:right="20" w:firstLine="648"/>
        <w:spacing w:after="0" w:line="273" w:lineRule="auto"/>
        <w:rPr>
          <w:sz w:val="20"/>
          <w:szCs w:val="20"/>
          <w:color w:val="auto"/>
        </w:rPr>
      </w:pPr>
      <w:r>
        <w:rPr>
          <w:rFonts w:ascii="Arial" w:cs="Arial" w:eastAsia="Arial" w:hAnsi="Arial"/>
          <w:sz w:val="18"/>
          <w:szCs w:val="18"/>
          <w:color w:val="auto"/>
        </w:rPr>
        <w:t>If any such Registration Statement refers to any Holder by name or otherwise as the holder of any securities of the Issuers, then such Holder shall have the right to require (i) the insertion therein of language, in form and substance reasonably satisfactory to such Holder, to the effect that the holding by such Holder of such securities is not to be construed as a recommendation by such Holder of the investment quality of the securities covered thereby and that such holding does not imply that such Holder will assist in meeting any future financial requirements of the Issuers, or (ii) in the event that such reference to such Holder by name or otherwise is not required by the Securities Act or any similar federal statute then in force, the deletion of the reference to such Holder in any amendment or supplement to the Registration Statement filed or prepared subsequent to the time that such reference ceases to be required.</w:t>
      </w:r>
    </w:p>
    <w:p>
      <w:pPr>
        <w:sectPr>
          <w:pgSz w:w="11900" w:h="16838" w:orient="portrait"/>
          <w:cols w:equalWidth="0" w:num="1">
            <w:col w:w="10120"/>
          </w:cols>
          <w:pgMar w:left="1440" w:top="339" w:right="339" w:bottom="1440" w:gutter="0" w:footer="0" w:header="0"/>
        </w:sectPr>
      </w:pPr>
    </w:p>
    <w:bookmarkStart w:id="109" w:name="page110"/>
    <w:bookmarkEnd w:id="109"/>
    <w:p>
      <w:pPr>
        <w:ind w:left="644" w:right="40" w:firstLine="648"/>
        <w:spacing w:after="0" w:line="270" w:lineRule="auto"/>
        <w:rPr>
          <w:sz w:val="20"/>
          <w:szCs w:val="20"/>
          <w:color w:val="auto"/>
        </w:rPr>
      </w:pPr>
      <w:r>
        <w:rPr>
          <w:rFonts w:ascii="Arial" w:cs="Arial" w:eastAsia="Arial" w:hAnsi="Arial"/>
          <w:sz w:val="18"/>
          <w:szCs w:val="18"/>
          <w:color w:val="auto"/>
        </w:rPr>
        <w:t>Each Holder of Registrable Securities and each Participating Broker-Dealer agrees by its acquisition of such Registrable Securities or Exchange Securities to be sold by such Participating Broker-Dealer, as the case may be, that, upon actual receipt of any notice from the Issuers of the happening of any event of the kind described in Section 6(c)(ii), 6(c)(iv), 6(c)(v), or 6(c)(vi) hereof, such Holder or Participating Broker-Dealer will forthwith discontinue disposition of such Registrable Securities covered by such Registration Statement or Prospectus or Exchange Securities to be sold by such Holder or Participating Broker-Dealer, as the case may be, until such Holder’s or Participating Broker-Dealer’s receipt of the copies of the supplemented or amended Prospectus contemplated by Section 6(k) hereof, or until it is advised in writing (the “</w:t>
      </w:r>
      <w:r>
        <w:rPr>
          <w:rFonts w:ascii="Arial" w:cs="Arial" w:eastAsia="Arial" w:hAnsi="Arial"/>
          <w:sz w:val="18"/>
          <w:szCs w:val="18"/>
          <w:u w:val="single" w:color="auto"/>
          <w:color w:val="auto"/>
        </w:rPr>
        <w:t>Advice</w:t>
      </w:r>
      <w:r>
        <w:rPr>
          <w:rFonts w:ascii="Arial" w:cs="Arial" w:eastAsia="Arial" w:hAnsi="Arial"/>
          <w:sz w:val="18"/>
          <w:szCs w:val="18"/>
          <w:color w:val="auto"/>
        </w:rPr>
        <w:t>”) by the Issuers that the use of the applicable Prospectus may be resumed, and has received copies of any amendments or supplements thereto. In the event that the Issuers shall give any such notice, each of the Applicable Period and the Effectiveness Period shall be extended by the number of days during such periods from and including the date of the giving of such notice to and including the date when each seller of Registrable Securities covered by such Registration Statement or Exchange Securities to be sold by such Participating Broker-Dealer, as the case may be, shall have received (x) the copies of the supplemented or amended Prospectus contemplated by Section 6(k) hereof or (y) the Advice.</w:t>
      </w:r>
    </w:p>
    <w:p>
      <w:pPr>
        <w:spacing w:after="0" w:line="89" w:lineRule="exact"/>
        <w:rPr>
          <w:sz w:val="20"/>
          <w:szCs w:val="20"/>
          <w:color w:val="auto"/>
        </w:rPr>
      </w:pPr>
    </w:p>
    <w:p>
      <w:pPr>
        <w:ind w:left="344" w:hanging="344"/>
        <w:spacing w:after="0"/>
        <w:tabs>
          <w:tab w:leader="none" w:pos="344" w:val="left"/>
        </w:tabs>
        <w:numPr>
          <w:ilvl w:val="0"/>
          <w:numId w:val="51"/>
        </w:numPr>
        <w:rPr>
          <w:rFonts w:ascii="Arial" w:cs="Arial" w:eastAsia="Arial" w:hAnsi="Arial"/>
          <w:sz w:val="22"/>
          <w:szCs w:val="22"/>
          <w:color w:val="auto"/>
        </w:rPr>
      </w:pPr>
      <w:r>
        <w:rPr>
          <w:rFonts w:ascii="Arial" w:cs="Arial" w:eastAsia="Arial" w:hAnsi="Arial"/>
          <w:sz w:val="20"/>
          <w:szCs w:val="20"/>
          <w:u w:val="single" w:color="auto"/>
          <w:color w:val="auto"/>
        </w:rPr>
        <w:t>Registration Expenses</w:t>
      </w:r>
    </w:p>
    <w:p>
      <w:pPr>
        <w:spacing w:after="0" w:line="209" w:lineRule="exact"/>
        <w:rPr>
          <w:sz w:val="20"/>
          <w:szCs w:val="20"/>
          <w:color w:val="auto"/>
        </w:rPr>
      </w:pPr>
    </w:p>
    <w:p>
      <w:pPr>
        <w:ind w:left="4" w:firstLine="648"/>
        <w:spacing w:after="0" w:line="268" w:lineRule="auto"/>
        <w:rPr>
          <w:sz w:val="20"/>
          <w:szCs w:val="20"/>
          <w:color w:val="auto"/>
        </w:rPr>
      </w:pPr>
      <w:r>
        <w:rPr>
          <w:rFonts w:ascii="Arial" w:cs="Arial" w:eastAsia="Arial" w:hAnsi="Arial"/>
          <w:sz w:val="18"/>
          <w:szCs w:val="18"/>
          <w:color w:val="auto"/>
        </w:rPr>
        <w:t>All fees and expenses incident to the performance of or compliance with this Agreement by the Issuers or the Guarantors of their respective obligations under Sections 2, 3, 6 and 9 shall be borne by the Issuers and the Guarantors, whether or not the Exchange Offer Registration Statement or any Shelf Registration Statement is filed or becomes effective or the Exchange Offer is consummated, including, without limitation, (i) all registration and filing fees (including, without limitation, (A) fees with respect to filings required to be made with the FINRA in connection with an underwritten offering and (B) fees and expenses of compliance with state securities or Blue Sky laws (including, without limitation, reasonable fees and disbursements of counsel in connection with Blue Sky qualifications of the Registrable Securities or Exchange Securities and determination of the eligibility of the Registrable Securities or Exchange Securities for investment under the laws of such jurisdictions in the United States (x) where the holders of Registrable Securities are located, in the case of the Exchange Securities, or (y) as provided in Section 6(h) hereof, in the case of Registrable Securities or Exchange Securities to be sold by a Participating Broker-Dealer during the Applicable Period)), (ii) printing expenses, including, without limitation, printing prospectuses if the printing of prospectuses is requested by the managing underwriter or underwriters, if any, or by the Holders of a majority in aggregate principal amount of the Registrable Securities included in any Registration Statement or if the Prospectus is in respect of Registrable Securities or Exchange Securities to be sold by any Participating Broker-Dealer during the Applicable Period, as the case may be, (iii) fees and expenses of the applicable Trustee, any exchange agent and their counsel, (iv) fees and disbursements of counsel for the Issuers and, in the case of a Shelf Registration, reasonable fees and disbursements of one special counsel for all of the sellers of Registrable Securities selected by the Holders of a majority in aggregate principal amount of Registrable Securities covered by such Shelf Registration (which counsel shall be reasonably satisfactory to the Issuers) exclusive of any counsel retained pursuant to Section 8 hereof, (v) fees and disbursements of all independent certified public accountants referred to in Section 6(m) hereof (including, without limitation, the expenses of any “comfort” letters required by or incident to such performance),</w:t>
      </w:r>
    </w:p>
    <w:p>
      <w:pPr>
        <w:sectPr>
          <w:pgSz w:w="11900" w:h="16838" w:orient="portrait"/>
          <w:cols w:equalWidth="0" w:num="1">
            <w:col w:w="10564"/>
          </w:cols>
          <w:pgMar w:left="976" w:top="339" w:right="359" w:bottom="1440" w:gutter="0" w:footer="0" w:header="0"/>
        </w:sectPr>
      </w:pPr>
    </w:p>
    <w:bookmarkStart w:id="110" w:name="page111"/>
    <w:bookmarkEnd w:id="110"/>
    <w:p>
      <w:pPr>
        <w:ind w:left="4" w:right="20" w:hanging="4"/>
        <w:spacing w:after="0" w:line="273" w:lineRule="auto"/>
        <w:tabs>
          <w:tab w:leader="none" w:pos="3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rating agency fees, if any, and any fees associated with making the Registrable Securities or Exchange Securities eligible for trading through The Depository Trust Company, (vii) Securities Act liability insurance, if the Issuers desire such insurance, (viii) fees and expenses of all other Persons retained by the Issuers, (ix) internal expenses of the Issuers and the Guarantors (including, without limitation, all salaries and expenses of officers and employees of the Issuers and the Guarantors performing legal or accounting duties), (x) the expense of any annual audit, (xi) any fees and expenses incurred in connection with the listing of the securities to be registered on any securities exchange, and the obtaining of a rating of the securities, in each case, if applicable and (xii) the expenses relating to printing, word processing and distributing all Registration Statements, underwriting agreements, indentures and any other documents necessary in order to comply with this Agreement.</w:t>
      </w:r>
    </w:p>
    <w:p>
      <w:pPr>
        <w:spacing w:after="0" w:line="193" w:lineRule="exact"/>
        <w:rPr>
          <w:sz w:val="20"/>
          <w:szCs w:val="20"/>
          <w:color w:val="auto"/>
        </w:rPr>
      </w:pPr>
    </w:p>
    <w:p>
      <w:pPr>
        <w:ind w:left="344" w:hanging="344"/>
        <w:spacing w:after="0"/>
        <w:tabs>
          <w:tab w:leader="none" w:pos="344" w:val="left"/>
        </w:tabs>
        <w:numPr>
          <w:ilvl w:val="0"/>
          <w:numId w:val="53"/>
        </w:numPr>
        <w:rPr>
          <w:rFonts w:ascii="Arial" w:cs="Arial" w:eastAsia="Arial" w:hAnsi="Arial"/>
          <w:sz w:val="22"/>
          <w:szCs w:val="22"/>
          <w:color w:val="auto"/>
        </w:rPr>
      </w:pPr>
      <w:r>
        <w:rPr>
          <w:rFonts w:ascii="Arial" w:cs="Arial" w:eastAsia="Arial" w:hAnsi="Arial"/>
          <w:sz w:val="20"/>
          <w:szCs w:val="20"/>
          <w:u w:val="single" w:color="auto"/>
          <w:color w:val="auto"/>
        </w:rPr>
        <w:t>Indemnification and Contribution</w:t>
      </w:r>
    </w:p>
    <w:p>
      <w:pPr>
        <w:spacing w:after="0" w:line="235" w:lineRule="exact"/>
        <w:rPr>
          <w:rFonts w:ascii="Arial" w:cs="Arial" w:eastAsia="Arial" w:hAnsi="Arial"/>
          <w:sz w:val="22"/>
          <w:szCs w:val="22"/>
          <w:color w:val="auto"/>
        </w:rPr>
      </w:pPr>
    </w:p>
    <w:p>
      <w:pPr>
        <w:ind w:left="4" w:right="100" w:firstLine="644"/>
        <w:spacing w:after="0" w:line="266" w:lineRule="auto"/>
        <w:tabs>
          <w:tab w:leader="none" w:pos="1072" w:val="left"/>
        </w:tabs>
        <w:numPr>
          <w:ilvl w:val="1"/>
          <w:numId w:val="53"/>
        </w:numPr>
        <w:rPr>
          <w:rFonts w:ascii="Arial" w:cs="Arial" w:eastAsia="Arial" w:hAnsi="Arial"/>
          <w:sz w:val="22"/>
          <w:szCs w:val="22"/>
          <w:color w:val="auto"/>
        </w:rPr>
      </w:pPr>
      <w:r>
        <w:rPr>
          <w:rFonts w:ascii="Arial" w:cs="Arial" w:eastAsia="Arial" w:hAnsi="Arial"/>
          <w:sz w:val="20"/>
          <w:szCs w:val="20"/>
          <w:color w:val="auto"/>
        </w:rPr>
        <w:t>The Issuers and the Guarantors, jointly and severally, agree to indemnify and hold harmless each Holder of Registrable Securities and each Participating Broker-Dealer selling Exchange Securities during the Applicable Period, and each Person, if any, who controls such Person within the meaning of Section 15 of the Act or Section 20 of the Exchange Act (each, a “</w:t>
      </w:r>
      <w:r>
        <w:rPr>
          <w:rFonts w:ascii="Arial" w:cs="Arial" w:eastAsia="Arial" w:hAnsi="Arial"/>
          <w:sz w:val="20"/>
          <w:szCs w:val="20"/>
          <w:u w:val="single" w:color="auto"/>
          <w:color w:val="auto"/>
        </w:rPr>
        <w:t>Participant</w:t>
      </w:r>
      <w:r>
        <w:rPr>
          <w:rFonts w:ascii="Arial" w:cs="Arial" w:eastAsia="Arial" w:hAnsi="Arial"/>
          <w:sz w:val="20"/>
          <w:szCs w:val="20"/>
          <w:color w:val="auto"/>
        </w:rPr>
        <w:t>”) against any losses, claims, damages or liabilities, joint or several, to which any Participant may become subject under the Securities Act, the Exchange Act or otherwise, insofar as any such losses, claims, damages or liabilities (or actions in respect thereof) arise out of or are based upon:</w:t>
      </w:r>
    </w:p>
    <w:p>
      <w:pPr>
        <w:spacing w:after="0" w:line="213" w:lineRule="exact"/>
        <w:rPr>
          <w:rFonts w:ascii="Arial" w:cs="Arial" w:eastAsia="Arial" w:hAnsi="Arial"/>
          <w:sz w:val="22"/>
          <w:szCs w:val="22"/>
          <w:color w:val="auto"/>
        </w:rPr>
      </w:pPr>
    </w:p>
    <w:p>
      <w:pPr>
        <w:ind w:left="644" w:right="180" w:firstLine="652"/>
        <w:spacing w:after="0" w:line="284" w:lineRule="auto"/>
        <w:tabs>
          <w:tab w:leader="none" w:pos="1676" w:val="left"/>
        </w:tabs>
        <w:numPr>
          <w:ilvl w:val="2"/>
          <w:numId w:val="53"/>
        </w:numPr>
        <w:rPr>
          <w:rFonts w:ascii="Arial" w:cs="Arial" w:eastAsia="Arial" w:hAnsi="Arial"/>
          <w:sz w:val="21"/>
          <w:szCs w:val="21"/>
          <w:color w:val="auto"/>
        </w:rPr>
      </w:pPr>
      <w:r>
        <w:rPr>
          <w:rFonts w:ascii="Arial" w:cs="Arial" w:eastAsia="Arial" w:hAnsi="Arial"/>
          <w:sz w:val="19"/>
          <w:szCs w:val="19"/>
          <w:color w:val="auto"/>
        </w:rPr>
        <w:t>any untrue statement or alleged untrue statement of any material fact contained in any Registration Statement (or any amendment thereto) or Prospectus included therein (as amended or supplemented if the Issuers shall have furnished any amendments or supplements thereto) or any preliminary prospectus; or</w:t>
      </w:r>
    </w:p>
    <w:p>
      <w:pPr>
        <w:spacing w:after="0" w:line="196" w:lineRule="exact"/>
        <w:rPr>
          <w:rFonts w:ascii="Arial" w:cs="Arial" w:eastAsia="Arial" w:hAnsi="Arial"/>
          <w:sz w:val="21"/>
          <w:szCs w:val="21"/>
          <w:color w:val="auto"/>
        </w:rPr>
      </w:pPr>
    </w:p>
    <w:p>
      <w:pPr>
        <w:ind w:left="644" w:firstLine="652"/>
        <w:spacing w:after="0" w:line="324" w:lineRule="auto"/>
        <w:tabs>
          <w:tab w:leader="none" w:pos="1736" w:val="left"/>
        </w:tabs>
        <w:numPr>
          <w:ilvl w:val="2"/>
          <w:numId w:val="53"/>
        </w:numPr>
        <w:rPr>
          <w:rFonts w:ascii="Arial" w:cs="Arial" w:eastAsia="Arial" w:hAnsi="Arial"/>
          <w:sz w:val="18"/>
          <w:szCs w:val="18"/>
          <w:color w:val="auto"/>
        </w:rPr>
      </w:pPr>
      <w:r>
        <w:rPr>
          <w:rFonts w:ascii="Arial" w:cs="Arial" w:eastAsia="Arial" w:hAnsi="Arial"/>
          <w:sz w:val="17"/>
          <w:szCs w:val="17"/>
          <w:color w:val="auto"/>
        </w:rPr>
        <w:t>the omission or alleged omission to state, in any Registration Statement (or any amendment thereto) or Prospectus included therein (as amended or supplemented if the Issuers shall have furnished any amendments or supplements thereto) or any preliminary prospectus or any other document or any amendment or supplement thereto, in respect of such Registration Statement (or any amendment thereto), a material fact required to be stated therein or necessary to make the statements therein not misleading, or, in respect of such Prospectus (or any amendment or supplement thereto), a material fact necessary to make the statements therein, in the light of the circumstances under which they were made, not misleading.</w:t>
      </w:r>
    </w:p>
    <w:p>
      <w:pPr>
        <w:spacing w:after="0" w:line="143" w:lineRule="exact"/>
        <w:rPr>
          <w:sz w:val="20"/>
          <w:szCs w:val="20"/>
          <w:color w:val="auto"/>
        </w:rPr>
      </w:pPr>
    </w:p>
    <w:p>
      <w:pPr>
        <w:ind w:left="4" w:right="240"/>
        <w:spacing w:after="0" w:line="246" w:lineRule="auto"/>
        <w:rPr>
          <w:sz w:val="20"/>
          <w:szCs w:val="20"/>
          <w:color w:val="auto"/>
        </w:rPr>
      </w:pPr>
      <w:r>
        <w:rPr>
          <w:rFonts w:ascii="Arial" w:cs="Arial" w:eastAsia="Arial" w:hAnsi="Arial"/>
          <w:sz w:val="20"/>
          <w:szCs w:val="20"/>
          <w:color w:val="auto"/>
        </w:rPr>
        <w:t>except, in each case, insofar as such losses, claims, damages or liabilities are arising out of or based upon any untrue statement or omission or alleged untrue statement or omission made in reliance upon and in conformity with any information relating to any Initial Purchaser or any Holder furnished to the Issuers in writing through the Initial Purchasers or any selling Holder expressly for use therein;</w:t>
      </w:r>
    </w:p>
    <w:p>
      <w:pPr>
        <w:spacing w:after="0" w:line="191" w:lineRule="exact"/>
        <w:rPr>
          <w:sz w:val="20"/>
          <w:szCs w:val="20"/>
          <w:color w:val="auto"/>
        </w:rPr>
      </w:pPr>
    </w:p>
    <w:p>
      <w:pPr>
        <w:ind w:left="4" w:right="40"/>
        <w:spacing w:after="0" w:line="263" w:lineRule="auto"/>
        <w:rPr>
          <w:sz w:val="20"/>
          <w:szCs w:val="20"/>
          <w:color w:val="auto"/>
        </w:rPr>
      </w:pPr>
      <w:r>
        <w:rPr>
          <w:rFonts w:ascii="Arial" w:cs="Arial" w:eastAsia="Arial" w:hAnsi="Arial"/>
          <w:sz w:val="19"/>
          <w:szCs w:val="19"/>
          <w:color w:val="auto"/>
        </w:rPr>
        <w:t xml:space="preserve">and agree (subject to the limitations set forth in the proviso to this sentence) to reimburse, as incurred, the Participant for any reasonable legal or other out of pocket expenses incurred by the Participant in connection with investigating, defending against or appearing as a third-party witness in connection with any such loss, claim, damage, liability or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neither the Issuers nor the Guarantors will be liable in any such case to the extent that any such</w:t>
      </w:r>
    </w:p>
    <w:p>
      <w:pPr>
        <w:sectPr>
          <w:pgSz w:w="11900" w:h="16838" w:orient="portrait"/>
          <w:cols w:equalWidth="0" w:num="1">
            <w:col w:w="10584"/>
          </w:cols>
          <w:pgMar w:left="976" w:top="339" w:right="339" w:bottom="1440" w:gutter="0" w:footer="0" w:header="0"/>
        </w:sectPr>
      </w:pPr>
    </w:p>
    <w:bookmarkStart w:id="111" w:name="page112"/>
    <w:bookmarkEnd w:id="111"/>
    <w:p>
      <w:pPr>
        <w:spacing w:after="0" w:line="271" w:lineRule="auto"/>
        <w:rPr>
          <w:sz w:val="20"/>
          <w:szCs w:val="20"/>
          <w:color w:val="auto"/>
        </w:rPr>
      </w:pPr>
      <w:r>
        <w:rPr>
          <w:rFonts w:ascii="Arial" w:cs="Arial" w:eastAsia="Arial" w:hAnsi="Arial"/>
          <w:sz w:val="18"/>
          <w:szCs w:val="18"/>
          <w:color w:val="auto"/>
        </w:rPr>
        <w:t>loss, claim, damage, or liability arises out of or is based upon any untrue statement or alleged untrue statement or omission or alleged omission made in any Registration Statement (or any amendment thereto) or Prospectus (as amended or supplemented if the Issuers shall have furnished any amendments or supplements thereto) or any preliminary prospectus or any amendment or supplement thereto in reliance upon and in conformity with written information relating to any Participant furnished to the Issuers by such Participant specifically for use therein. The indemnity provided for in this Section 8 will be in addition to any liability that the Issuers may otherwise have to the indemnified parties. The Issuers and the Guarantors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Issuers and the Guarantors, which consent shall not be unreasonably withheld.</w:t>
      </w:r>
    </w:p>
    <w:p>
      <w:pPr>
        <w:spacing w:after="0" w:line="201" w:lineRule="exact"/>
        <w:rPr>
          <w:sz w:val="20"/>
          <w:szCs w:val="20"/>
          <w:color w:val="auto"/>
        </w:rPr>
      </w:pPr>
    </w:p>
    <w:p>
      <w:pPr>
        <w:ind w:right="40" w:firstLine="644"/>
        <w:spacing w:after="0" w:line="299" w:lineRule="auto"/>
        <w:tabs>
          <w:tab w:leader="none" w:pos="1080" w:val="left"/>
        </w:tabs>
        <w:numPr>
          <w:ilvl w:val="0"/>
          <w:numId w:val="54"/>
        </w:numPr>
        <w:rPr>
          <w:rFonts w:ascii="Arial" w:cs="Arial" w:eastAsia="Arial" w:hAnsi="Arial"/>
          <w:sz w:val="19"/>
          <w:szCs w:val="19"/>
          <w:color w:val="auto"/>
        </w:rPr>
      </w:pPr>
      <w:r>
        <w:rPr>
          <w:rFonts w:ascii="Arial" w:cs="Arial" w:eastAsia="Arial" w:hAnsi="Arial"/>
          <w:sz w:val="18"/>
          <w:szCs w:val="18"/>
          <w:color w:val="auto"/>
        </w:rPr>
        <w:t>Each Participant, severally and not jointly, agrees to indemnify and hold harmless the Issuers, the Guarantors, their respective directors (or equivalent), their respective officers who sign any Registration Statement, affiliates and each person, if any, who controls the Issuers within the meaning of Section 15 of the Act or Section 20 of the Exchange Act against any losses, claims, damages or liabilities to which the Issuers, the Guarantors or any such director, officer, affiliate or controlling person may become subject under the Act, the Exchange Act or otherwise, insofar as such losses, claims, damages or liabilities (or actions in respect thereof) arise out of or are based upon (i) any untrue statement or alleged untrue statement of any material fact contained in any Registration Statement or Prospectus, any amendment or supplement thereto, or any preliminary prospectus, or (ii) the omission or the alleged omission to state therein a material fact necessary to make the statements therein not misleading, in each case to the extent, but only to the extent, that such untrue statement or alleged untrue statement or omission or alleged omission was made in reliance upon and in conformity with written information concerning such Participant, furnished to the Issuers by or on behalf of such Participant, specifically for use therein; and subject to the limitation set forth immediately preceding this clause, will reimburse, as incurred, any reasonable legal or other expenses incurred by the Issuers, the Guarantors or any such director, officer, affiliate or controlling person in connection with investigating or defending against or appearing as a third party witness in connection with any such loss, claim, damage, liability or action in respect thereof. The indemnity provided for in this Section 8 will be in addition to any liability that the Participants may otherwise have to the indemnified parties. The Participants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Participants, which consent shall not be unreasonably withheld.</w:t>
      </w:r>
    </w:p>
    <w:p>
      <w:pPr>
        <w:spacing w:after="0" w:line="189" w:lineRule="exact"/>
        <w:rPr>
          <w:rFonts w:ascii="Arial" w:cs="Arial" w:eastAsia="Arial" w:hAnsi="Arial"/>
          <w:sz w:val="19"/>
          <w:szCs w:val="19"/>
          <w:color w:val="auto"/>
        </w:rPr>
      </w:pPr>
    </w:p>
    <w:p>
      <w:pPr>
        <w:ind w:right="80" w:firstLine="644"/>
        <w:spacing w:after="0" w:line="266" w:lineRule="auto"/>
        <w:tabs>
          <w:tab w:leader="none" w:pos="1068" w:val="left"/>
        </w:tabs>
        <w:numPr>
          <w:ilvl w:val="0"/>
          <w:numId w:val="54"/>
        </w:numPr>
        <w:rPr>
          <w:rFonts w:ascii="Arial" w:cs="Arial" w:eastAsia="Arial" w:hAnsi="Arial"/>
          <w:sz w:val="22"/>
          <w:szCs w:val="22"/>
          <w:color w:val="auto"/>
        </w:rPr>
      </w:pPr>
      <w:r>
        <w:rPr>
          <w:rFonts w:ascii="Arial" w:cs="Arial" w:eastAsia="Arial" w:hAnsi="Arial"/>
          <w:sz w:val="20"/>
          <w:szCs w:val="20"/>
          <w:color w:val="auto"/>
        </w:rPr>
        <w:t>Promptly after receipt by an indemnified party under this Section 8 of written notice of the commencement of any action, such indemnified party will, if a claim in respect thereof is to be made against the indemnifying party under this Section 8, notify the indemnifying party of the commencement thereof in writing; but the omission to so notify the indemnifying party (i) will not relieve it from any liability under paragraph (a) or (b) above unless and to the extent it did not otherwise learn of such action and such failure materially prejudices the indemnifying party (through the forfeiture of substantive rights and defenses) and (ii) will not, in</w:t>
      </w:r>
    </w:p>
    <w:p>
      <w:pPr>
        <w:sectPr>
          <w:pgSz w:w="11900" w:h="16838" w:orient="portrait"/>
          <w:cols w:equalWidth="0" w:num="1">
            <w:col w:w="10560"/>
          </w:cols>
          <w:pgMar w:left="980" w:top="555" w:right="359" w:bottom="1440" w:gutter="0" w:footer="0" w:header="0"/>
        </w:sectPr>
      </w:pPr>
    </w:p>
    <w:bookmarkStart w:id="112" w:name="page113"/>
    <w:bookmarkEnd w:id="112"/>
    <w:p>
      <w:pPr>
        <w:spacing w:after="0" w:line="267" w:lineRule="auto"/>
        <w:rPr>
          <w:sz w:val="20"/>
          <w:szCs w:val="20"/>
          <w:color w:val="auto"/>
        </w:rPr>
      </w:pPr>
      <w:r>
        <w:rPr>
          <w:rFonts w:ascii="Arial" w:cs="Arial" w:eastAsia="Arial" w:hAnsi="Arial"/>
          <w:sz w:val="18"/>
          <w:szCs w:val="18"/>
          <w:color w:val="auto"/>
        </w:rPr>
        <w:t xml:space="preserve">any event, relieve the indemnifying party from any obligations to any indemnified party other than the indemnification obligation provided in paragraphs (a) and (b) above.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to the indemnified person); (ii) such action includes both the indemnified party and the indemnifying party and the indemnified party shall have reasonably concluded (based on the advice of counsel to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separate but related or substantially similar proceedings in the same jurisdiction arising out of the same general allegations or circumstances, be liable for the reasonable fees and expenses of more than one separate firm (in addition to any local counsel that is required to effectively defend against any such proceedings) representing the indemnified parties under paragraph (a) or paragraph (b) of this Section 8, as the case may be, who are parties to such action or actions. Any such separate firm for any Participants shall be designated in writing by Participants who sold a majority in aggregate principal amount of the Registrable Securities and Exchange Securities sold by all such Participants in the case of paragraph (a) of this Section 8 or the Issuers in the case of paragraph (b) of this Section 8. In the event that any Participants are indemnified persons collectively entitled, in connection with a proceeding or separate but related or substantially similar proceedings in a single jurisdiction, to the payment of fees and expenses of a single separate firm under this Section 8(c), and any such Participants cannot agree to a mutually acceptable separate firm to act as counsel thereto, then such separate firm for all such indemnified parties shall be designated in writing by Participants who sold a majority in aggregate principal amount of the Registrable Securities and Exchange Securities sold by all such Participants.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 All fees and expenses reimbursed pursuant to this paragraph (c) shall be reimbursed as they are incurred.</w:t>
      </w:r>
    </w:p>
    <w:p>
      <w:pPr>
        <w:spacing w:after="0" w:line="217" w:lineRule="exact"/>
        <w:rPr>
          <w:sz w:val="20"/>
          <w:szCs w:val="20"/>
          <w:color w:val="auto"/>
        </w:rPr>
      </w:pPr>
    </w:p>
    <w:p>
      <w:pPr>
        <w:ind w:right="60" w:firstLine="644"/>
        <w:spacing w:after="0" w:line="264" w:lineRule="auto"/>
        <w:tabs>
          <w:tab w:leader="none" w:pos="1080" w:val="left"/>
        </w:tabs>
        <w:numPr>
          <w:ilvl w:val="0"/>
          <w:numId w:val="55"/>
        </w:numPr>
        <w:rPr>
          <w:rFonts w:ascii="Arial" w:cs="Arial" w:eastAsia="Arial" w:hAnsi="Arial"/>
          <w:sz w:val="22"/>
          <w:szCs w:val="22"/>
          <w:color w:val="auto"/>
        </w:rPr>
      </w:pPr>
      <w:r>
        <w:rPr>
          <w:rFonts w:ascii="Arial" w:cs="Arial" w:eastAsia="Arial" w:hAnsi="Arial"/>
          <w:sz w:val="20"/>
          <w:szCs w:val="20"/>
          <w:color w:val="auto"/>
        </w:rPr>
        <w:t>After notice from the indemnifying party to such indemnified party of its election so to assume the defense thereof and approval by such indemnified party of counsel appointed to</w:t>
      </w:r>
    </w:p>
    <w:p>
      <w:pPr>
        <w:sectPr>
          <w:pgSz w:w="11900" w:h="16838" w:orient="portrait"/>
          <w:cols w:equalWidth="0" w:num="1">
            <w:col w:w="10540"/>
          </w:cols>
          <w:pgMar w:left="980" w:top="339" w:right="379" w:bottom="1440" w:gutter="0" w:footer="0" w:header="0"/>
        </w:sectPr>
      </w:pPr>
    </w:p>
    <w:bookmarkStart w:id="113" w:name="page114"/>
    <w:bookmarkEnd w:id="113"/>
    <w:p>
      <w:pPr>
        <w:spacing w:after="0" w:line="242" w:lineRule="auto"/>
        <w:rPr>
          <w:sz w:val="20"/>
          <w:szCs w:val="20"/>
          <w:color w:val="auto"/>
        </w:rPr>
      </w:pPr>
      <w:r>
        <w:rPr>
          <w:rFonts w:ascii="Arial" w:cs="Arial" w:eastAsia="Arial" w:hAnsi="Arial"/>
          <w:sz w:val="20"/>
          <w:szCs w:val="20"/>
          <w:color w:val="auto"/>
        </w:rPr>
        <w:t>defend such action, the indemnifying party will not be liable to such indemnified party under this Section 8 for any legal or other expenses, other than reasonable costs of investigation, subsequently incurred by such indemnified party in connection with the defense thereof, unless (i) the indemnified party shall have employed separate counsel in accordance with the third sentence of paragraph (c) of this Section 8 or (ii) the indemnifying party has authorized in writing the employment of counsel for the indemnified party at the expense of the indemnifying party. After such notice from the indemnifying party to such indemnified party, the indemnifying party will not be liable for the costs and expenses of any settlement of such action effected by such indemnified party without the prior written consent of the indemnifying party (which consent shall not be unreasonably withheld), unless such indemnified party waived in writing its rights under this Section 8, in which case the indemnified party may effect such a settlement without such consent.</w:t>
      </w:r>
    </w:p>
    <w:p>
      <w:pPr>
        <w:spacing w:after="0" w:line="221" w:lineRule="exact"/>
        <w:rPr>
          <w:sz w:val="20"/>
          <w:szCs w:val="20"/>
          <w:color w:val="auto"/>
        </w:rPr>
      </w:pPr>
    </w:p>
    <w:p>
      <w:pPr>
        <w:ind w:firstLine="644"/>
        <w:spacing w:after="0" w:line="298" w:lineRule="auto"/>
        <w:tabs>
          <w:tab w:leader="none" w:pos="1068" w:val="left"/>
        </w:tabs>
        <w:numPr>
          <w:ilvl w:val="0"/>
          <w:numId w:val="56"/>
        </w:numPr>
        <w:rPr>
          <w:rFonts w:ascii="Arial" w:cs="Arial" w:eastAsia="Arial" w:hAnsi="Arial"/>
          <w:sz w:val="19"/>
          <w:szCs w:val="19"/>
          <w:color w:val="auto"/>
        </w:rPr>
      </w:pPr>
      <w:r>
        <w:rPr>
          <w:rFonts w:ascii="Arial" w:cs="Arial" w:eastAsia="Arial" w:hAnsi="Arial"/>
          <w:sz w:val="18"/>
          <w:szCs w:val="18"/>
          <w:color w:val="auto"/>
        </w:rPr>
        <w:t>In circumstances in which the indemnity agreement provided for in the preceding paragraphs of this Section 8 is unavailable to, or insufficient to hold harmless, an indemnified party in respect of any losses, claims, damages or liabilities (or actions in respect thereof) (other than by virtue of the failure of an indemnified party to notify the indemnifying party of its right to indemnification pursuant to paragraph (a) or (b) of this Section 8, where such failure materially prejudices the indemnifying party (through the forfeiture of substantive rights or defenses)), each indemnifying party, in order to provide for just and equitable contribution, shall contribute to the amount paid or payable by such indemnified party as a result of such losses, claims, damages or liabilities (or actions in respect thereof) in such proportion as is appropriate to reflect (i) the relative benefits received by the indemnifying party or parties on the one hand and the indemnified party on the other from the offering of the Securities or (ii) if the allocation provided by the foregoing clause (i) is not permitted by applicable law, not only such relative benefits but also the relative fault of the indemnifying party or parties on the one hand and the indemnified party on the other in connection with the statements or omissions or alleged statements or omissions that resulted in such losses, claims, damages or liabilities (or actions in respect thereof). The relative benefits received by the Issuers and the Guarantors on the one hand and such Participant on the other shall be deemed to be in the same proportion that the total net proceeds from the offering (before deducting expenses) of the Securities received by the Issuers bear to the total discounts and commissions received by such Participant in connection with the sale of the Securities (or if such Participant did not receive discounts or commissions, the value of receiving the Securities, Private Exchange Securities or Exchange Securities registered under the Securities Act). The relative fault of the parties shall be determined by reference to, among other things, whether the untrue or alleged untrue statement of a material fact or the omission or alleged omission to state a material fact relates to information supplied by the Issuers and the Guarantors on the one hand, or the Participants on the other, the parties’ relative intent, knowledge, access to information and opportunity to correct or prevent such statement or omission or alleged statement or omission, and any other equitable considerations appropriate in the circumstances. The parties agree that it would not be equitable if the amount of such contribution were determined by pro rata or per capita allocation or by any other method of allocation that does not take into account the equitable considerations referred to in the first sentence of this paragraph (e). Notwithstanding any other provision of this paragraph (e), no Participant shall be obligated to make contributions hereunder that in the aggregate exceed the total discounts, commissions and other compensation or net proceeds on the sale of Securities received by such Participant in connection with the sale of the Securities, less the aggregate amount of any damages that such Participant has otherwise been required to pay by reason of the untrue or alleged untrue statements or the omissions or alleged omissions to state a material fact, and no person guilty of</w:t>
      </w:r>
    </w:p>
    <w:p>
      <w:pPr>
        <w:sectPr>
          <w:pgSz w:w="11900" w:h="16838" w:orient="portrait"/>
          <w:cols w:equalWidth="0" w:num="1">
            <w:col w:w="10560"/>
          </w:cols>
          <w:pgMar w:left="980" w:top="339" w:right="359" w:bottom="1440" w:gutter="0" w:footer="0" w:header="0"/>
        </w:sectPr>
      </w:pPr>
    </w:p>
    <w:bookmarkStart w:id="114" w:name="page115"/>
    <w:bookmarkEnd w:id="114"/>
    <w:p>
      <w:pPr>
        <w:ind w:left="4" w:right="20"/>
        <w:spacing w:after="0" w:line="276" w:lineRule="auto"/>
        <w:rPr>
          <w:sz w:val="20"/>
          <w:szCs w:val="20"/>
          <w:color w:val="auto"/>
        </w:rPr>
      </w:pPr>
      <w:r>
        <w:rPr>
          <w:rFonts w:ascii="Arial" w:cs="Arial" w:eastAsia="Arial" w:hAnsi="Arial"/>
          <w:sz w:val="18"/>
          <w:szCs w:val="18"/>
          <w:color w:val="auto"/>
        </w:rPr>
        <w:t>fraudulent misrepresentation (within the meaning of Section 11(f) of the Securities Act) shall be entitled to contribution from any person who was not guilty of such fraudulent misrepresentation. For purposes of this paragraph (d), each person, if any, who controls a Participant within the meaning of Section 15 of the Securities Act or Section 20 of the Exchange Act shall have the same rights to contribution as the Participants, and each director of the Issuers and the Guarantors, each officer of the Issuers and the Guarantors and each person, if any, who controls any of the Issuers and the Guarantors within the meaning of Section 15 of the Securities Act or Section 20 of the Exchange Act, shall have the same rights to contribution as the Issuers.</w:t>
      </w:r>
    </w:p>
    <w:p>
      <w:pPr>
        <w:spacing w:after="0" w:line="189" w:lineRule="exact"/>
        <w:rPr>
          <w:sz w:val="20"/>
          <w:szCs w:val="20"/>
          <w:color w:val="auto"/>
        </w:rPr>
      </w:pPr>
    </w:p>
    <w:p>
      <w:pPr>
        <w:ind w:left="344" w:hanging="344"/>
        <w:spacing w:after="0"/>
        <w:tabs>
          <w:tab w:leader="none" w:pos="344" w:val="left"/>
        </w:tabs>
        <w:numPr>
          <w:ilvl w:val="0"/>
          <w:numId w:val="57"/>
        </w:numPr>
        <w:rPr>
          <w:rFonts w:ascii="Arial" w:cs="Arial" w:eastAsia="Arial" w:hAnsi="Arial"/>
          <w:sz w:val="22"/>
          <w:szCs w:val="22"/>
          <w:color w:val="auto"/>
        </w:rPr>
      </w:pPr>
      <w:r>
        <w:rPr>
          <w:rFonts w:ascii="Arial" w:cs="Arial" w:eastAsia="Arial" w:hAnsi="Arial"/>
          <w:sz w:val="20"/>
          <w:szCs w:val="20"/>
          <w:u w:val="single" w:color="auto"/>
          <w:color w:val="auto"/>
        </w:rPr>
        <w:t>Rule 144A</w:t>
      </w:r>
    </w:p>
    <w:p>
      <w:pPr>
        <w:spacing w:after="0" w:line="209" w:lineRule="exact"/>
        <w:rPr>
          <w:sz w:val="20"/>
          <w:szCs w:val="20"/>
          <w:color w:val="auto"/>
        </w:rPr>
      </w:pPr>
    </w:p>
    <w:p>
      <w:pPr>
        <w:ind w:left="4" w:firstLine="648"/>
        <w:spacing w:after="0" w:line="255" w:lineRule="auto"/>
        <w:rPr>
          <w:sz w:val="20"/>
          <w:szCs w:val="20"/>
          <w:color w:val="auto"/>
        </w:rPr>
      </w:pPr>
      <w:r>
        <w:rPr>
          <w:rFonts w:ascii="Arial" w:cs="Arial" w:eastAsia="Arial" w:hAnsi="Arial"/>
          <w:sz w:val="19"/>
          <w:szCs w:val="19"/>
          <w:color w:val="auto"/>
        </w:rPr>
        <w:t>The Issuers covenant and agree that they will use reasonable best efforts to file the reports required to be filed by it under the Securities Act and the Exchange Act and the rules and regulations adopted by the SEC thereunder in a timely manner in accordance with the requirements of the Securities Act and the Exchange Act (it being understood that the foregoing shall be deemed to be satisfied upon the filing of any reports by Holdings as required by the Securities Act and the Exchange Act and the rules and regulations adopted by the SEC thereunder, so long as Holdings remains a Guarantor under the Notes) and, if at any time the Issuers are not required to file such reports, the Issuers will, upon the reasonable request of any Holder or beneficial owner of Registrable Securities, make available such information necessary to permit sales pursuant to Rule 144A. The Issuers further covenant and agree, for so long as any Registrable Securities remain outstanding that they will take such further action as any Holder of Registrable Securities may reasonably request, all to the extent required from time to time to enable such holder to sell Registrable Securities without registration under the Securities Act within the limitation of the exemptions provided by Rule 144A unless the Issuers are then subject to Section 13 or 15(d) of the Exchange Act and reports filed thereunder satisfy the information requirements of Rule 144A then in effect.</w:t>
      </w:r>
    </w:p>
    <w:p>
      <w:pPr>
        <w:spacing w:after="0" w:line="209" w:lineRule="exact"/>
        <w:rPr>
          <w:sz w:val="20"/>
          <w:szCs w:val="20"/>
          <w:color w:val="auto"/>
        </w:rPr>
      </w:pPr>
    </w:p>
    <w:p>
      <w:pPr>
        <w:ind w:left="444" w:hanging="444"/>
        <w:spacing w:after="0"/>
        <w:tabs>
          <w:tab w:leader="none" w:pos="444" w:val="left"/>
        </w:tabs>
        <w:numPr>
          <w:ilvl w:val="0"/>
          <w:numId w:val="58"/>
        </w:numPr>
        <w:rPr>
          <w:rFonts w:ascii="Arial" w:cs="Arial" w:eastAsia="Arial" w:hAnsi="Arial"/>
          <w:sz w:val="22"/>
          <w:szCs w:val="22"/>
          <w:color w:val="auto"/>
        </w:rPr>
      </w:pPr>
      <w:r>
        <w:rPr>
          <w:rFonts w:ascii="Arial" w:cs="Arial" w:eastAsia="Arial" w:hAnsi="Arial"/>
          <w:sz w:val="20"/>
          <w:szCs w:val="20"/>
          <w:u w:val="single" w:color="auto"/>
          <w:color w:val="auto"/>
        </w:rPr>
        <w:t>Underwritten Registrations</w:t>
      </w:r>
    </w:p>
    <w:p>
      <w:pPr>
        <w:spacing w:after="0" w:line="209" w:lineRule="exact"/>
        <w:rPr>
          <w:sz w:val="20"/>
          <w:szCs w:val="20"/>
          <w:color w:val="auto"/>
        </w:rPr>
      </w:pPr>
    </w:p>
    <w:p>
      <w:pPr>
        <w:ind w:left="4" w:firstLine="648"/>
        <w:spacing w:after="0" w:line="260" w:lineRule="auto"/>
        <w:rPr>
          <w:sz w:val="20"/>
          <w:szCs w:val="20"/>
          <w:color w:val="auto"/>
        </w:rPr>
      </w:pPr>
      <w:r>
        <w:rPr>
          <w:rFonts w:ascii="Arial" w:cs="Arial" w:eastAsia="Arial" w:hAnsi="Arial"/>
          <w:sz w:val="19"/>
          <w:szCs w:val="19"/>
          <w:color w:val="auto"/>
        </w:rPr>
        <w:t>The Issuers and the Guarantors shall not be required to assist in an underwritten offering unless requested by the Holders of a majority in aggregate principal amount of the Registrable Securities. If any of the Registrable Securities covered by any Shelf Registration are to be sold in an underwritten offering, the investment banker or investment bankers and manager or managers that will manage the offering will be selected by the Holders of a majority in aggregate principal amount of such Registrable Securities included in such offering and shall be reasonably acceptable to the Issuers.</w:t>
      </w:r>
    </w:p>
    <w:p>
      <w:pPr>
        <w:spacing w:after="0" w:line="180" w:lineRule="exact"/>
        <w:rPr>
          <w:sz w:val="20"/>
          <w:szCs w:val="20"/>
          <w:color w:val="auto"/>
        </w:rPr>
      </w:pPr>
    </w:p>
    <w:p>
      <w:pPr>
        <w:ind w:left="4" w:right="40" w:firstLine="648"/>
        <w:spacing w:after="0" w:line="282" w:lineRule="auto"/>
        <w:rPr>
          <w:sz w:val="20"/>
          <w:szCs w:val="20"/>
          <w:color w:val="auto"/>
        </w:rPr>
      </w:pPr>
      <w:r>
        <w:rPr>
          <w:rFonts w:ascii="Arial" w:cs="Arial" w:eastAsia="Arial" w:hAnsi="Arial"/>
          <w:sz w:val="18"/>
          <w:szCs w:val="18"/>
          <w:color w:val="auto"/>
        </w:rPr>
        <w:t>No Holder of Registrable Securities may participate in any underwritten registration hereunder unless such Holder (a) agrees to sell such 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186" w:lineRule="exact"/>
        <w:rPr>
          <w:sz w:val="20"/>
          <w:szCs w:val="20"/>
          <w:color w:val="auto"/>
        </w:rPr>
      </w:pPr>
    </w:p>
    <w:p>
      <w:pPr>
        <w:ind w:left="444" w:hanging="444"/>
        <w:spacing w:after="0"/>
        <w:tabs>
          <w:tab w:leader="none" w:pos="444" w:val="left"/>
        </w:tabs>
        <w:numPr>
          <w:ilvl w:val="0"/>
          <w:numId w:val="59"/>
        </w:numPr>
        <w:rPr>
          <w:rFonts w:ascii="Arial" w:cs="Arial" w:eastAsia="Arial" w:hAnsi="Arial"/>
          <w:sz w:val="22"/>
          <w:szCs w:val="22"/>
          <w:color w:val="auto"/>
        </w:rPr>
      </w:pPr>
      <w:r>
        <w:rPr>
          <w:rFonts w:ascii="Arial" w:cs="Arial" w:eastAsia="Arial" w:hAnsi="Arial"/>
          <w:sz w:val="20"/>
          <w:szCs w:val="20"/>
          <w:u w:val="single" w:color="auto"/>
          <w:color w:val="auto"/>
        </w:rPr>
        <w:t>Miscellaneous</w:t>
      </w:r>
    </w:p>
    <w:p>
      <w:pPr>
        <w:spacing w:after="0" w:line="235" w:lineRule="exact"/>
        <w:rPr>
          <w:rFonts w:ascii="Arial" w:cs="Arial" w:eastAsia="Arial" w:hAnsi="Arial"/>
          <w:sz w:val="22"/>
          <w:szCs w:val="22"/>
          <w:color w:val="auto"/>
        </w:rPr>
      </w:pPr>
    </w:p>
    <w:p>
      <w:pPr>
        <w:ind w:left="4" w:right="180" w:firstLine="644"/>
        <w:spacing w:after="0" w:line="264" w:lineRule="auto"/>
        <w:tabs>
          <w:tab w:leader="none" w:pos="1072" w:val="left"/>
        </w:tabs>
        <w:numPr>
          <w:ilvl w:val="1"/>
          <w:numId w:val="59"/>
        </w:numPr>
        <w:rPr>
          <w:rFonts w:ascii="Arial" w:cs="Arial" w:eastAsia="Arial" w:hAnsi="Arial"/>
          <w:sz w:val="22"/>
          <w:szCs w:val="22"/>
          <w:color w:val="auto"/>
        </w:rPr>
      </w:pPr>
      <w:r>
        <w:rPr>
          <w:rFonts w:ascii="Arial" w:cs="Arial" w:eastAsia="Arial" w:hAnsi="Arial"/>
          <w:sz w:val="20"/>
          <w:szCs w:val="20"/>
          <w:u w:val="single" w:color="auto"/>
          <w:color w:val="auto"/>
        </w:rPr>
        <w:t>No Inconsistent Agreements</w:t>
      </w:r>
      <w:r>
        <w:rPr>
          <w:rFonts w:ascii="Arial" w:cs="Arial" w:eastAsia="Arial" w:hAnsi="Arial"/>
          <w:sz w:val="20"/>
          <w:szCs w:val="20"/>
          <w:color w:val="auto"/>
        </w:rPr>
        <w:t>. The Issuers and the Guarantors shall not enter into any agreement with respect to any of its securities that is inconsistent with the rights granted to</w:t>
      </w:r>
    </w:p>
    <w:p>
      <w:pPr>
        <w:sectPr>
          <w:pgSz w:w="11900" w:h="16838" w:orient="portrait"/>
          <w:cols w:equalWidth="0" w:num="1">
            <w:col w:w="10564"/>
          </w:cols>
          <w:pgMar w:left="976" w:top="339" w:right="359" w:bottom="1440" w:gutter="0" w:footer="0" w:header="0"/>
        </w:sectPr>
      </w:pPr>
    </w:p>
    <w:bookmarkStart w:id="115" w:name="page116"/>
    <w:bookmarkEnd w:id="115"/>
    <w:p>
      <w:pPr>
        <w:spacing w:after="0" w:line="244" w:lineRule="auto"/>
        <w:rPr>
          <w:sz w:val="20"/>
          <w:szCs w:val="20"/>
          <w:color w:val="auto"/>
        </w:rPr>
      </w:pPr>
      <w:r>
        <w:rPr>
          <w:rFonts w:ascii="Arial" w:cs="Arial" w:eastAsia="Arial" w:hAnsi="Arial"/>
          <w:sz w:val="20"/>
          <w:szCs w:val="20"/>
          <w:color w:val="auto"/>
        </w:rPr>
        <w:t>the Holders of Registrable Securities in this Agreement or otherwise conflicts with the provisions hereof. The rights granted to the Holders hereunder do not in any way conflict with and are not inconsistent with the rights granted to the holders of the Issuers’ other issued and outstanding securities under any such agreements. The Issuers and the Guarantors shall not enter into any agreement (other than this Agreement) with respect to any of the Securities which will grant to any Person piggy-back registration rights with respect to any Registration Statement.</w:t>
      </w:r>
    </w:p>
    <w:p>
      <w:pPr>
        <w:spacing w:after="0" w:line="221" w:lineRule="exact"/>
        <w:rPr>
          <w:sz w:val="20"/>
          <w:szCs w:val="20"/>
          <w:color w:val="auto"/>
        </w:rPr>
      </w:pPr>
    </w:p>
    <w:p>
      <w:pPr>
        <w:ind w:right="80" w:firstLine="644"/>
        <w:spacing w:after="0" w:line="284" w:lineRule="auto"/>
        <w:tabs>
          <w:tab w:leader="none" w:pos="1080" w:val="left"/>
        </w:tabs>
        <w:numPr>
          <w:ilvl w:val="0"/>
          <w:numId w:val="60"/>
        </w:numPr>
        <w:rPr>
          <w:rFonts w:ascii="Arial" w:cs="Arial" w:eastAsia="Arial" w:hAnsi="Arial"/>
          <w:sz w:val="21"/>
          <w:szCs w:val="21"/>
          <w:color w:val="auto"/>
        </w:rPr>
      </w:pPr>
      <w:r>
        <w:rPr>
          <w:rFonts w:ascii="Arial" w:cs="Arial" w:eastAsia="Arial" w:hAnsi="Arial"/>
          <w:sz w:val="19"/>
          <w:szCs w:val="19"/>
          <w:u w:val="single" w:color="auto"/>
          <w:color w:val="auto"/>
        </w:rPr>
        <w:t>Adjustments Affecting Registrable Securities</w:t>
      </w:r>
      <w:r>
        <w:rPr>
          <w:rFonts w:ascii="Arial" w:cs="Arial" w:eastAsia="Arial" w:hAnsi="Arial"/>
          <w:sz w:val="19"/>
          <w:szCs w:val="19"/>
          <w:color w:val="auto"/>
        </w:rPr>
        <w:t>. The Issuers and the Guarantors shall not, directly or indirectly, take any action with respect to the Registrable Securities as a class that would adversely affect the ability of the Holders of Registrable Securities to include such Registrable Securities in a registration undertaken pursuant to this Agreement.</w:t>
      </w:r>
    </w:p>
    <w:p>
      <w:pPr>
        <w:spacing w:after="0" w:line="196" w:lineRule="exact"/>
        <w:rPr>
          <w:rFonts w:ascii="Arial" w:cs="Arial" w:eastAsia="Arial" w:hAnsi="Arial"/>
          <w:sz w:val="21"/>
          <w:szCs w:val="21"/>
          <w:color w:val="auto"/>
        </w:rPr>
      </w:pPr>
    </w:p>
    <w:p>
      <w:pPr>
        <w:ind w:firstLine="644"/>
        <w:spacing w:after="0" w:line="299" w:lineRule="auto"/>
        <w:tabs>
          <w:tab w:leader="none" w:pos="1068" w:val="left"/>
        </w:tabs>
        <w:numPr>
          <w:ilvl w:val="0"/>
          <w:numId w:val="60"/>
        </w:numPr>
        <w:rPr>
          <w:rFonts w:ascii="Arial" w:cs="Arial" w:eastAsia="Arial" w:hAnsi="Arial"/>
          <w:sz w:val="19"/>
          <w:szCs w:val="19"/>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The provisions of this Agreement with respect to each series of Notes may not be amended, modified or supplemented, and waivers or consents to departures from the provisions hereof may not be given, otherwise than with the prior written consent of (I) the Issuers, and (II) (A) the Holders of not less than a majority in aggregate principal amount of the then outstanding Registrable Securities of such series of Notes and (B) in circumstances that would adversely affect the Participating Broker-Dealers, the Participating Broker-Dealers holding not less than a majority in aggregate principal amount of the applicable series of Exchange Notes held by all Participating Broker-Dealers;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Section 8 and this Section 11(c) may not be amended, modified or supplemented without the prior written consent of each Holder and each Participating Broker-Dealer (including any person who was a Holder or Participating Broker-Dealer of Registrable Securities or Exchange Securities, as the case may be, disposed of pursuant to any Registration Statement) affected by any such amendment, modification or supplement. Notwithstanding the foregoing, a waiver or consent to depart from the provisions hereof with respect to a matter that relates exclusively to the rights of Holders of Registrable Securities of a series of Notes whose securities are being sold pursuant to a Registration Statement and that does not directly or indirectly affect, impair, limit or compromise the rights of other Holders of Registrable Securities of such series that are not being sold pursuant to such Registration Statement may be given by Holders of at least a majority in aggregate principal amount of the Registrable Securities of the applicable series of Notes being sold pursuant to such Registration Statement.</w:t>
      </w:r>
    </w:p>
    <w:p>
      <w:pPr>
        <w:spacing w:after="0" w:line="194" w:lineRule="exact"/>
        <w:rPr>
          <w:rFonts w:ascii="Arial" w:cs="Arial" w:eastAsia="Arial" w:hAnsi="Arial"/>
          <w:sz w:val="19"/>
          <w:szCs w:val="19"/>
          <w:color w:val="auto"/>
        </w:rPr>
      </w:pPr>
    </w:p>
    <w:p>
      <w:pPr>
        <w:ind w:right="100" w:firstLine="644"/>
        <w:spacing w:after="0" w:line="265" w:lineRule="auto"/>
        <w:tabs>
          <w:tab w:leader="none" w:pos="1080" w:val="left"/>
        </w:tabs>
        <w:numPr>
          <w:ilvl w:val="0"/>
          <w:numId w:val="60"/>
        </w:numPr>
        <w:rPr>
          <w:rFonts w:ascii="Arial" w:cs="Arial" w:eastAsia="Arial" w:hAnsi="Arial"/>
          <w:sz w:val="22"/>
          <w:szCs w:val="22"/>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(including, without limitation, any notices or other communications to the applicable Trustee) provided for or permitted hereunder shall be made in writing by hand-delivery, registered first-class mail, next-day air courier or facsimile:</w:t>
      </w:r>
    </w:p>
    <w:p>
      <w:pPr>
        <w:spacing w:after="0" w:line="212" w:lineRule="exact"/>
        <w:rPr>
          <w:sz w:val="20"/>
          <w:szCs w:val="20"/>
          <w:color w:val="auto"/>
        </w:rPr>
      </w:pPr>
    </w:p>
    <w:p>
      <w:pPr>
        <w:ind w:left="640" w:right="180" w:firstLine="652"/>
        <w:spacing w:after="0" w:line="265" w:lineRule="auto"/>
        <w:tabs>
          <w:tab w:leader="none" w:pos="1672" w:val="left"/>
        </w:tabs>
        <w:numPr>
          <w:ilvl w:val="0"/>
          <w:numId w:val="61"/>
        </w:numPr>
        <w:rPr>
          <w:rFonts w:ascii="Arial" w:cs="Arial" w:eastAsia="Arial" w:hAnsi="Arial"/>
          <w:sz w:val="22"/>
          <w:szCs w:val="22"/>
          <w:color w:val="auto"/>
        </w:rPr>
      </w:pPr>
      <w:r>
        <w:rPr>
          <w:rFonts w:ascii="Arial" w:cs="Arial" w:eastAsia="Arial" w:hAnsi="Arial"/>
          <w:sz w:val="20"/>
          <w:szCs w:val="20"/>
          <w:color w:val="auto"/>
        </w:rPr>
        <w:t>if to a Holder of the Registrable Securities or any Participating Broker-Dealer, at the most current address of such Holder or Participating Broker-Dealer set forth on the records of the registrar under the Indenture, with a copy in like manner to the Initial Purchasers as follows: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BofA Securities,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50 Rockefeller Plaza</w:t>
      </w:r>
    </w:p>
    <w:p>
      <w:pPr>
        <w:ind w:left="1300"/>
        <w:spacing w:after="0"/>
        <w:rPr>
          <w:sz w:val="20"/>
          <w:szCs w:val="20"/>
          <w:color w:val="auto"/>
        </w:rPr>
      </w:pPr>
      <w:r>
        <w:rPr>
          <w:rFonts w:ascii="Arial" w:cs="Arial" w:eastAsia="Arial" w:hAnsi="Arial"/>
          <w:sz w:val="20"/>
          <w:szCs w:val="20"/>
          <w:color w:val="auto"/>
        </w:rPr>
        <w:t>NY1-050-12-01</w:t>
      </w:r>
    </w:p>
    <w:p>
      <w:pPr>
        <w:ind w:left="1300"/>
        <w:spacing w:after="0"/>
        <w:rPr>
          <w:sz w:val="20"/>
          <w:szCs w:val="20"/>
          <w:color w:val="auto"/>
        </w:rPr>
      </w:pPr>
      <w:r>
        <w:rPr>
          <w:rFonts w:ascii="Arial" w:cs="Arial" w:eastAsia="Arial" w:hAnsi="Arial"/>
          <w:sz w:val="20"/>
          <w:szCs w:val="20"/>
          <w:color w:val="auto"/>
        </w:rPr>
        <w:t>New York, New York 10020</w:t>
      </w:r>
    </w:p>
    <w:p>
      <w:pPr>
        <w:ind w:left="1300"/>
        <w:spacing w:after="0"/>
        <w:rPr>
          <w:sz w:val="20"/>
          <w:szCs w:val="20"/>
          <w:color w:val="auto"/>
        </w:rPr>
      </w:pPr>
      <w:r>
        <w:rPr>
          <w:rFonts w:ascii="Arial" w:cs="Arial" w:eastAsia="Arial" w:hAnsi="Arial"/>
          <w:sz w:val="20"/>
          <w:szCs w:val="20"/>
          <w:color w:val="auto"/>
        </w:rPr>
        <w:t>Attention: High Grade Transaction Management/Legal</w:t>
      </w:r>
    </w:p>
    <w:p>
      <w:pPr>
        <w:sectPr>
          <w:pgSz w:w="11900" w:h="16838" w:orient="portrait"/>
          <w:cols w:equalWidth="0" w:num="1">
            <w:col w:w="10500"/>
          </w:cols>
          <w:pgMar w:left="980" w:top="339" w:right="419" w:bottom="1440" w:gutter="0" w:footer="0" w:header="0"/>
        </w:sectPr>
      </w:pPr>
    </w:p>
    <w:bookmarkStart w:id="116" w:name="page117"/>
    <w:bookmarkEnd w:id="116"/>
    <w:p>
      <w:pPr>
        <w:ind w:left="130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Cahill Gordon &amp; Reindel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80 Pine Street</w:t>
      </w:r>
    </w:p>
    <w:p>
      <w:pPr>
        <w:ind w:left="1300"/>
        <w:spacing w:after="0"/>
        <w:rPr>
          <w:sz w:val="20"/>
          <w:szCs w:val="20"/>
          <w:color w:val="auto"/>
        </w:rPr>
      </w:pPr>
      <w:r>
        <w:rPr>
          <w:rFonts w:ascii="Arial" w:cs="Arial" w:eastAsia="Arial" w:hAnsi="Arial"/>
          <w:sz w:val="20"/>
          <w:szCs w:val="20"/>
          <w:color w:val="auto"/>
        </w:rPr>
        <w:t>New York, New York 10005</w:t>
      </w:r>
    </w:p>
    <w:p>
      <w:pPr>
        <w:ind w:left="1300"/>
        <w:spacing w:after="0"/>
        <w:rPr>
          <w:sz w:val="20"/>
          <w:szCs w:val="20"/>
          <w:color w:val="auto"/>
        </w:rPr>
      </w:pPr>
      <w:r>
        <w:rPr>
          <w:rFonts w:ascii="Arial" w:cs="Arial" w:eastAsia="Arial" w:hAnsi="Arial"/>
          <w:sz w:val="20"/>
          <w:szCs w:val="20"/>
          <w:color w:val="auto"/>
        </w:rPr>
        <w:t>Attention: Douglas Horowitz, Esq. and Joshua Zelig, Esq.</w:t>
      </w:r>
    </w:p>
    <w:p>
      <w:pPr>
        <w:spacing w:after="0" w:line="237" w:lineRule="exact"/>
        <w:rPr>
          <w:sz w:val="20"/>
          <w:szCs w:val="20"/>
          <w:color w:val="auto"/>
        </w:rPr>
      </w:pPr>
    </w:p>
    <w:p>
      <w:pPr>
        <w:ind w:left="1740" w:hanging="448"/>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0"/>
          <w:szCs w:val="20"/>
          <w:color w:val="auto"/>
        </w:rPr>
        <w:t>if to the Initial Purchasers, at the address specified in Section 11(d)(i);</w:t>
      </w:r>
    </w:p>
    <w:p>
      <w:pPr>
        <w:spacing w:after="0" w:line="233" w:lineRule="exact"/>
        <w:rPr>
          <w:rFonts w:ascii="Arial" w:cs="Arial" w:eastAsia="Arial" w:hAnsi="Arial"/>
          <w:sz w:val="22"/>
          <w:szCs w:val="22"/>
          <w:color w:val="auto"/>
        </w:rPr>
      </w:pPr>
    </w:p>
    <w:p>
      <w:pPr>
        <w:ind w:left="1800" w:hanging="508"/>
        <w:spacing w:after="0"/>
        <w:tabs>
          <w:tab w:leader="none" w:pos="1800" w:val="left"/>
        </w:tabs>
        <w:numPr>
          <w:ilvl w:val="0"/>
          <w:numId w:val="62"/>
        </w:numPr>
        <w:rPr>
          <w:rFonts w:ascii="Arial" w:cs="Arial" w:eastAsia="Arial" w:hAnsi="Arial"/>
          <w:sz w:val="22"/>
          <w:szCs w:val="22"/>
          <w:color w:val="auto"/>
        </w:rPr>
      </w:pPr>
      <w:r>
        <w:rPr>
          <w:rFonts w:ascii="Arial" w:cs="Arial" w:eastAsia="Arial" w:hAnsi="Arial"/>
          <w:sz w:val="20"/>
          <w:szCs w:val="20"/>
          <w:color w:val="auto"/>
        </w:rPr>
        <w:t>if to the Issuers, at the address as follows:</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Dell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One Dell Way, RR1-33</w:t>
      </w:r>
    </w:p>
    <w:p>
      <w:pPr>
        <w:ind w:left="1300"/>
        <w:spacing w:after="0"/>
        <w:rPr>
          <w:sz w:val="20"/>
          <w:szCs w:val="20"/>
          <w:color w:val="auto"/>
        </w:rPr>
      </w:pPr>
      <w:r>
        <w:rPr>
          <w:rFonts w:ascii="Arial" w:cs="Arial" w:eastAsia="Arial" w:hAnsi="Arial"/>
          <w:sz w:val="20"/>
          <w:szCs w:val="20"/>
          <w:color w:val="auto"/>
        </w:rPr>
        <w:t>Round Rock, Texas 78682</w:t>
      </w:r>
    </w:p>
    <w:p>
      <w:pPr>
        <w:ind w:left="1300"/>
        <w:spacing w:after="0"/>
        <w:rPr>
          <w:sz w:val="20"/>
          <w:szCs w:val="20"/>
          <w:color w:val="auto"/>
        </w:rPr>
      </w:pPr>
      <w:r>
        <w:rPr>
          <w:rFonts w:ascii="Arial" w:cs="Arial" w:eastAsia="Arial" w:hAnsi="Arial"/>
          <w:sz w:val="20"/>
          <w:szCs w:val="20"/>
          <w:color w:val="auto"/>
        </w:rPr>
        <w:t>Attention: Robert Potts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Simpson Thacher &amp; Bartlett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425 Lexington Ave.</w:t>
      </w:r>
    </w:p>
    <w:p>
      <w:pPr>
        <w:ind w:left="1300"/>
        <w:spacing w:after="0"/>
        <w:rPr>
          <w:sz w:val="20"/>
          <w:szCs w:val="20"/>
          <w:color w:val="auto"/>
        </w:rPr>
      </w:pPr>
      <w:r>
        <w:rPr>
          <w:rFonts w:ascii="Arial" w:cs="Arial" w:eastAsia="Arial" w:hAnsi="Arial"/>
          <w:sz w:val="20"/>
          <w:szCs w:val="20"/>
          <w:color w:val="auto"/>
        </w:rPr>
        <w:t>New York, New York 10017</w:t>
      </w:r>
    </w:p>
    <w:p>
      <w:pPr>
        <w:ind w:left="1300"/>
        <w:spacing w:after="0"/>
        <w:rPr>
          <w:sz w:val="20"/>
          <w:szCs w:val="20"/>
          <w:color w:val="auto"/>
        </w:rPr>
      </w:pPr>
      <w:r>
        <w:rPr>
          <w:rFonts w:ascii="Arial" w:cs="Arial" w:eastAsia="Arial" w:hAnsi="Arial"/>
          <w:sz w:val="20"/>
          <w:szCs w:val="20"/>
          <w:color w:val="auto"/>
        </w:rPr>
        <w:t>Attention: Kenneth B. Wallach, Esq., Hui Lin, Esq. and Will Golden, Esq.</w:t>
      </w:r>
    </w:p>
    <w:p>
      <w:pPr>
        <w:spacing w:after="0" w:line="213" w:lineRule="exact"/>
        <w:rPr>
          <w:sz w:val="20"/>
          <w:szCs w:val="20"/>
          <w:color w:val="auto"/>
        </w:rPr>
      </w:pPr>
    </w:p>
    <w:p>
      <w:pPr>
        <w:ind w:right="460" w:firstLine="648"/>
        <w:spacing w:after="0" w:line="269" w:lineRule="auto"/>
        <w:rPr>
          <w:sz w:val="20"/>
          <w:szCs w:val="20"/>
          <w:color w:val="auto"/>
        </w:rPr>
      </w:pPr>
      <w:r>
        <w:rPr>
          <w:rFonts w:ascii="Arial" w:cs="Arial" w:eastAsia="Arial" w:hAnsi="Arial"/>
          <w:sz w:val="19"/>
          <w:szCs w:val="19"/>
          <w:color w:val="auto"/>
        </w:rPr>
        <w:t>All such notices and communications shall be deemed to have been duly given: when delivered by hand, if personally delivered; five Business Days after being deposited in the mail, postage prepaid, if mailed; one Business Day after being timely delivered to a next-day air courier; and upon written confirmation, if sent by facsimile.</w:t>
      </w:r>
    </w:p>
    <w:p>
      <w:pPr>
        <w:spacing w:after="0" w:line="170"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Copies of all such notices, demands or other communications shall be concurrently delivered by the Person giving the same to the Trustee at the address and in the manner specified in such Indenture.</w:t>
      </w:r>
    </w:p>
    <w:p>
      <w:pPr>
        <w:spacing w:after="0" w:line="204" w:lineRule="exact"/>
        <w:rPr>
          <w:sz w:val="20"/>
          <w:szCs w:val="20"/>
          <w:color w:val="auto"/>
        </w:rPr>
      </w:pPr>
    </w:p>
    <w:p>
      <w:pPr>
        <w:ind w:firstLine="644"/>
        <w:spacing w:after="0" w:line="302" w:lineRule="auto"/>
        <w:tabs>
          <w:tab w:leader="none" w:pos="1068" w:val="left"/>
        </w:tabs>
        <w:numPr>
          <w:ilvl w:val="0"/>
          <w:numId w:val="63"/>
        </w:numPr>
        <w:rPr>
          <w:rFonts w:ascii="Arial" w:cs="Arial" w:eastAsia="Arial" w:hAnsi="Arial"/>
          <w:sz w:val="19"/>
          <w:szCs w:val="19"/>
          <w:color w:val="auto"/>
        </w:rPr>
      </w:pPr>
      <w:r>
        <w:rPr>
          <w:rFonts w:ascii="Arial" w:cs="Arial" w:eastAsia="Arial" w:hAnsi="Arial"/>
          <w:sz w:val="18"/>
          <w:szCs w:val="18"/>
          <w:u w:val="single" w:color="auto"/>
          <w:color w:val="auto"/>
        </w:rPr>
        <w:t>Sole Remedy</w:t>
      </w:r>
      <w:r>
        <w:rPr>
          <w:rFonts w:ascii="Arial" w:cs="Arial" w:eastAsia="Arial" w:hAnsi="Arial"/>
          <w:sz w:val="18"/>
          <w:szCs w:val="18"/>
          <w:color w:val="auto"/>
        </w:rPr>
        <w:t>. Notwithstanding anything in this Agreement to the contrary, except as provided in Section 8, the payment of Additional Interest as set forth in Section 5 shall be the sole and exclusive remedy available to any party to this Agreement, the Holders of Registrable Securities and Participating Broker-Dealers for any failure by any of the Issuers or the Guarantors to perform its or their obligations under this Agreement and each of the parties hereto and, by its acceptance of Notes, Exchange Notes or Private Exchange Notes, each Holder of Registrable Securities and each Participating Broker-Dealer agree that such parties, the Holders of Registrable Securities and Participating Broker-Dealers shall not be entitled to any other remedy for such failure, including, without limitation, specific performance of any obligation or term of this Agreement.</w:t>
      </w:r>
    </w:p>
    <w:p>
      <w:pPr>
        <w:spacing w:after="0" w:line="187" w:lineRule="exact"/>
        <w:rPr>
          <w:rFonts w:ascii="Arial" w:cs="Arial" w:eastAsia="Arial" w:hAnsi="Arial"/>
          <w:sz w:val="19"/>
          <w:szCs w:val="19"/>
          <w:color w:val="auto"/>
        </w:rPr>
      </w:pPr>
    </w:p>
    <w:p>
      <w:pPr>
        <w:jc w:val="both"/>
        <w:ind w:right="40" w:firstLine="644"/>
        <w:spacing w:after="0" w:line="265" w:lineRule="auto"/>
        <w:tabs>
          <w:tab w:leader="none" w:pos="1044" w:val="left"/>
        </w:tabs>
        <w:numPr>
          <w:ilvl w:val="0"/>
          <w:numId w:val="63"/>
        </w:numPr>
        <w:rPr>
          <w:rFonts w:ascii="Arial" w:cs="Arial" w:eastAsia="Arial" w:hAnsi="Arial"/>
          <w:sz w:val="22"/>
          <w:szCs w:val="22"/>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Agreement shall inure to the benefit of and be binding upon the successors and assigns of each of the parties hereto, the Holders and the Participating Broker-Dealers;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nothing herein shall be deemed to permit any assignment, transfer or other disposition of Registrable Securities in violation of the terms of the Purchase Agreement or the Indenture.</w:t>
      </w:r>
    </w:p>
    <w:p>
      <w:pPr>
        <w:sectPr>
          <w:pgSz w:w="11900" w:h="16838" w:orient="portrait"/>
          <w:cols w:equalWidth="0" w:num="1">
            <w:col w:w="10540"/>
          </w:cols>
          <w:pgMar w:left="980" w:top="568" w:right="379" w:bottom="1440" w:gutter="0" w:footer="0" w:header="0"/>
        </w:sectPr>
      </w:pPr>
    </w:p>
    <w:bookmarkStart w:id="117" w:name="page118"/>
    <w:bookmarkEnd w:id="117"/>
    <w:p>
      <w:pPr>
        <w:ind w:left="-460" w:right="40" w:firstLine="644"/>
        <w:spacing w:after="0" w:line="302" w:lineRule="auto"/>
        <w:tabs>
          <w:tab w:leader="none" w:pos="620" w:val="left"/>
        </w:tabs>
        <w:numPr>
          <w:ilvl w:val="0"/>
          <w:numId w:val="64"/>
        </w:numPr>
        <w:rPr>
          <w:rFonts w:ascii="Arial" w:cs="Arial" w:eastAsia="Arial" w:hAnsi="Arial"/>
          <w:sz w:val="19"/>
          <w:szCs w:val="19"/>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7" w:lineRule="exact"/>
        <w:rPr>
          <w:rFonts w:ascii="Arial" w:cs="Arial" w:eastAsia="Arial" w:hAnsi="Arial"/>
          <w:sz w:val="19"/>
          <w:szCs w:val="19"/>
          <w:color w:val="auto"/>
        </w:rPr>
      </w:pPr>
    </w:p>
    <w:p>
      <w:pPr>
        <w:ind w:left="-460" w:right="80" w:firstLine="644"/>
        <w:spacing w:after="0" w:line="264" w:lineRule="auto"/>
        <w:tabs>
          <w:tab w:leader="none" w:pos="620" w:val="left"/>
        </w:tabs>
        <w:numPr>
          <w:ilvl w:val="0"/>
          <w:numId w:val="64"/>
        </w:numPr>
        <w:rPr>
          <w:rFonts w:ascii="Arial" w:cs="Arial" w:eastAsia="Arial" w:hAnsi="Arial"/>
          <w:sz w:val="22"/>
          <w:szCs w:val="22"/>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Agreement are for convenience of reference only and shall not limit or otherwise affect the meaning hereof.</w:t>
      </w:r>
    </w:p>
    <w:p>
      <w:pPr>
        <w:spacing w:after="0" w:line="205" w:lineRule="exact"/>
        <w:rPr>
          <w:rFonts w:ascii="Arial" w:cs="Arial" w:eastAsia="Arial" w:hAnsi="Arial"/>
          <w:sz w:val="22"/>
          <w:szCs w:val="22"/>
          <w:color w:val="auto"/>
        </w:rPr>
      </w:pPr>
    </w:p>
    <w:p>
      <w:pPr>
        <w:ind w:left="-460" w:right="220" w:firstLine="644"/>
        <w:spacing w:after="0" w:line="267" w:lineRule="auto"/>
        <w:tabs>
          <w:tab w:leader="none" w:pos="572" w:val="left"/>
        </w:tabs>
        <w:numPr>
          <w:ilvl w:val="0"/>
          <w:numId w:val="64"/>
        </w:numPr>
        <w:rPr>
          <w:rFonts w:ascii="Arial" w:cs="Arial" w:eastAsia="Arial" w:hAnsi="Arial"/>
          <w:sz w:val="22"/>
          <w:szCs w:val="22"/>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AGREEMENT SHALL BE GOVERNED BY AND CONSTRUED IN ACCORDANCE WITH THE LAWS OF THE STATE OF NEW YORK. EACH OF THE PARTIES HEREBY WAIVES ANY RIGHT TO TRIAL BY JURY IN ANY ACTION, PROCEEDING OR COUNTERCLAIM ARISING OUT OF OR RELATING TO THIS AGREEMENT.</w:t>
      </w:r>
    </w:p>
    <w:p>
      <w:pPr>
        <w:spacing w:after="0" w:line="212" w:lineRule="exact"/>
        <w:rPr>
          <w:rFonts w:ascii="Arial" w:cs="Arial" w:eastAsia="Arial" w:hAnsi="Arial"/>
          <w:sz w:val="22"/>
          <w:szCs w:val="22"/>
          <w:color w:val="auto"/>
        </w:rPr>
      </w:pPr>
    </w:p>
    <w:p>
      <w:pPr>
        <w:ind w:left="-460" w:right="20" w:firstLine="644"/>
        <w:spacing w:after="0" w:line="282" w:lineRule="auto"/>
        <w:tabs>
          <w:tab w:leader="none" w:pos="572" w:val="left"/>
        </w:tabs>
        <w:numPr>
          <w:ilvl w:val="0"/>
          <w:numId w:val="64"/>
        </w:numPr>
        <w:rPr>
          <w:rFonts w:ascii="Arial" w:cs="Arial" w:eastAsia="Arial" w:hAnsi="Arial"/>
          <w:sz w:val="21"/>
          <w:szCs w:val="21"/>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0" w:lineRule="exact"/>
        <w:rPr>
          <w:rFonts w:ascii="Arial" w:cs="Arial" w:eastAsia="Arial" w:hAnsi="Arial"/>
          <w:sz w:val="21"/>
          <w:szCs w:val="21"/>
          <w:color w:val="auto"/>
        </w:rPr>
      </w:pPr>
    </w:p>
    <w:p>
      <w:pPr>
        <w:ind w:left="-460" w:firstLine="644"/>
        <w:spacing w:after="0" w:line="265" w:lineRule="auto"/>
        <w:tabs>
          <w:tab w:leader="none" w:pos="620" w:val="left"/>
        </w:tabs>
        <w:numPr>
          <w:ilvl w:val="0"/>
          <w:numId w:val="64"/>
        </w:numPr>
        <w:rPr>
          <w:rFonts w:ascii="Arial" w:cs="Arial" w:eastAsia="Arial" w:hAnsi="Arial"/>
          <w:sz w:val="22"/>
          <w:szCs w:val="22"/>
          <w:color w:val="auto"/>
        </w:rPr>
      </w:pPr>
      <w:r>
        <w:rPr>
          <w:rFonts w:ascii="Arial" w:cs="Arial" w:eastAsia="Arial" w:hAnsi="Arial"/>
          <w:sz w:val="20"/>
          <w:szCs w:val="20"/>
          <w:u w:val="single" w:color="auto"/>
          <w:color w:val="auto"/>
        </w:rPr>
        <w:t>Notes Held by the Issuers or their Affiliates</w:t>
      </w:r>
      <w:r>
        <w:rPr>
          <w:rFonts w:ascii="Arial" w:cs="Arial" w:eastAsia="Arial" w:hAnsi="Arial"/>
          <w:sz w:val="20"/>
          <w:szCs w:val="20"/>
          <w:color w:val="auto"/>
        </w:rPr>
        <w:t>. Whenever the consent or approval of Holders of a specified percentage of Registrable Securities is required hereunder, Registrable Securities held by the Issuers or their affiliates (as such term is defined in Rule 405 under the Securities Act) shall not be counted in determining whether such consent or approval was given by the Holders of such required percentage.</w:t>
      </w:r>
    </w:p>
    <w:p>
      <w:pPr>
        <w:spacing w:after="0" w:line="214" w:lineRule="exact"/>
        <w:rPr>
          <w:rFonts w:ascii="Arial" w:cs="Arial" w:eastAsia="Arial" w:hAnsi="Arial"/>
          <w:sz w:val="22"/>
          <w:szCs w:val="22"/>
          <w:color w:val="auto"/>
        </w:rPr>
      </w:pPr>
    </w:p>
    <w:p>
      <w:pPr>
        <w:ind w:left="-460" w:right="220" w:firstLine="644"/>
        <w:spacing w:after="0" w:line="264" w:lineRule="auto"/>
        <w:tabs>
          <w:tab w:leader="none" w:pos="572" w:val="left"/>
        </w:tabs>
        <w:numPr>
          <w:ilvl w:val="0"/>
          <w:numId w:val="64"/>
        </w:numPr>
        <w:rPr>
          <w:rFonts w:ascii="Arial" w:cs="Arial" w:eastAsia="Arial" w:hAnsi="Arial"/>
          <w:sz w:val="22"/>
          <w:szCs w:val="22"/>
          <w:color w:val="auto"/>
        </w:rPr>
      </w:pPr>
      <w:r>
        <w:rPr>
          <w:rFonts w:ascii="Arial" w:cs="Arial" w:eastAsia="Arial" w:hAnsi="Arial"/>
          <w:sz w:val="20"/>
          <w:szCs w:val="20"/>
          <w:u w:val="single" w:color="auto"/>
          <w:color w:val="auto"/>
        </w:rPr>
        <w:t>Third-Party Beneficiaries</w:t>
      </w:r>
      <w:r>
        <w:rPr>
          <w:rFonts w:ascii="Arial" w:cs="Arial" w:eastAsia="Arial" w:hAnsi="Arial"/>
          <w:sz w:val="20"/>
          <w:szCs w:val="20"/>
          <w:color w:val="auto"/>
        </w:rPr>
        <w:t>. Holders of Registrable Securities and Participating Broker-Dealers are intended third-party beneficiaries of this Agreement, and this Agreement may be enforced by such Persons.</w:t>
      </w:r>
    </w:p>
    <w:p>
      <w:pPr>
        <w:spacing w:after="0" w:line="211" w:lineRule="exact"/>
        <w:rPr>
          <w:rFonts w:ascii="Arial" w:cs="Arial" w:eastAsia="Arial" w:hAnsi="Arial"/>
          <w:sz w:val="22"/>
          <w:szCs w:val="22"/>
          <w:color w:val="auto"/>
        </w:rPr>
      </w:pPr>
    </w:p>
    <w:p>
      <w:pPr>
        <w:ind w:left="-460" w:firstLine="644"/>
        <w:spacing w:after="0" w:line="304" w:lineRule="auto"/>
        <w:tabs>
          <w:tab w:leader="none" w:pos="680" w:val="left"/>
        </w:tabs>
        <w:numPr>
          <w:ilvl w:val="0"/>
          <w:numId w:val="64"/>
        </w:numPr>
        <w:rPr>
          <w:rFonts w:ascii="Arial" w:cs="Arial" w:eastAsia="Arial" w:hAnsi="Arial"/>
          <w:sz w:val="19"/>
          <w:szCs w:val="19"/>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Purchase Agreement and the Indenture, is intended by the parties as a final and exclusive statement of the agreement and understanding of the parties hereto in respect of the subject matter contained herein and therein and any and all prior oral or written agreements, representations, or warranties, contracts, understandings, correspondence, conversations and memoranda between the Holders on the one hand and the Issuers and the Guarantors on the other, or between or among any agents, representatives, parents, subsidiaries, affiliates, predecessors in interest or successors in interest with respect to the subject matter hereof and thereof are merged herein and replaced hereby.</w:t>
      </w:r>
    </w:p>
    <w:p>
      <w:pPr>
        <w:sectPr>
          <w:pgSz w:w="11900" w:h="16838" w:orient="portrait"/>
          <w:cols w:equalWidth="0" w:num="1">
            <w:col w:w="10100"/>
          </w:cols>
          <w:pgMar w:left="1440" w:top="366" w:right="35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9019"/>
          </w:cols>
          <w:pgMar w:left="1440" w:top="568" w:right="1440"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00" w:lineRule="exact"/>
        <w:rPr>
          <w:sz w:val="20"/>
          <w:szCs w:val="20"/>
          <w:color w:val="auto"/>
        </w:rPr>
      </w:pPr>
    </w:p>
    <w:p>
      <w:pPr>
        <w:spacing w:after="0" w:line="232"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DELL INTERNATIONAL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-17780</wp:posOffset>
            </wp:positionV>
            <wp:extent cx="1546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Senior Vice President &amp; Assistant Secretary</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EMC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-17780</wp:posOffset>
            </wp:positionV>
            <wp:extent cx="1546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Senior Vice President &amp; Assistant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DELL TECHNOLOGIES INC.</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-17780</wp:posOffset>
            </wp:positionV>
            <wp:extent cx="1546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546860" cy="8890"/>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Title: Senior Vice President, Corporate Securities and Finance Counsel and Assistant</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DENALI INTERMEDIATE INC.</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-17780</wp:posOffset>
            </wp:positionV>
            <wp:extent cx="1546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Senior Vice President and Assistant Secretary</w:t>
      </w:r>
    </w:p>
    <w:p>
      <w:pPr>
        <w:sectPr>
          <w:pgSz w:w="11900" w:h="16838" w:orient="portrait"/>
          <w:cols w:equalWidth="0" w:num="1">
            <w:col w:w="10580"/>
          </w:cols>
          <w:pgMar w:left="980" w:top="339" w:right="339" w:bottom="1440" w:gutter="0" w:footer="0" w:header="0"/>
        </w:sectPr>
      </w:pPr>
    </w:p>
    <w:bookmarkStart w:id="120" w:name="page121"/>
    <w:bookmarkEnd w:id="120"/>
    <w:p>
      <w:pPr>
        <w:ind w:left="2780"/>
        <w:spacing w:after="0"/>
        <w:rPr>
          <w:sz w:val="20"/>
          <w:szCs w:val="20"/>
          <w:color w:val="auto"/>
        </w:rPr>
      </w:pPr>
      <w:r>
        <w:rPr>
          <w:rFonts w:ascii="Arial" w:cs="Arial" w:eastAsia="Arial" w:hAnsi="Arial"/>
          <w:sz w:val="22"/>
          <w:szCs w:val="22"/>
          <w:color w:val="auto"/>
        </w:rPr>
        <w:t>DELL INC.</w:t>
      </w: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46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546860"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Senior Vice President and Assistant Secretary</w:t>
      </w:r>
    </w:p>
    <w:p>
      <w:pPr>
        <w:sectPr>
          <w:pgSz w:w="11900" w:h="16838" w:orient="portrait"/>
          <w:cols w:equalWidth="0" w:num="1">
            <w:col w:w="9019"/>
          </w:cols>
          <w:pgMar w:left="1440" w:top="604" w:right="1440" w:bottom="1440" w:gutter="0" w:footer="0" w:header="0"/>
        </w:sectPr>
      </w:pPr>
    </w:p>
    <w:bookmarkStart w:id="121" w:name="page122"/>
    <w:bookmarkEnd w:id="121"/>
    <w:p>
      <w:pPr>
        <w:ind w:left="2780"/>
        <w:spacing w:after="0"/>
        <w:rPr>
          <w:sz w:val="20"/>
          <w:szCs w:val="20"/>
          <w:color w:val="auto"/>
        </w:rPr>
      </w:pPr>
      <w:r>
        <w:rPr>
          <w:rFonts w:ascii="Arial" w:cs="Arial" w:eastAsia="Arial" w:hAnsi="Arial"/>
          <w:sz w:val="22"/>
          <w:szCs w:val="22"/>
          <w:color w:val="auto"/>
        </w:rPr>
        <w:t>ASAP SOFTWARE EXPRESS, INC.</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CREDANT TECHNOLOGIES,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DATA DOMAIN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AMERICA LATINA CORP.</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COLOMBIA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COMPUTER HOLDINGS L.P.</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DFS CORPORATION</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DFS GROUP HOLDINGS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FEDERAL SYSTEMS CORPORATION</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FEDERAL SYSTEMS GP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FEDERAL SYSTEMS L.P.</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FEDERAL SYSTEMS LP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GLOBAL HOLDINGS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GLOBAL HOLDINGS XV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MARKETING CORPORATION</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MARKETING GP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MARKETING L.P.</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MARKETING LP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PRODUCTS CORPORATION</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PRODUCTS GP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PRODUCTS L.P.</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PRODUCTS LP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REVOLVER FUNDING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USA CORPORATION</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USA GP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USA L.P.</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USA LP L.L.C.</w:t>
      </w:r>
    </w:p>
    <w:p>
      <w:pPr>
        <w:spacing w:after="0" w:line="200" w:lineRule="exact"/>
        <w:rPr>
          <w:sz w:val="20"/>
          <w:szCs w:val="20"/>
          <w:color w:val="auto"/>
        </w:rPr>
      </w:pPr>
    </w:p>
    <w:p>
      <w:pPr>
        <w:spacing w:after="0" w:line="2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46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Senior Vice President and Assistant Secretary</w:t>
      </w:r>
    </w:p>
    <w:p>
      <w:pPr>
        <w:sectPr>
          <w:pgSz w:w="11900" w:h="16838" w:orient="portrait"/>
          <w:cols w:equalWidth="0" w:num="1">
            <w:col w:w="9019"/>
          </w:cols>
          <w:pgMar w:left="1440" w:top="348" w:right="1440" w:bottom="1440" w:gutter="0" w:footer="0" w:header="0"/>
        </w:sectPr>
      </w:pPr>
    </w:p>
    <w:bookmarkStart w:id="122" w:name="page123"/>
    <w:bookmarkEnd w:id="122"/>
    <w:p>
      <w:pPr>
        <w:ind w:left="2780"/>
        <w:spacing w:after="0"/>
        <w:rPr>
          <w:sz w:val="20"/>
          <w:szCs w:val="20"/>
          <w:color w:val="auto"/>
        </w:rPr>
      </w:pPr>
      <w:r>
        <w:rPr>
          <w:rFonts w:ascii="Arial" w:cs="Arial" w:eastAsia="Arial" w:hAnsi="Arial"/>
          <w:sz w:val="22"/>
          <w:szCs w:val="22"/>
          <w:color w:val="auto"/>
        </w:rPr>
        <w:t>DELL WORLD TRADE CORPORATION</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WORLD TRADE GP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WORLD TRADE L.P.</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WORLD TRADE LP L.L.C.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FORCE10 NETWORKS GLOBAL,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FORCE10 NETWORKS INTERNATIONAL, INC.</w:t>
      </w:r>
    </w:p>
    <w:p>
      <w:pPr>
        <w:spacing w:after="0" w:line="3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FORCE10 NETWORKS,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WYSE TECHNOLOGY L.L.C.</w:t>
      </w:r>
    </w:p>
    <w:p>
      <w:pPr>
        <w:spacing w:after="0" w:line="200" w:lineRule="exact"/>
        <w:rPr>
          <w:sz w:val="20"/>
          <w:szCs w:val="20"/>
          <w:color w:val="auto"/>
        </w:rPr>
      </w:pPr>
    </w:p>
    <w:p>
      <w:pPr>
        <w:spacing w:after="0" w:line="2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46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Senior Vice President and Assistant Secretary</w:t>
      </w:r>
    </w:p>
    <w:p>
      <w:pPr>
        <w:sectPr>
          <w:pgSz w:w="11900" w:h="16838" w:orient="portrait"/>
          <w:cols w:equalWidth="0" w:num="1">
            <w:col w:w="9019"/>
          </w:cols>
          <w:pgMar w:left="1440" w:top="604" w:right="1440" w:bottom="1440" w:gutter="0" w:footer="0" w:header="0"/>
        </w:sectPr>
      </w:pPr>
    </w:p>
    <w:bookmarkStart w:id="123" w:name="page124"/>
    <w:bookmarkEnd w:id="123"/>
    <w:p>
      <w:pPr>
        <w:ind w:left="2780"/>
        <w:spacing w:after="0"/>
        <w:rPr>
          <w:sz w:val="20"/>
          <w:szCs w:val="20"/>
          <w:color w:val="auto"/>
        </w:rPr>
      </w:pPr>
      <w:r>
        <w:rPr>
          <w:rFonts w:ascii="Arial" w:cs="Arial" w:eastAsia="Arial" w:hAnsi="Arial"/>
          <w:sz w:val="21"/>
          <w:szCs w:val="21"/>
          <w:color w:val="auto"/>
        </w:rPr>
        <w:t>EMC INTERNATIONAL U.S. HOLDINGS L.L.C.</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EMC PUERTO RICO, INC.</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ISILON SYSTEMS LLC</w:t>
      </w:r>
    </w:p>
    <w:p>
      <w:pPr>
        <w:spacing w:after="0" w:line="200" w:lineRule="exact"/>
        <w:rPr>
          <w:sz w:val="20"/>
          <w:szCs w:val="20"/>
          <w:color w:val="auto"/>
        </w:rPr>
      </w:pPr>
    </w:p>
    <w:p>
      <w:pPr>
        <w:spacing w:after="0" w:line="2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46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Senior Vice President and Assistant Secretary</w:t>
      </w:r>
    </w:p>
    <w:p>
      <w:pPr>
        <w:sectPr>
          <w:pgSz w:w="11900" w:h="16838" w:orient="portrait"/>
          <w:cols w:equalWidth="0" w:num="1">
            <w:col w:w="9019"/>
          </w:cols>
          <w:pgMar w:left="1440" w:top="604" w:right="1440" w:bottom="1440" w:gutter="0" w:footer="0" w:header="0"/>
        </w:sectPr>
      </w:pPr>
    </w:p>
    <w:bookmarkStart w:id="124" w:name="page125"/>
    <w:bookmarkEnd w:id="124"/>
    <w:p>
      <w:pPr>
        <w:ind w:left="2780"/>
        <w:spacing w:after="0"/>
        <w:rPr>
          <w:sz w:val="20"/>
          <w:szCs w:val="20"/>
          <w:color w:val="auto"/>
        </w:rPr>
      </w:pPr>
      <w:r>
        <w:rPr>
          <w:rFonts w:ascii="Arial" w:cs="Arial" w:eastAsia="Arial" w:hAnsi="Arial"/>
          <w:sz w:val="22"/>
          <w:szCs w:val="22"/>
          <w:color w:val="auto"/>
        </w:rPr>
        <w:t>DCC EXECUTIVE SECURITY INC.</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DELL PRODUCT AND PROCESS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INNOVATION SERVICES CORP.</w:t>
      </w:r>
    </w:p>
    <w:p>
      <w:pPr>
        <w:spacing w:after="0" w:line="200" w:lineRule="exact"/>
        <w:rPr>
          <w:sz w:val="20"/>
          <w:szCs w:val="20"/>
          <w:color w:val="auto"/>
        </w:rPr>
      </w:pPr>
    </w:p>
    <w:p>
      <w:pPr>
        <w:spacing w:after="0" w:line="2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46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Senior Vice President and Secretary</w:t>
      </w:r>
    </w:p>
    <w:p>
      <w:pPr>
        <w:sectPr>
          <w:pgSz w:w="11900" w:h="16838" w:orient="portrait"/>
          <w:cols w:equalWidth="0" w:num="1">
            <w:col w:w="9019"/>
          </w:cols>
          <w:pgMar w:left="1440" w:top="604" w:right="1440" w:bottom="1440" w:gutter="0" w:footer="0" w:header="0"/>
        </w:sectPr>
      </w:pPr>
    </w:p>
    <w:bookmarkStart w:id="125" w:name="page126"/>
    <w:bookmarkEnd w:id="125"/>
    <w:p>
      <w:pPr>
        <w:ind w:left="2780"/>
        <w:spacing w:after="0"/>
        <w:rPr>
          <w:sz w:val="20"/>
          <w:szCs w:val="20"/>
          <w:color w:val="auto"/>
        </w:rPr>
      </w:pPr>
      <w:r>
        <w:rPr>
          <w:rFonts w:ascii="Arial" w:cs="Arial" w:eastAsia="Arial" w:hAnsi="Arial"/>
          <w:sz w:val="22"/>
          <w:szCs w:val="22"/>
          <w:color w:val="auto"/>
        </w:rPr>
        <w:t>RSA SECURITY LLC</w:t>
      </w: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46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Assistant Secretary</w:t>
      </w:r>
    </w:p>
    <w:p>
      <w:pPr>
        <w:sectPr>
          <w:pgSz w:w="11900" w:h="16838" w:orient="portrait"/>
          <w:cols w:equalWidth="0" w:num="1">
            <w:col w:w="9019"/>
          </w:cols>
          <w:pgMar w:left="1440" w:top="604" w:right="1440" w:bottom="1440" w:gutter="0" w:footer="0" w:header="0"/>
        </w:sectPr>
      </w:pPr>
    </w:p>
    <w:bookmarkStart w:id="126" w:name="page127"/>
    <w:bookmarkEnd w:id="126"/>
    <w:p>
      <w:pPr>
        <w:ind w:left="2780"/>
        <w:spacing w:after="0"/>
        <w:rPr>
          <w:sz w:val="20"/>
          <w:szCs w:val="20"/>
          <w:color w:val="auto"/>
        </w:rPr>
      </w:pPr>
      <w:r>
        <w:rPr>
          <w:rFonts w:ascii="Arial" w:cs="Arial" w:eastAsia="Arial" w:hAnsi="Arial"/>
          <w:sz w:val="22"/>
          <w:szCs w:val="22"/>
          <w:color w:val="auto"/>
        </w:rPr>
        <w:t>DELL REVOLVER COMPANY L.P.</w:t>
      </w:r>
    </w:p>
    <w:p>
      <w:pPr>
        <w:spacing w:after="0" w:line="260" w:lineRule="exact"/>
        <w:rPr>
          <w:sz w:val="20"/>
          <w:szCs w:val="20"/>
          <w:color w:val="auto"/>
        </w:rPr>
      </w:pPr>
    </w:p>
    <w:p>
      <w:pPr>
        <w:ind w:left="7160"/>
        <w:spacing w:after="0"/>
        <w:rPr>
          <w:sz w:val="20"/>
          <w:szCs w:val="20"/>
          <w:color w:val="auto"/>
        </w:rPr>
      </w:pPr>
      <w:r>
        <w:rPr>
          <w:rFonts w:ascii="Arial" w:cs="Arial" w:eastAsia="Arial" w:hAnsi="Arial"/>
          <w:sz w:val="22"/>
          <w:szCs w:val="22"/>
          <w:color w:val="auto"/>
        </w:rPr>
        <w:t>By: DELL REVOLVER GP</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L.L.C., its General Partner</w:t>
      </w:r>
    </w:p>
    <w:p>
      <w:pPr>
        <w:spacing w:after="0" w:line="200" w:lineRule="exact"/>
        <w:rPr>
          <w:sz w:val="20"/>
          <w:szCs w:val="20"/>
          <w:color w:val="auto"/>
        </w:rPr>
      </w:pPr>
    </w:p>
    <w:p>
      <w:pPr>
        <w:spacing w:after="0" w:line="2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840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Senior Vice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President and Assistant Secretary</w:t>
      </w:r>
    </w:p>
    <w:p>
      <w:pPr>
        <w:sectPr>
          <w:pgSz w:w="11900" w:h="16838" w:orient="portrait"/>
          <w:cols w:equalWidth="0" w:num="1">
            <w:col w:w="9880"/>
          </w:cols>
          <w:pgMar w:left="1440" w:top="348" w:right="579" w:bottom="1440" w:gutter="0" w:footer="0" w:header="0"/>
        </w:sectPr>
      </w:pPr>
    </w:p>
    <w:bookmarkStart w:id="127" w:name="page128"/>
    <w:bookmarkEnd w:id="127"/>
    <w:p>
      <w:pPr>
        <w:ind w:left="2780"/>
        <w:spacing w:after="0"/>
        <w:rPr>
          <w:sz w:val="20"/>
          <w:szCs w:val="20"/>
          <w:color w:val="auto"/>
        </w:rPr>
      </w:pPr>
      <w:r>
        <w:rPr>
          <w:rFonts w:ascii="Arial" w:cs="Arial" w:eastAsia="Arial" w:hAnsi="Arial"/>
          <w:sz w:val="22"/>
          <w:szCs w:val="22"/>
          <w:color w:val="auto"/>
        </w:rPr>
        <w:t>DELL REVOLVER GP L.L.C.</w:t>
      </w:r>
    </w:p>
    <w:p>
      <w:pPr>
        <w:spacing w:after="0" w:line="200" w:lineRule="exact"/>
        <w:rPr>
          <w:sz w:val="20"/>
          <w:szCs w:val="20"/>
          <w:color w:val="auto"/>
        </w:rPr>
      </w:pPr>
    </w:p>
    <w:p>
      <w:pPr>
        <w:spacing w:after="0" w:line="27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46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Senior Vice President and Assistant Secretary</w:t>
      </w:r>
    </w:p>
    <w:p>
      <w:pPr>
        <w:sectPr>
          <w:pgSz w:w="11900" w:h="16838" w:orient="portrait"/>
          <w:cols w:equalWidth="0" w:num="1">
            <w:col w:w="9019"/>
          </w:cols>
          <w:pgMar w:left="1440" w:top="604" w:right="1440" w:bottom="1440" w:gutter="0" w:footer="0" w:header="0"/>
        </w:sectPr>
      </w:pPr>
    </w:p>
    <w:bookmarkStart w:id="128" w:name="page129"/>
    <w:bookmarkEnd w:id="128"/>
    <w:p>
      <w:pPr>
        <w:ind w:left="2780"/>
        <w:spacing w:after="0" w:line="250" w:lineRule="auto"/>
        <w:rPr>
          <w:sz w:val="20"/>
          <w:szCs w:val="20"/>
          <w:color w:val="auto"/>
        </w:rPr>
      </w:pPr>
      <w:r>
        <w:rPr>
          <w:rFonts w:ascii="Arial" w:cs="Arial" w:eastAsia="Arial" w:hAnsi="Arial"/>
          <w:sz w:val="22"/>
          <w:szCs w:val="22"/>
          <w:color w:val="auto"/>
        </w:rPr>
        <w:t>FLANDERS ROAD HOLDINGS LLC NBT INVESTMENT PARTNERS LLC NEWFOUND INVESTMENT PARTNERS LLC SCALEIO LLC</w:t>
      </w:r>
    </w:p>
    <w:p>
      <w:pPr>
        <w:spacing w:after="0" w:line="22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EMC CORPORATION, its Member</w:t>
      </w: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840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242"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auto"/>
        </w:rPr>
        <w:t>and Assistant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color w:val="auto"/>
        </w:rPr>
        <w:t>Title: Senior Vice President</w:t>
      </w:r>
    </w:p>
    <w:p>
      <w:pPr>
        <w:sectPr>
          <w:pgSz w:w="11900" w:h="16838" w:orient="portrait"/>
          <w:cols w:equalWidth="0" w:num="2">
            <w:col w:w="7040" w:space="660"/>
            <w:col w:w="2380"/>
          </w:cols>
          <w:pgMar w:left="1440" w:top="604" w:right="379" w:bottom="1440" w:gutter="0" w:footer="0" w:header="0"/>
        </w:sectPr>
      </w:pPr>
    </w:p>
    <w:bookmarkStart w:id="129" w:name="page130"/>
    <w:bookmarkEnd w:id="129"/>
    <w:p>
      <w:pPr>
        <w:ind w:left="2780"/>
        <w:spacing w:after="0"/>
        <w:rPr>
          <w:sz w:val="20"/>
          <w:szCs w:val="20"/>
          <w:color w:val="auto"/>
        </w:rPr>
      </w:pPr>
      <w:r>
        <w:rPr>
          <w:rFonts w:ascii="Arial" w:cs="Arial" w:eastAsia="Arial" w:hAnsi="Arial"/>
          <w:sz w:val="22"/>
          <w:szCs w:val="22"/>
          <w:color w:val="auto"/>
        </w:rPr>
        <w:t>EMC IP HOLDING COMPANY LLC</w:t>
      </w:r>
    </w:p>
    <w:p>
      <w:pPr>
        <w:spacing w:after="0" w:line="26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DENALI INTERMEDIATE INC., its Member</w:t>
      </w:r>
    </w:p>
    <w:p>
      <w:pPr>
        <w:spacing w:after="0" w:line="200" w:lineRule="exact"/>
        <w:rPr>
          <w:sz w:val="20"/>
          <w:szCs w:val="20"/>
          <w:color w:val="auto"/>
        </w:rPr>
      </w:pPr>
    </w:p>
    <w:p>
      <w:pPr>
        <w:spacing w:after="0" w:line="31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46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Senior Vice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President and Assistant Secretary</w:t>
      </w:r>
    </w:p>
    <w:p>
      <w:pPr>
        <w:sectPr>
          <w:pgSz w:w="11900" w:h="16838" w:orient="portrait"/>
          <w:cols w:equalWidth="0" w:num="1">
            <w:col w:w="9320"/>
          </w:cols>
          <w:pgMar w:left="1440" w:top="604" w:right="11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color w:val="auto"/>
        </w:rPr>
        <w:t>DELL FINANCIAL</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SERVICES L.L.C.</w:t>
      </w:r>
    </w:p>
    <w:p>
      <w:pPr>
        <w:spacing w:after="0" w:line="200" w:lineRule="exact"/>
        <w:rPr>
          <w:sz w:val="20"/>
          <w:szCs w:val="20"/>
          <w:color w:val="auto"/>
        </w:rPr>
      </w:pPr>
    </w:p>
    <w:p>
      <w:pPr>
        <w:spacing w:after="0" w:line="2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Tyler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694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1669415"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Tyler W. Johnson</w:t>
      </w:r>
    </w:p>
    <w:p>
      <w:pPr>
        <w:spacing w:after="0" w:line="4" w:lineRule="exact"/>
        <w:rPr>
          <w:sz w:val="20"/>
          <w:szCs w:val="20"/>
          <w:color w:val="auto"/>
        </w:rPr>
      </w:pPr>
    </w:p>
    <w:p>
      <w:pPr>
        <w:ind w:left="2780"/>
        <w:spacing w:after="0"/>
        <w:tabs>
          <w:tab w:leader="none" w:pos="3480" w:val="left"/>
        </w:tabs>
        <w:rPr>
          <w:sz w:val="20"/>
          <w:szCs w:val="20"/>
          <w:color w:val="auto"/>
        </w:rPr>
      </w:pPr>
      <w:r>
        <w:rPr>
          <w:rFonts w:ascii="Arial" w:cs="Arial" w:eastAsia="Arial" w:hAnsi="Arial"/>
          <w:sz w:val="22"/>
          <w:szCs w:val="22"/>
          <w:color w:val="auto"/>
        </w:rPr>
        <w:t>Title:</w:t>
        <w:tab/>
        <w:t>Senior Vice President</w:t>
      </w:r>
    </w:p>
    <w:p>
      <w:pPr>
        <w:sectPr>
          <w:pgSz w:w="11900" w:h="16838" w:orient="portrait"/>
          <w:cols w:equalWidth="0" w:num="1">
            <w:col w:w="9560"/>
          </w:cols>
          <w:pgMar w:left="1440" w:top="604" w:right="899" w:bottom="1440" w:gutter="0" w:footer="0" w:header="0"/>
        </w:sectPr>
      </w:pPr>
    </w:p>
    <w:bookmarkStart w:id="131" w:name="page132"/>
    <w:bookmarkEnd w:id="131"/>
    <w:p>
      <w:pPr>
        <w:ind w:left="2780"/>
        <w:spacing w:after="0"/>
        <w:rPr>
          <w:sz w:val="20"/>
          <w:szCs w:val="20"/>
          <w:color w:val="auto"/>
        </w:rPr>
      </w:pPr>
      <w:r>
        <w:rPr>
          <w:rFonts w:ascii="Arial" w:cs="Arial" w:eastAsia="Arial" w:hAnsi="Arial"/>
          <w:sz w:val="22"/>
          <w:szCs w:val="22"/>
          <w:color w:val="auto"/>
        </w:rPr>
        <w:t>DELL TECHNOLOGIES CAPITAL, LLC</w:t>
      </w:r>
    </w:p>
    <w:p>
      <w:pPr>
        <w:spacing w:after="0" w:line="26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Dell Inc., its managing member</w:t>
      </w:r>
    </w:p>
    <w:p>
      <w:pPr>
        <w:spacing w:after="0" w:line="26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718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171831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Robert L. Potts</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Title: Senior Vice President and Assistant Secretary</w:t>
      </w:r>
    </w:p>
    <w:p>
      <w:pPr>
        <w:sectPr>
          <w:pgSz w:w="11900" w:h="16838" w:orient="portrait"/>
          <w:cols w:equalWidth="0" w:num="1">
            <w:col w:w="9019"/>
          </w:cols>
          <w:pgMar w:left="1440" w:top="604" w:right="1440"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The foregoing Agreement is hereby confirmed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and accepted as of the date first above written.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BARCLAYS CAPITAL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60" w:type="dxa"/>
            <w:vAlign w:val="bottom"/>
          </w:tcPr>
          <w:p>
            <w:pPr>
              <w:spacing w:after="0"/>
              <w:rPr>
                <w:sz w:val="23"/>
                <w:szCs w:val="23"/>
                <w:color w:val="auto"/>
              </w:rPr>
            </w:pPr>
          </w:p>
        </w:tc>
        <w:tc>
          <w:tcPr>
            <w:tcW w:w="3960" w:type="dxa"/>
            <w:vAlign w:val="bottom"/>
            <w:gridSpan w:val="6"/>
          </w:tcPr>
          <w:p>
            <w:pPr>
              <w:ind w:left="640"/>
              <w:spacing w:after="0"/>
              <w:rPr>
                <w:sz w:val="20"/>
                <w:szCs w:val="20"/>
                <w:color w:val="auto"/>
              </w:rPr>
            </w:pPr>
            <w:r>
              <w:rPr>
                <w:rFonts w:ascii="Arial" w:cs="Arial" w:eastAsia="Arial" w:hAnsi="Arial"/>
                <w:sz w:val="22"/>
                <w:szCs w:val="22"/>
                <w:color w:val="auto"/>
              </w:rPr>
              <w:t>BOFA SECURITIES, INC.</w:t>
            </w:r>
            <w:r>
              <w:rPr>
                <w:rFonts w:ascii="Arial" w:cs="Arial" w:eastAsia="Arial" w:hAnsi="Arial"/>
                <w:sz w:val="19"/>
                <w:szCs w:val="19"/>
                <w:color w:val="auto"/>
              </w:rPr>
              <w:t>,</w:t>
            </w:r>
          </w:p>
        </w:tc>
      </w:tr>
      <w:tr>
        <w:trPr>
          <w:trHeight w:val="251"/>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as Authorized Representative</w:t>
            </w:r>
          </w:p>
        </w:tc>
      </w:tr>
      <w:tr>
        <w:trPr>
          <w:trHeight w:val="522"/>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5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Keith Harman</w:t>
            </w:r>
          </w:p>
        </w:tc>
        <w:tc>
          <w:tcPr>
            <w:tcW w:w="2400" w:type="dxa"/>
            <w:vAlign w:val="bottom"/>
            <w:gridSpan w:val="5"/>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Name: Keith Harman</w:t>
            </w:r>
          </w:p>
        </w:tc>
      </w:tr>
      <w:tr>
        <w:trPr>
          <w:trHeight w:val="250"/>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Title: Managing Director</w:t>
            </w:r>
          </w:p>
        </w:tc>
      </w:tr>
      <w:tr>
        <w:trPr>
          <w:trHeight w:val="721"/>
        </w:trPr>
        <w:tc>
          <w:tcPr>
            <w:tcW w:w="660" w:type="dxa"/>
            <w:vAlign w:val="bottom"/>
          </w:tcPr>
          <w:p>
            <w:pPr>
              <w:spacing w:after="0"/>
              <w:rPr>
                <w:sz w:val="24"/>
                <w:szCs w:val="24"/>
                <w:color w:val="auto"/>
              </w:rPr>
            </w:pPr>
          </w:p>
        </w:tc>
        <w:tc>
          <w:tcPr>
            <w:tcW w:w="3960" w:type="dxa"/>
            <w:vAlign w:val="bottom"/>
            <w:gridSpan w:val="6"/>
          </w:tcPr>
          <w:p>
            <w:pPr>
              <w:ind w:left="640"/>
              <w:spacing w:after="0"/>
              <w:rPr>
                <w:sz w:val="20"/>
                <w:szCs w:val="20"/>
                <w:color w:val="auto"/>
              </w:rPr>
            </w:pPr>
            <w:r>
              <w:rPr>
                <w:rFonts w:ascii="Arial" w:cs="Arial" w:eastAsia="Arial" w:hAnsi="Arial"/>
                <w:sz w:val="22"/>
                <w:szCs w:val="22"/>
                <w:color w:val="auto"/>
              </w:rPr>
              <w:t>BARCLAYS CAPITAL INC.</w:t>
            </w:r>
            <w:r>
              <w:rPr>
                <w:rFonts w:ascii="Arial" w:cs="Arial" w:eastAsia="Arial" w:hAnsi="Arial"/>
                <w:sz w:val="19"/>
                <w:szCs w:val="19"/>
                <w:color w:val="auto"/>
              </w:rPr>
              <w:t>,</w:t>
            </w:r>
          </w:p>
        </w:tc>
      </w:tr>
      <w:tr>
        <w:trPr>
          <w:trHeight w:val="251"/>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as Authorized Representative</w:t>
            </w:r>
          </w:p>
        </w:tc>
      </w:tr>
      <w:tr>
        <w:trPr>
          <w:trHeight w:val="52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21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/s/ E. Peter Contrucci III</w:t>
            </w:r>
          </w:p>
        </w:tc>
        <w:tc>
          <w:tcPr>
            <w:tcW w:w="1820" w:type="dxa"/>
            <w:vAlign w:val="bottom"/>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Name: E. Peter Contrucci III</w:t>
            </w:r>
          </w:p>
        </w:tc>
      </w:tr>
      <w:tr>
        <w:trPr>
          <w:trHeight w:val="250"/>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Title: Managing Director</w:t>
            </w:r>
          </w:p>
        </w:tc>
      </w:tr>
      <w:tr>
        <w:trPr>
          <w:trHeight w:val="708"/>
        </w:trPr>
        <w:tc>
          <w:tcPr>
            <w:tcW w:w="660" w:type="dxa"/>
            <w:vAlign w:val="bottom"/>
          </w:tcPr>
          <w:p>
            <w:pPr>
              <w:spacing w:after="0"/>
              <w:rPr>
                <w:sz w:val="24"/>
                <w:szCs w:val="24"/>
                <w:color w:val="auto"/>
              </w:rPr>
            </w:pPr>
          </w:p>
        </w:tc>
        <w:tc>
          <w:tcPr>
            <w:tcW w:w="3960" w:type="dxa"/>
            <w:vAlign w:val="bottom"/>
            <w:gridSpan w:val="6"/>
          </w:tcPr>
          <w:p>
            <w:pPr>
              <w:spacing w:after="0"/>
              <w:rPr>
                <w:sz w:val="20"/>
                <w:szCs w:val="20"/>
                <w:color w:val="auto"/>
              </w:rPr>
            </w:pPr>
            <w:r>
              <w:rPr>
                <w:rFonts w:ascii="Arial" w:cs="Arial" w:eastAsia="Arial" w:hAnsi="Arial"/>
                <w:sz w:val="22"/>
                <w:szCs w:val="22"/>
                <w:color w:val="auto"/>
              </w:rPr>
              <w:t>CITIGROUP GLOBAL MARKETS INC.</w:t>
            </w:r>
            <w:r>
              <w:rPr>
                <w:rFonts w:ascii="Arial" w:cs="Arial" w:eastAsia="Arial" w:hAnsi="Arial"/>
                <w:sz w:val="19"/>
                <w:szCs w:val="19"/>
                <w:color w:val="auto"/>
              </w:rPr>
              <w:t>,</w:t>
            </w:r>
          </w:p>
        </w:tc>
      </w:tr>
      <w:tr>
        <w:trPr>
          <w:trHeight w:val="250"/>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as Authorized Representative</w:t>
            </w:r>
          </w:p>
        </w:tc>
      </w:tr>
      <w:tr>
        <w:trPr>
          <w:trHeight w:val="414"/>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rPr>
              <w:t>/s/ Brian D. Bednarski</w:t>
            </w:r>
          </w:p>
        </w:tc>
        <w:tc>
          <w:tcPr>
            <w:tcW w:w="2000" w:type="dxa"/>
            <w:vAlign w:val="bottom"/>
            <w:gridSpan w:val="2"/>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Name: Brian D. Bednarski</w:t>
            </w:r>
          </w:p>
        </w:tc>
      </w:tr>
      <w:tr>
        <w:trPr>
          <w:trHeight w:val="250"/>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Title: Managing Director</w:t>
            </w:r>
          </w:p>
        </w:tc>
      </w:tr>
      <w:tr>
        <w:trPr>
          <w:trHeight w:val="708"/>
        </w:trPr>
        <w:tc>
          <w:tcPr>
            <w:tcW w:w="660" w:type="dxa"/>
            <w:vAlign w:val="bottom"/>
          </w:tcPr>
          <w:p>
            <w:pPr>
              <w:spacing w:after="0"/>
              <w:rPr>
                <w:sz w:val="24"/>
                <w:szCs w:val="24"/>
                <w:color w:val="auto"/>
              </w:rPr>
            </w:pPr>
          </w:p>
        </w:tc>
        <w:tc>
          <w:tcPr>
            <w:tcW w:w="3960" w:type="dxa"/>
            <w:vAlign w:val="bottom"/>
            <w:gridSpan w:val="6"/>
          </w:tcPr>
          <w:p>
            <w:pPr>
              <w:spacing w:after="0"/>
              <w:rPr>
                <w:sz w:val="20"/>
                <w:szCs w:val="20"/>
                <w:color w:val="auto"/>
              </w:rPr>
            </w:pPr>
            <w:r>
              <w:rPr>
                <w:rFonts w:ascii="Arial" w:cs="Arial" w:eastAsia="Arial" w:hAnsi="Arial"/>
                <w:sz w:val="22"/>
                <w:szCs w:val="22"/>
                <w:color w:val="auto"/>
                <w:w w:val="92"/>
              </w:rPr>
              <w:t>CREDIT SUISSE SECURITIES (USA) LLC</w:t>
            </w:r>
            <w:r>
              <w:rPr>
                <w:rFonts w:ascii="Arial" w:cs="Arial" w:eastAsia="Arial" w:hAnsi="Arial"/>
                <w:sz w:val="19"/>
                <w:szCs w:val="19"/>
                <w:color w:val="auto"/>
                <w:w w:val="92"/>
              </w:rPr>
              <w:t>,</w:t>
            </w:r>
          </w:p>
        </w:tc>
      </w:tr>
      <w:tr>
        <w:trPr>
          <w:trHeight w:val="250"/>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as Authorized Representative</w:t>
            </w:r>
          </w:p>
        </w:tc>
      </w:tr>
      <w:tr>
        <w:trPr>
          <w:trHeight w:val="415"/>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8"/>
              </w:rPr>
              <w:t>/s/ Matthew Joseph</w:t>
            </w:r>
          </w:p>
        </w:tc>
        <w:tc>
          <w:tcPr>
            <w:tcW w:w="2240" w:type="dxa"/>
            <w:vAlign w:val="bottom"/>
            <w:gridSpan w:val="3"/>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Name: Matthew Joseph</w:t>
            </w:r>
          </w:p>
        </w:tc>
      </w:tr>
      <w:tr>
        <w:trPr>
          <w:trHeight w:val="250"/>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Title: Director</w:t>
            </w:r>
          </w:p>
        </w:tc>
      </w:tr>
      <w:tr>
        <w:trPr>
          <w:trHeight w:val="415"/>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9"/>
              </w:rPr>
              <w:t>/s/ Neal Nisargand</w:t>
            </w:r>
          </w:p>
        </w:tc>
        <w:tc>
          <w:tcPr>
            <w:tcW w:w="2300" w:type="dxa"/>
            <w:vAlign w:val="bottom"/>
            <w:gridSpan w:val="4"/>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Name: Neal Nisargand</w:t>
            </w:r>
          </w:p>
        </w:tc>
      </w:tr>
      <w:tr>
        <w:trPr>
          <w:trHeight w:val="250"/>
        </w:trPr>
        <w:tc>
          <w:tcPr>
            <w:tcW w:w="660" w:type="dxa"/>
            <w:vAlign w:val="bottom"/>
          </w:tcPr>
          <w:p>
            <w:pPr>
              <w:spacing w:after="0"/>
              <w:rPr>
                <w:sz w:val="21"/>
                <w:szCs w:val="21"/>
                <w:color w:val="auto"/>
              </w:rPr>
            </w:pPr>
          </w:p>
        </w:tc>
        <w:tc>
          <w:tcPr>
            <w:tcW w:w="3960" w:type="dxa"/>
            <w:vAlign w:val="bottom"/>
            <w:gridSpan w:val="6"/>
          </w:tcPr>
          <w:p>
            <w:pPr>
              <w:spacing w:after="0"/>
              <w:rPr>
                <w:sz w:val="20"/>
                <w:szCs w:val="20"/>
                <w:color w:val="auto"/>
              </w:rPr>
            </w:pPr>
            <w:r>
              <w:rPr>
                <w:rFonts w:ascii="Arial" w:cs="Arial" w:eastAsia="Arial" w:hAnsi="Arial"/>
                <w:sz w:val="20"/>
                <w:szCs w:val="20"/>
                <w:color w:val="auto"/>
              </w:rPr>
              <w:t>Title: Director</w:t>
            </w:r>
          </w:p>
        </w:tc>
      </w:tr>
    </w:tbl>
    <w:p>
      <w:pPr>
        <w:sectPr>
          <w:pgSz w:w="11900" w:h="16838" w:orient="portrait"/>
          <w:cols w:equalWidth="0" w:num="1">
            <w:col w:w="10139"/>
          </w:cols>
          <w:pgMar w:left="320" w:top="339"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60" w:type="dxa"/>
            <w:vAlign w:val="bottom"/>
          </w:tcPr>
          <w:p>
            <w:pPr>
              <w:spacing w:after="0"/>
              <w:rPr>
                <w:sz w:val="22"/>
                <w:szCs w:val="22"/>
                <w:color w:val="auto"/>
              </w:rPr>
            </w:pPr>
          </w:p>
        </w:tc>
        <w:tc>
          <w:tcPr>
            <w:tcW w:w="3080" w:type="dxa"/>
            <w:vAlign w:val="bottom"/>
            <w:gridSpan w:val="3"/>
          </w:tcPr>
          <w:p>
            <w:pPr>
              <w:spacing w:after="0"/>
              <w:rPr>
                <w:sz w:val="20"/>
                <w:szCs w:val="20"/>
                <w:color w:val="auto"/>
              </w:rPr>
            </w:pPr>
            <w:r>
              <w:rPr>
                <w:rFonts w:ascii="Arial" w:cs="Arial" w:eastAsia="Arial" w:hAnsi="Arial"/>
                <w:sz w:val="22"/>
                <w:szCs w:val="22"/>
                <w:color w:val="auto"/>
                <w:w w:val="98"/>
              </w:rPr>
              <w:t>GOLDMAN SACHS &amp; CO. LLC</w:t>
            </w:r>
            <w:r>
              <w:rPr>
                <w:rFonts w:ascii="Arial" w:cs="Arial" w:eastAsia="Arial" w:hAnsi="Arial"/>
                <w:sz w:val="19"/>
                <w:szCs w:val="19"/>
                <w:color w:val="auto"/>
                <w:w w:val="98"/>
              </w:rPr>
              <w:t>,</w:t>
            </w:r>
          </w:p>
        </w:tc>
      </w:tr>
      <w:tr>
        <w:trPr>
          <w:trHeight w:val="250"/>
        </w:trPr>
        <w:tc>
          <w:tcPr>
            <w:tcW w:w="66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20"/>
                <w:szCs w:val="20"/>
                <w:color w:val="auto"/>
              </w:rPr>
              <w:t>as Authorized Representative</w:t>
            </w:r>
          </w:p>
        </w:tc>
      </w:tr>
      <w:tr>
        <w:trPr>
          <w:trHeight w:val="414"/>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Sam Chaffin</w:t>
            </w:r>
          </w:p>
        </w:tc>
        <w:tc>
          <w:tcPr>
            <w:tcW w:w="1640" w:type="dxa"/>
            <w:vAlign w:val="bottom"/>
            <w:gridSpan w:val="2"/>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20"/>
                <w:szCs w:val="20"/>
                <w:color w:val="auto"/>
              </w:rPr>
              <w:t>Name: Sam Chaffin</w:t>
            </w:r>
          </w:p>
        </w:tc>
      </w:tr>
      <w:tr>
        <w:trPr>
          <w:trHeight w:val="250"/>
        </w:trPr>
        <w:tc>
          <w:tcPr>
            <w:tcW w:w="66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20"/>
                <w:szCs w:val="20"/>
                <w:color w:val="auto"/>
              </w:rPr>
              <w:t>Title: Vice President</w:t>
            </w:r>
          </w:p>
        </w:tc>
      </w:tr>
      <w:tr>
        <w:trPr>
          <w:trHeight w:val="708"/>
        </w:trPr>
        <w:tc>
          <w:tcPr>
            <w:tcW w:w="660" w:type="dxa"/>
            <w:vAlign w:val="bottom"/>
          </w:tcPr>
          <w:p>
            <w:pPr>
              <w:spacing w:after="0"/>
              <w:rPr>
                <w:sz w:val="24"/>
                <w:szCs w:val="24"/>
                <w:color w:val="auto"/>
              </w:rPr>
            </w:pPr>
          </w:p>
        </w:tc>
        <w:tc>
          <w:tcPr>
            <w:tcW w:w="3080" w:type="dxa"/>
            <w:vAlign w:val="bottom"/>
            <w:gridSpan w:val="3"/>
          </w:tcPr>
          <w:p>
            <w:pPr>
              <w:spacing w:after="0"/>
              <w:rPr>
                <w:sz w:val="20"/>
                <w:szCs w:val="20"/>
                <w:color w:val="auto"/>
              </w:rPr>
            </w:pPr>
            <w:r>
              <w:rPr>
                <w:rFonts w:ascii="Arial" w:cs="Arial" w:eastAsia="Arial" w:hAnsi="Arial"/>
                <w:sz w:val="22"/>
                <w:szCs w:val="22"/>
                <w:color w:val="auto"/>
                <w:w w:val="91"/>
              </w:rPr>
              <w:t>J.P. MORGAN SECURITIES LLC</w:t>
            </w:r>
            <w:r>
              <w:rPr>
                <w:rFonts w:ascii="Arial" w:cs="Arial" w:eastAsia="Arial" w:hAnsi="Arial"/>
                <w:sz w:val="19"/>
                <w:szCs w:val="19"/>
                <w:color w:val="auto"/>
                <w:w w:val="91"/>
              </w:rPr>
              <w:t>,</w:t>
            </w:r>
          </w:p>
        </w:tc>
      </w:tr>
      <w:tr>
        <w:trPr>
          <w:trHeight w:val="250"/>
        </w:trPr>
        <w:tc>
          <w:tcPr>
            <w:tcW w:w="66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20"/>
                <w:szCs w:val="20"/>
                <w:color w:val="auto"/>
              </w:rPr>
              <w:t>as Authorized Representative</w:t>
            </w:r>
          </w:p>
        </w:tc>
      </w:tr>
      <w:tr>
        <w:trPr>
          <w:trHeight w:val="414"/>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7"/>
              </w:rPr>
              <w:t>/s/ Som Bhattacharyya</w:t>
            </w:r>
          </w:p>
        </w:tc>
        <w:tc>
          <w:tcPr>
            <w:tcW w:w="1100" w:type="dxa"/>
            <w:vAlign w:val="bottom"/>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20"/>
                <w:szCs w:val="20"/>
                <w:color w:val="auto"/>
              </w:rPr>
              <w:t>Name: Som Bhattacharyya</w:t>
            </w:r>
          </w:p>
        </w:tc>
      </w:tr>
      <w:tr>
        <w:trPr>
          <w:trHeight w:val="250"/>
        </w:trPr>
        <w:tc>
          <w:tcPr>
            <w:tcW w:w="66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20"/>
                <w:szCs w:val="20"/>
                <w:color w:val="auto"/>
              </w:rPr>
              <w:t>Title: Executive Director</w:t>
            </w:r>
          </w:p>
        </w:tc>
      </w:tr>
    </w:tbl>
    <w:p>
      <w:pPr>
        <w:sectPr>
          <w:pgSz w:w="11900" w:h="16838" w:orient="portrait"/>
          <w:cols w:equalWidth="0" w:num="1">
            <w:col w:w="10139"/>
          </w:cols>
          <w:pgMar w:left="320" w:top="806"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4.9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DELL TECHNOLOGIES INC.</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NO. 2 TO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REGISTRATION RIGHTS AGREEMENT</w:t>
      </w:r>
    </w:p>
    <w:p>
      <w:pPr>
        <w:spacing w:after="0" w:line="200" w:lineRule="exact"/>
        <w:rPr>
          <w:sz w:val="20"/>
          <w:szCs w:val="20"/>
          <w:color w:val="auto"/>
        </w:rPr>
      </w:pPr>
    </w:p>
    <w:p>
      <w:pPr>
        <w:ind w:right="360" w:firstLine="1296"/>
        <w:spacing w:after="0" w:line="246" w:lineRule="auto"/>
        <w:rPr>
          <w:sz w:val="20"/>
          <w:szCs w:val="20"/>
          <w:color w:val="auto"/>
        </w:rPr>
      </w:pPr>
      <w:r>
        <w:rPr>
          <w:rFonts w:ascii="Arial" w:cs="Arial" w:eastAsia="Arial" w:hAnsi="Arial"/>
          <w:sz w:val="20"/>
          <w:szCs w:val="20"/>
          <w:color w:val="auto"/>
        </w:rPr>
        <w:t>THIS AMENDMENT NO. 2 TO THE SECOND AMENDED AND RESTATED REGISTRATION RIGHTS AGREEMENT, dated as of April 15, 2020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by and among Dell Technologies Inc. (the “</w:t>
      </w:r>
      <w:r>
        <w:rPr>
          <w:rFonts w:ascii="Arial" w:cs="Arial" w:eastAsia="Arial" w:hAnsi="Arial"/>
          <w:sz w:val="20"/>
          <w:szCs w:val="20"/>
          <w:u w:val="single" w:color="auto"/>
          <w:color w:val="auto"/>
        </w:rPr>
        <w:t>Company</w:t>
      </w:r>
      <w:r>
        <w:rPr>
          <w:rFonts w:ascii="Arial" w:cs="Arial" w:eastAsia="Arial" w:hAnsi="Arial"/>
          <w:sz w:val="20"/>
          <w:szCs w:val="20"/>
          <w:color w:val="auto"/>
        </w:rPr>
        <w:t>”), a Delaware corporation, and each of the following (hereinafter severally referred to as a “</w:t>
      </w:r>
      <w:r>
        <w:rPr>
          <w:rFonts w:ascii="Arial" w:cs="Arial" w:eastAsia="Arial" w:hAnsi="Arial"/>
          <w:sz w:val="20"/>
          <w:szCs w:val="20"/>
          <w:u w:val="single" w:color="auto"/>
          <w:color w:val="auto"/>
        </w:rPr>
        <w:t>Stockholder</w:t>
      </w:r>
      <w:r>
        <w:rPr>
          <w:rFonts w:ascii="Arial" w:cs="Arial" w:eastAsia="Arial" w:hAnsi="Arial"/>
          <w:sz w:val="20"/>
          <w:szCs w:val="20"/>
          <w:color w:val="auto"/>
        </w:rPr>
        <w:t>” and collectively referred to as the “</w:t>
      </w:r>
      <w:r>
        <w:rPr>
          <w:rFonts w:ascii="Arial" w:cs="Arial" w:eastAsia="Arial" w:hAnsi="Arial"/>
          <w:sz w:val="20"/>
          <w:szCs w:val="20"/>
          <w:u w:val="single" w:color="auto"/>
          <w:color w:val="auto"/>
        </w:rPr>
        <w:t>Stockholders</w:t>
      </w:r>
      <w:r>
        <w:rPr>
          <w:rFonts w:ascii="Arial" w:cs="Arial" w:eastAsia="Arial" w:hAnsi="Arial"/>
          <w:sz w:val="20"/>
          <w:szCs w:val="20"/>
          <w:color w:val="auto"/>
        </w:rPr>
        <w:t>”):</w:t>
      </w:r>
    </w:p>
    <w:p>
      <w:pPr>
        <w:spacing w:after="0" w:line="202" w:lineRule="exact"/>
        <w:rPr>
          <w:sz w:val="20"/>
          <w:szCs w:val="20"/>
          <w:color w:val="auto"/>
        </w:rPr>
      </w:pPr>
    </w:p>
    <w:p>
      <w:pPr>
        <w:ind w:left="1960" w:hanging="656"/>
        <w:spacing w:after="0"/>
        <w:tabs>
          <w:tab w:leader="none" w:pos="1960" w:val="left"/>
        </w:tabs>
        <w:numPr>
          <w:ilvl w:val="0"/>
          <w:numId w:val="65"/>
        </w:numPr>
        <w:rPr>
          <w:rFonts w:ascii="Arial" w:cs="Arial" w:eastAsia="Arial" w:hAnsi="Arial"/>
          <w:sz w:val="22"/>
          <w:szCs w:val="22"/>
          <w:color w:val="auto"/>
        </w:rPr>
      </w:pPr>
      <w:r>
        <w:rPr>
          <w:rFonts w:ascii="Arial" w:cs="Arial" w:eastAsia="Arial" w:hAnsi="Arial"/>
          <w:sz w:val="20"/>
          <w:szCs w:val="20"/>
          <w:color w:val="auto"/>
        </w:rPr>
        <w:t>Michael S. Dell and Susan Lieberman Dell Separate Property Trust (collectively, the “</w:t>
      </w:r>
      <w:r>
        <w:rPr>
          <w:rFonts w:ascii="Arial" w:cs="Arial" w:eastAsia="Arial" w:hAnsi="Arial"/>
          <w:sz w:val="20"/>
          <w:szCs w:val="20"/>
          <w:u w:val="single" w:color="auto"/>
          <w:color w:val="auto"/>
        </w:rPr>
        <w:t>MD Stockholders</w:t>
      </w:r>
      <w:r>
        <w:rPr>
          <w:rFonts w:ascii="Arial" w:cs="Arial" w:eastAsia="Arial" w:hAnsi="Arial"/>
          <w:sz w:val="20"/>
          <w:szCs w:val="20"/>
          <w:color w:val="auto"/>
        </w:rPr>
        <w:t>”);</w:t>
      </w:r>
    </w:p>
    <w:p>
      <w:pPr>
        <w:spacing w:after="0" w:line="222" w:lineRule="exact"/>
        <w:rPr>
          <w:rFonts w:ascii="Arial" w:cs="Arial" w:eastAsia="Arial" w:hAnsi="Arial"/>
          <w:sz w:val="22"/>
          <w:szCs w:val="22"/>
          <w:color w:val="auto"/>
        </w:rPr>
      </w:pPr>
    </w:p>
    <w:p>
      <w:pPr>
        <w:ind w:left="1960" w:right="80" w:hanging="656"/>
        <w:spacing w:after="0" w:line="265" w:lineRule="auto"/>
        <w:tabs>
          <w:tab w:leader="none" w:pos="1960" w:val="left"/>
        </w:tabs>
        <w:numPr>
          <w:ilvl w:val="0"/>
          <w:numId w:val="65"/>
        </w:numPr>
        <w:rPr>
          <w:rFonts w:ascii="Arial" w:cs="Arial" w:eastAsia="Arial" w:hAnsi="Arial"/>
          <w:sz w:val="22"/>
          <w:szCs w:val="22"/>
          <w:color w:val="auto"/>
        </w:rPr>
      </w:pPr>
      <w:r>
        <w:rPr>
          <w:rFonts w:ascii="Arial" w:cs="Arial" w:eastAsia="Arial" w:hAnsi="Arial"/>
          <w:sz w:val="20"/>
          <w:szCs w:val="20"/>
          <w:color w:val="auto"/>
        </w:rPr>
        <w:t>SL SPV-2, L.P., a Delaware limited partnership, Silver Lake Partners IV, L.P., a Delaware limited partnership, Silver Lake Technology Investors IV, L.P., a Delaware limited partnership, Silver Lake Partners V DE (AIV), L.P., a Delaware limited partnership, and Silver Lake Technology Investors V, L.P., a Delaware limited partnership (collectively, the “</w:t>
      </w:r>
      <w:r>
        <w:rPr>
          <w:rFonts w:ascii="Arial" w:cs="Arial" w:eastAsia="Arial" w:hAnsi="Arial"/>
          <w:sz w:val="20"/>
          <w:szCs w:val="20"/>
          <w:u w:val="single" w:color="auto"/>
          <w:color w:val="auto"/>
        </w:rPr>
        <w:t>SLP Stockholders</w:t>
      </w:r>
      <w:r>
        <w:rPr>
          <w:rFonts w:ascii="Arial" w:cs="Arial" w:eastAsia="Arial" w:hAnsi="Arial"/>
          <w:sz w:val="20"/>
          <w:szCs w:val="20"/>
          <w:color w:val="auto"/>
        </w:rPr>
        <w:t>”); and</w:t>
      </w:r>
    </w:p>
    <w:p>
      <w:pPr>
        <w:spacing w:after="0" w:line="198" w:lineRule="exact"/>
        <w:rPr>
          <w:rFonts w:ascii="Arial" w:cs="Arial" w:eastAsia="Arial" w:hAnsi="Arial"/>
          <w:sz w:val="22"/>
          <w:szCs w:val="22"/>
          <w:color w:val="auto"/>
        </w:rPr>
      </w:pPr>
    </w:p>
    <w:p>
      <w:pPr>
        <w:ind w:left="1960" w:hanging="656"/>
        <w:spacing w:after="0"/>
        <w:tabs>
          <w:tab w:leader="none" w:pos="1960" w:val="left"/>
        </w:tabs>
        <w:numPr>
          <w:ilvl w:val="0"/>
          <w:numId w:val="65"/>
        </w:numPr>
        <w:rPr>
          <w:rFonts w:ascii="Arial" w:cs="Arial" w:eastAsia="Arial" w:hAnsi="Arial"/>
          <w:sz w:val="22"/>
          <w:szCs w:val="22"/>
          <w:color w:val="auto"/>
        </w:rPr>
      </w:pPr>
      <w:r>
        <w:rPr>
          <w:rFonts w:ascii="Arial" w:cs="Arial" w:eastAsia="Arial" w:hAnsi="Arial"/>
          <w:sz w:val="20"/>
          <w:szCs w:val="20"/>
          <w:color w:val="auto"/>
        </w:rPr>
        <w:t>Venezio Investments Pte. Ltd., a Singapore corporation (the “</w:t>
      </w:r>
      <w:r>
        <w:rPr>
          <w:rFonts w:ascii="Arial" w:cs="Arial" w:eastAsia="Arial" w:hAnsi="Arial"/>
          <w:sz w:val="20"/>
          <w:szCs w:val="20"/>
          <w:u w:val="single" w:color="auto"/>
          <w:color w:val="auto"/>
        </w:rPr>
        <w:t>Temasek Stockholder</w:t>
      </w:r>
      <w:r>
        <w:rPr>
          <w:rFonts w:ascii="Arial" w:cs="Arial" w:eastAsia="Arial" w:hAnsi="Arial"/>
          <w:sz w:val="20"/>
          <w:szCs w:val="20"/>
          <w:color w:val="auto"/>
        </w:rPr>
        <w:t>”).</w:t>
      </w:r>
    </w:p>
    <w:p>
      <w:pPr>
        <w:spacing w:after="0" w:line="209" w:lineRule="exact"/>
        <w:rPr>
          <w:sz w:val="20"/>
          <w:szCs w:val="20"/>
          <w:color w:val="auto"/>
        </w:rPr>
      </w:pPr>
    </w:p>
    <w:p>
      <w:pPr>
        <w:ind w:right="200" w:firstLine="1296"/>
        <w:spacing w:after="0" w:line="244" w:lineRule="auto"/>
        <w:rPr>
          <w:sz w:val="20"/>
          <w:szCs w:val="20"/>
          <w:color w:val="auto"/>
        </w:rPr>
      </w:pPr>
      <w:r>
        <w:rPr>
          <w:rFonts w:ascii="Arial" w:cs="Arial" w:eastAsia="Arial" w:hAnsi="Arial"/>
          <w:sz w:val="20"/>
          <w:szCs w:val="20"/>
          <w:color w:val="auto"/>
        </w:rPr>
        <w:t>Capitalized terms used but not defined in this Amendment shall have the meanings ascribed to such terms in the Second Amended and Restated Registration Rights Agreement, dated as of December 25, 2018, as amended by Amendment No. 1, dated as of May 27, 2019 (as so amended, the “</w:t>
      </w:r>
      <w:r>
        <w:rPr>
          <w:rFonts w:ascii="Arial" w:cs="Arial" w:eastAsia="Arial" w:hAnsi="Arial"/>
          <w:sz w:val="20"/>
          <w:szCs w:val="20"/>
          <w:u w:val="single" w:color="auto"/>
          <w:color w:val="auto"/>
        </w:rPr>
        <w:t>Registration Rights Agreement</w:t>
      </w:r>
      <w:r>
        <w:rPr>
          <w:rFonts w:ascii="Arial" w:cs="Arial" w:eastAsia="Arial" w:hAnsi="Arial"/>
          <w:sz w:val="20"/>
          <w:szCs w:val="20"/>
          <w:color w:val="auto"/>
        </w:rPr>
        <w:t>”), by and among the Company and the Stockholders referred to therein. Capitalized terms defined in this Amendment shall have the meanings ascribed to them herein for purposes of this Amendment and the Registration Rights Agreement.</w:t>
      </w:r>
    </w:p>
    <w:p>
      <w:pPr>
        <w:spacing w:after="0" w:line="194"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of the Registration Rights Agreement, the Company is required to use its reasonable best efforts to file a Shelf Registration Statement for a public offering of all Registrable Securities (or such lesser amount agreed in accordance with the terms and conditions of the Registration Rights Agreement) no later than the first day on which such filing can be made with the SEC on or after April 15, 2020 (such date, the “</w:t>
      </w:r>
      <w:r>
        <w:rPr>
          <w:rFonts w:ascii="Arial" w:cs="Arial" w:eastAsia="Arial" w:hAnsi="Arial"/>
          <w:sz w:val="19"/>
          <w:szCs w:val="19"/>
          <w:u w:val="single" w:color="auto"/>
          <w:color w:val="auto"/>
        </w:rPr>
        <w:t>Shelf Registration Filing Deadline</w:t>
      </w:r>
      <w:r>
        <w:rPr>
          <w:rFonts w:ascii="Arial" w:cs="Arial" w:eastAsia="Arial" w:hAnsi="Arial"/>
          <w:sz w:val="19"/>
          <w:szCs w:val="19"/>
          <w:color w:val="auto"/>
        </w:rPr>
        <w:t>”);</w:t>
      </w:r>
    </w:p>
    <w:p>
      <w:pPr>
        <w:spacing w:after="0" w:line="176" w:lineRule="exact"/>
        <w:rPr>
          <w:sz w:val="20"/>
          <w:szCs w:val="20"/>
          <w:color w:val="auto"/>
        </w:rPr>
      </w:pPr>
    </w:p>
    <w:p>
      <w:pPr>
        <w:ind w:right="520" w:firstLine="1296"/>
        <w:spacing w:after="0" w:line="260" w:lineRule="auto"/>
        <w:rPr>
          <w:sz w:val="20"/>
          <w:szCs w:val="20"/>
          <w:color w:val="auto"/>
        </w:rPr>
      </w:pPr>
      <w:r>
        <w:rPr>
          <w:rFonts w:ascii="Arial" w:cs="Arial" w:eastAsia="Arial" w:hAnsi="Arial"/>
          <w:sz w:val="20"/>
          <w:szCs w:val="20"/>
          <w:color w:val="auto"/>
        </w:rPr>
        <w:t xml:space="preserve">WHEREAS, the Company and the Stockholders wish to amend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the Registration Rights Agreement to extend the Shelf Registration Filing Deadline;</w:t>
      </w:r>
    </w:p>
    <w:p>
      <w:pPr>
        <w:spacing w:after="0" w:line="177" w:lineRule="exact"/>
        <w:rPr>
          <w:sz w:val="20"/>
          <w:szCs w:val="20"/>
          <w:color w:val="auto"/>
        </w:rPr>
      </w:pPr>
    </w:p>
    <w:p>
      <w:pPr>
        <w:ind w:right="840" w:firstLine="1296"/>
        <w:spacing w:after="0" w:line="260" w:lineRule="auto"/>
        <w:rPr>
          <w:sz w:val="20"/>
          <w:szCs w:val="20"/>
          <w:color w:val="auto"/>
        </w:rPr>
      </w:pPr>
      <w:r>
        <w:rPr>
          <w:rFonts w:ascii="Arial" w:cs="Arial" w:eastAsia="Arial" w:hAnsi="Arial"/>
          <w:sz w:val="20"/>
          <w:szCs w:val="20"/>
          <w:color w:val="auto"/>
        </w:rPr>
        <w:t xml:space="preserve">WHEREAS, any amendment, modification, supplement or waiver of or to any provision of the Registration Rights Agreement shall be effected in accordance with </w:t>
      </w:r>
      <w:r>
        <w:rPr>
          <w:rFonts w:ascii="Arial" w:cs="Arial" w:eastAsia="Arial" w:hAnsi="Arial"/>
          <w:sz w:val="20"/>
          <w:szCs w:val="20"/>
          <w:u w:val="single" w:color="auto"/>
          <w:color w:val="auto"/>
        </w:rPr>
        <w:t>Section 3.11</w:t>
      </w:r>
      <w:r>
        <w:rPr>
          <w:rFonts w:ascii="Arial" w:cs="Arial" w:eastAsia="Arial" w:hAnsi="Arial"/>
          <w:sz w:val="20"/>
          <w:szCs w:val="20"/>
          <w:color w:val="auto"/>
        </w:rPr>
        <w:t xml:space="preserve"> thereof;</w:t>
      </w:r>
    </w:p>
    <w:p>
      <w:pPr>
        <w:spacing w:after="0" w:line="177" w:lineRule="exact"/>
        <w:rPr>
          <w:sz w:val="20"/>
          <w:szCs w:val="20"/>
          <w:color w:val="auto"/>
        </w:rPr>
      </w:pPr>
    </w:p>
    <w:p>
      <w:pPr>
        <w:ind w:right="300" w:firstLine="1296"/>
        <w:spacing w:after="0" w:line="385" w:lineRule="auto"/>
        <w:rPr>
          <w:sz w:val="20"/>
          <w:szCs w:val="20"/>
          <w:color w:val="auto"/>
        </w:rPr>
      </w:pPr>
      <w:r>
        <w:rPr>
          <w:rFonts w:ascii="Arial" w:cs="Arial" w:eastAsia="Arial" w:hAnsi="Arial"/>
          <w:sz w:val="16"/>
          <w:szCs w:val="16"/>
          <w:color w:val="auto"/>
        </w:rPr>
        <w:t xml:space="preserve">WHEREAS, each of the undersigned Stockholders, on behalf of such Stockholder and such Stockholder’s designated transferees or successors, wishes to consent to the amendment of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the Registration Rights Agreement provided for herein;</w:t>
      </w:r>
    </w:p>
    <w:p>
      <w:pPr>
        <w:sectPr>
          <w:pgSz w:w="11900" w:h="16838" w:orient="portrait"/>
          <w:cols w:equalWidth="0" w:num="1">
            <w:col w:w="11240"/>
          </w:cols>
          <w:pgMar w:left="320" w:top="333" w:right="339" w:bottom="1440" w:gutter="0" w:footer="0" w:header="0"/>
        </w:sectPr>
      </w:pPr>
    </w:p>
    <w:bookmarkStart w:id="135" w:name="page136"/>
    <w:bookmarkEnd w:id="135"/>
    <w:p>
      <w:pPr>
        <w:ind w:right="600" w:firstLine="1296"/>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and sufficiency of which is hereby acknowledged, the undersigned parties agree as follows:</w:t>
      </w:r>
    </w:p>
    <w:p>
      <w:pPr>
        <w:spacing w:after="0" w:line="177" w:lineRule="exact"/>
        <w:rPr>
          <w:sz w:val="20"/>
          <w:szCs w:val="20"/>
          <w:color w:val="auto"/>
        </w:rPr>
      </w:pPr>
    </w:p>
    <w:p>
      <w:pPr>
        <w:ind w:right="100" w:firstLine="1304"/>
        <w:spacing w:after="0" w:line="246" w:lineRule="auto"/>
        <w:tabs>
          <w:tab w:leader="none" w:pos="2092"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Amendment of Section 2.1(a)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the Registration Rights Agreement is hereby amended by deleting the first sentence thereof in its entirety and replacing such deleted first sentence with the following:</w:t>
      </w:r>
    </w:p>
    <w:p>
      <w:pPr>
        <w:spacing w:after="0" w:line="177" w:lineRule="exact"/>
        <w:rPr>
          <w:sz w:val="20"/>
          <w:szCs w:val="20"/>
          <w:color w:val="auto"/>
        </w:rPr>
      </w:pPr>
    </w:p>
    <w:p>
      <w:pPr>
        <w:ind w:left="1300"/>
        <w:spacing w:after="0" w:line="271" w:lineRule="auto"/>
        <w:rPr>
          <w:sz w:val="20"/>
          <w:szCs w:val="20"/>
          <w:color w:val="auto"/>
        </w:rPr>
      </w:pPr>
      <w:r>
        <w:rPr>
          <w:rFonts w:ascii="Arial" w:cs="Arial" w:eastAsia="Arial" w:hAnsi="Arial"/>
          <w:sz w:val="18"/>
          <w:szCs w:val="18"/>
          <w:color w:val="auto"/>
        </w:rPr>
        <w:t>Following the Merger, the Company shall use reasonable best efforts to (i) file a Shelf Registration Statement for a public offering of all Registrable Securities (or such lesser amount as the Sponsor Stockholders holding Registrable Securities agree, provided, that (x) all Registrable Securities of the Management Holders must be registered under such Shelf Registration Statement, (y) all Registrable Securities held by the Temasek Holders must be registered under such Shelf Registration Statement, and (z) upon the request of any such Sponsor Stockholder, the Company shall increase the number of Registrable Securities registered under such Shelf Registration Statement by the amount requested by such Sponsor Stockholder (or, in the event that no Shelf Registration Statement is effective at the time of such request, shall file and cause to become effective a Shelf Registration Statement covering such number of Registrable Securities), and this parenthetical shall apply to successive requests by Sponsor Stockholders holding Registrable Securities) pursuant to Rule 415 promulgated under the Securities Act no later than the first day on which such filing can be made with the SEC on or after September 15, 2020 and (ii) cause such Shelf Registration Statement to become effective as soon as possible thereafter.</w:t>
      </w:r>
    </w:p>
    <w:p>
      <w:pPr>
        <w:spacing w:after="0" w:line="170" w:lineRule="exact"/>
        <w:rPr>
          <w:sz w:val="20"/>
          <w:szCs w:val="20"/>
          <w:color w:val="auto"/>
        </w:rPr>
      </w:pPr>
    </w:p>
    <w:p>
      <w:pPr>
        <w:ind w:right="60" w:firstLine="1304"/>
        <w:spacing w:after="0" w:line="263" w:lineRule="auto"/>
        <w:tabs>
          <w:tab w:leader="none" w:pos="20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expressly provided by this Amendment, the Registration Rights Agreement is and shall continue to be in full force and effect and is hereby in all respects ratified and reaffirmed. Except as expressly set forth in this Amendment, no other terms and conditions of the Registration Rights Agreement are hereby amended, modified, supplemented or waived. Upon the effectiveness of this Amendment, each reference in the Registration Rights Agreement to “this Agreement,” “hereunder,” “hereof,” “herein” or words of similar import shall mean and be a reference to the Registration Rights Agreement as amended by this Amendment.</w:t>
      </w:r>
    </w:p>
    <w:p>
      <w:pPr>
        <w:spacing w:after="0" w:line="161" w:lineRule="exact"/>
        <w:rPr>
          <w:rFonts w:ascii="Arial" w:cs="Arial" w:eastAsia="Arial" w:hAnsi="Arial"/>
          <w:sz w:val="18"/>
          <w:szCs w:val="18"/>
          <w:color w:val="auto"/>
        </w:rPr>
      </w:pPr>
    </w:p>
    <w:p>
      <w:pPr>
        <w:ind w:right="120" w:firstLine="1304"/>
        <w:spacing w:after="0" w:line="246" w:lineRule="auto"/>
        <w:tabs>
          <w:tab w:leader="none" w:pos="2092"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and all claims or causes of action (whether in tort, contract or otherwise) that may be based upon, arise out of or relate to this Amendment or the negotiation, execution, interpretation or performance of this Amendment (including any claim or cause of action based upon, arising out of or related to any representation or warranty made in or in connection with this Amendment) shall be governed by and construed in accordance with the laws of the State of Delaware, regardless of the laws that might otherwise govern under applicable rules or principles of conflicts of laws.</w:t>
      </w:r>
    </w:p>
    <w:p>
      <w:pPr>
        <w:spacing w:after="0" w:line="176" w:lineRule="exact"/>
        <w:rPr>
          <w:rFonts w:ascii="Arial" w:cs="Arial" w:eastAsia="Arial" w:hAnsi="Arial"/>
          <w:sz w:val="19"/>
          <w:szCs w:val="19"/>
          <w:color w:val="auto"/>
        </w:rPr>
      </w:pPr>
    </w:p>
    <w:p>
      <w:pPr>
        <w:ind w:right="460" w:firstLine="1304"/>
        <w:spacing w:after="0" w:line="237" w:lineRule="auto"/>
        <w:tabs>
          <w:tab w:leader="none" w:pos="209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(which delivery may be via facsimile transmission or e-mail if in .pdf format), each of which shall be deemed an original, but all of which together shall constitute a single instrument.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pages follow.]</w:t>
      </w:r>
    </w:p>
    <w:p>
      <w:pPr>
        <w:sectPr>
          <w:pgSz w:w="11900" w:h="16838" w:orient="portrait"/>
          <w:cols w:equalWidth="0" w:num="1">
            <w:col w:w="11240"/>
          </w:cols>
          <w:pgMar w:left="320" w:top="339"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IN WITNESS WHEREOF, the undersigned have executed and delivered this Amendment effective as of the date set forth above.</w:t>
      </w:r>
    </w:p>
    <w:p>
      <w:pPr>
        <w:sectPr>
          <w:pgSz w:w="11900" w:h="16838" w:orient="portrait"/>
          <w:cols w:equalWidth="0" w:num="1">
            <w:col w:w="10220"/>
          </w:cols>
          <w:pgMar w:left="980" w:top="339" w:right="699" w:bottom="1440" w:gutter="0" w:footer="0" w:header="0"/>
        </w:sectPr>
      </w:pPr>
    </w:p>
    <w:p>
      <w:pPr>
        <w:spacing w:after="0" w:line="269"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CORPORATION:</w:t>
      </w:r>
    </w:p>
    <w:p>
      <w:pPr>
        <w:spacing w:after="0" w:line="23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DELL TECHNOLOGIES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-14605</wp:posOffset>
            </wp:positionV>
            <wp:extent cx="7854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85495" cy="8890"/>
                    </a:xfrm>
                    <a:prstGeom prst="rect">
                      <a:avLst/>
                    </a:prstGeom>
                    <a:noFill/>
                  </pic:spPr>
                </pic:pic>
              </a:graphicData>
            </a:graphic>
          </wp:anchor>
        </w:drawing>
      </w:r>
    </w:p>
    <w:p>
      <w:pPr>
        <w:ind w:left="4540"/>
        <w:spacing w:after="0"/>
        <w:tabs>
          <w:tab w:leader="none" w:pos="52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Robert L. Potts</w:t>
      </w:r>
    </w:p>
    <w:p>
      <w:pPr>
        <w:jc w:val="both"/>
        <w:ind w:left="5580"/>
        <w:spacing w:after="0"/>
        <w:tabs>
          <w:tab w:leader="none" w:pos="6220" w:val="left"/>
        </w:tabs>
        <w:rPr>
          <w:sz w:val="20"/>
          <w:szCs w:val="20"/>
          <w:color w:val="auto"/>
        </w:rPr>
      </w:pPr>
      <w:r>
        <w:rPr>
          <w:rFonts w:ascii="Arial" w:cs="Arial" w:eastAsia="Arial" w:hAnsi="Arial"/>
          <w:sz w:val="20"/>
          <w:szCs w:val="20"/>
          <w:color w:val="auto"/>
        </w:rPr>
        <w:t>Title:</w:t>
        <w:tab/>
        <w:t>Senior Vice President and Assistant Secretary</w:t>
      </w:r>
    </w:p>
    <w:p>
      <w:pPr>
        <w:sectPr>
          <w:pgSz w:w="11900" w:h="16838" w:orient="portrait"/>
          <w:cols w:equalWidth="0" w:num="1">
            <w:col w:w="10220"/>
          </w:cols>
          <w:pgMar w:left="980" w:top="339" w:right="699" w:bottom="1440" w:gutter="0" w:footer="0" w:header="0"/>
          <w:type w:val="continuous"/>
        </w:sectPr>
      </w:pPr>
    </w:p>
    <w:bookmarkStart w:id="137" w:name="page138"/>
    <w:bookmarkEnd w:id="137"/>
    <w:p>
      <w:pPr>
        <w:jc w:val="center"/>
        <w:ind w:right="99"/>
        <w:spacing w:after="0"/>
        <w:rPr>
          <w:sz w:val="20"/>
          <w:szCs w:val="20"/>
          <w:color w:val="auto"/>
        </w:rPr>
      </w:pPr>
      <w:r>
        <w:rPr>
          <w:rFonts w:ascii="Arial" w:cs="Arial" w:eastAsia="Arial" w:hAnsi="Arial"/>
          <w:sz w:val="20"/>
          <w:szCs w:val="20"/>
          <w:b w:val="1"/>
          <w:bCs w:val="1"/>
          <w:color w:val="auto"/>
        </w:rPr>
        <w:t>MD STOCKHOLDER / MD HOLDER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571500</wp:posOffset>
            </wp:positionV>
            <wp:extent cx="753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Michael S. Dell</w:t>
      </w:r>
    </w:p>
    <w:p>
      <w:pPr>
        <w:sectPr>
          <w:pgSz w:w="11900" w:h="16838" w:orient="portrait"/>
          <w:cols w:equalWidth="0" w:num="1">
            <w:col w:w="9019"/>
          </w:cols>
          <w:pgMar w:left="1440" w:top="562" w:right="1440" w:bottom="1440" w:gutter="0" w:footer="0" w:header="0"/>
        </w:sectPr>
      </w:pPr>
    </w:p>
    <w:bookmarkStart w:id="138" w:name="page139"/>
    <w:bookmarkEnd w:id="138"/>
    <w:p>
      <w:pPr>
        <w:ind w:left="2780"/>
        <w:spacing w:after="0"/>
        <w:rPr>
          <w:sz w:val="20"/>
          <w:szCs w:val="20"/>
          <w:color w:val="auto"/>
        </w:rPr>
      </w:pPr>
      <w:r>
        <w:rPr>
          <w:rFonts w:ascii="Arial" w:cs="Arial" w:eastAsia="Arial" w:hAnsi="Arial"/>
          <w:sz w:val="20"/>
          <w:szCs w:val="20"/>
          <w:b w:val="1"/>
          <w:bCs w:val="1"/>
          <w:color w:val="auto"/>
        </w:rPr>
        <w:t>MD STOCKHOLDER / MD HOLDER:</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SUSAN LIEBERMAN DELL SEPARATE PROPERTY TRUST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910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4080"/>
        <w:spacing w:after="0"/>
        <w:tabs>
          <w:tab w:leader="none" w:pos="4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Marc R. Lisker</w:t>
      </w:r>
    </w:p>
    <w:p>
      <w:pPr>
        <w:ind w:left="408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 of Trustee</w:t>
      </w:r>
    </w:p>
    <w:p>
      <w:pPr>
        <w:sectPr>
          <w:pgSz w:w="11900" w:h="16838" w:orient="portrait"/>
          <w:cols w:equalWidth="0" w:num="1">
            <w:col w:w="9019"/>
          </w:cols>
          <w:pgMar w:left="1440" w:top="589" w:right="1440" w:bottom="1440" w:gutter="0" w:footer="0" w:header="0"/>
        </w:sectPr>
      </w:pPr>
    </w:p>
    <w:bookmarkStart w:id="139" w:name="page140"/>
    <w:bookmarkEnd w:id="139"/>
    <w:p>
      <w:pPr>
        <w:spacing w:after="0"/>
        <w:tabs>
          <w:tab w:leader="none" w:pos="4680" w:val="left"/>
        </w:tabs>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SL SPV-2,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SPV-2, L.P.,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SLTA SPV-2 (GP), L.L.C., its General Partner</w:t>
      </w: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Silver Lake Group, L.L.C., its Managing Member</w:t>
      </w:r>
    </w:p>
    <w:p>
      <w:pPr>
        <w:spacing w:after="0" w:line="200" w:lineRule="exact"/>
        <w:rPr>
          <w:sz w:val="20"/>
          <w:szCs w:val="20"/>
          <w:color w:val="auto"/>
        </w:rPr>
      </w:pPr>
    </w:p>
    <w:p>
      <w:pPr>
        <w:spacing w:after="0" w:line="28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910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-24765</wp:posOffset>
            </wp:positionV>
            <wp:extent cx="125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1" w:name="page142"/>
    <w:bookmarkEnd w:id="1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SILVER LAKE PARTNERS IV,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Silver Lake Technology Associates IV, L.P., its General Partner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IV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910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-24765</wp:posOffset>
            </wp:positionV>
            <wp:extent cx="125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3" w:name="page144"/>
    <w:bookmarkEnd w:id="1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SILVER LAKE TECHNOLOGY INVESTORS IV,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Silver Lake Technology Associates IV, L.P., its General Partner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IV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910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-24765</wp:posOffset>
            </wp:positionV>
            <wp:extent cx="1257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5" w:name="page146"/>
    <w:bookmarkEnd w:id="1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SILVER LAKE PARTNERS V DE (AIV),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Silver Lake Technology Associates V, L.P., its General Partner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V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9105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910590" cy="8890"/>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-24765</wp:posOffset>
            </wp:positionV>
            <wp:extent cx="125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7" w:name="page148"/>
    <w:bookmarkEnd w:id="1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ind w:left="2780"/>
        <w:spacing w:after="0"/>
        <w:rPr>
          <w:sz w:val="20"/>
          <w:szCs w:val="20"/>
          <w:color w:val="auto"/>
        </w:rPr>
      </w:pPr>
      <w:r>
        <w:rPr>
          <w:rFonts w:ascii="Arial" w:cs="Arial" w:eastAsia="Arial" w:hAnsi="Arial"/>
          <w:sz w:val="20"/>
          <w:szCs w:val="20"/>
          <w:b w:val="1"/>
          <w:bCs w:val="1"/>
          <w:color w:val="auto"/>
        </w:rPr>
        <w:t>SLP STOCKHOLDER / SLP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SILVER LAKE TECHNOLOGY INVESTORS V, L.P.</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By: Silver Lake Technology Associates V, L.P., its General Partner</w:t>
      </w:r>
    </w:p>
    <w:p>
      <w:pPr>
        <w:spacing w:after="0" w:line="27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SLTA V (GP), L.L.C., its General Partner</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9105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910590" cy="8890"/>
                    </a:xfrm>
                    <a:prstGeom prst="rect">
                      <a:avLst/>
                    </a:prstGeom>
                    <a:noFill/>
                  </pic:spPr>
                </pic:pic>
              </a:graphicData>
            </a:graphic>
          </wp:anchor>
        </w:drawing>
      </w:r>
    </w:p>
    <w:p>
      <w:pPr>
        <w:ind w:left="4080"/>
        <w:spacing w:after="0"/>
        <w:tabs>
          <w:tab w:leader="none" w:pos="4820" w:val="left"/>
        </w:tabs>
        <w:rPr>
          <w:sz w:val="20"/>
          <w:szCs w:val="20"/>
          <w:color w:val="auto"/>
        </w:rPr>
      </w:pPr>
      <w:r>
        <w:rPr>
          <w:rFonts w:ascii="Arial" w:cs="Arial" w:eastAsia="Arial" w:hAnsi="Arial"/>
          <w:sz w:val="20"/>
          <w:szCs w:val="20"/>
          <w:color w:val="auto"/>
        </w:rPr>
        <w:t>Name:</w:t>
        <w:tab/>
        <w:t>Andrew J. Schader</w:t>
      </w:r>
    </w:p>
    <w:p>
      <w:pPr>
        <w:ind w:left="4080"/>
        <w:spacing w:after="0"/>
        <w:tabs>
          <w:tab w:leader="none" w:pos="4720" w:val="left"/>
        </w:tabs>
        <w:rPr>
          <w:sz w:val="20"/>
          <w:szCs w:val="20"/>
          <w:color w:val="auto"/>
        </w:rPr>
      </w:pPr>
      <w:r>
        <w:rPr>
          <w:rFonts w:ascii="Arial" w:cs="Arial" w:eastAsia="Arial" w:hAnsi="Arial"/>
          <w:sz w:val="20"/>
          <w:szCs w:val="20"/>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-24765</wp:posOffset>
            </wp:positionV>
            <wp:extent cx="125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9" w:name="page150"/>
    <w:bookmarkEnd w:id="1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ind w:left="4720"/>
        <w:spacing w:after="0"/>
        <w:rPr>
          <w:sz w:val="20"/>
          <w:szCs w:val="20"/>
          <w:color w:val="auto"/>
        </w:rPr>
      </w:pPr>
      <w:r>
        <w:rPr>
          <w:rFonts w:ascii="Arial" w:cs="Arial" w:eastAsia="Arial" w:hAnsi="Arial"/>
          <w:sz w:val="20"/>
          <w:szCs w:val="20"/>
          <w:b w:val="1"/>
          <w:bCs w:val="1"/>
          <w:color w:val="auto"/>
        </w:rPr>
        <w:t>TEMASEK STOCKHOLDER / TEMASEK HOLDER</w:t>
      </w:r>
      <w:r>
        <w:rPr>
          <w:rFonts w:ascii="Arial" w:cs="Arial" w:eastAsia="Arial" w:hAnsi="Arial"/>
          <w:sz w:val="20"/>
          <w:szCs w:val="20"/>
          <w:color w:val="auto"/>
        </w:rPr>
        <w: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VENEZIO INVESTMENTS PTE. LTD.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9105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4080"/>
        <w:spacing w:after="0"/>
        <w:tabs>
          <w:tab w:leader="none" w:pos="4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Rohit Sipahimalani</w:t>
      </w:r>
    </w:p>
    <w:p>
      <w:pPr>
        <w:ind w:left="4080"/>
        <w:spacing w:after="0"/>
        <w:tabs>
          <w:tab w:leader="none" w:pos="4720" w:val="left"/>
        </w:tabs>
        <w:rPr>
          <w:sz w:val="20"/>
          <w:szCs w:val="20"/>
          <w:color w:val="auto"/>
        </w:rPr>
      </w:pPr>
      <w:r>
        <w:rPr>
          <w:rFonts w:ascii="Arial" w:cs="Arial" w:eastAsia="Arial" w:hAnsi="Arial"/>
          <w:sz w:val="20"/>
          <w:szCs w:val="20"/>
          <w:color w:val="auto"/>
        </w:rPr>
        <w:t>Title:</w:t>
        <w:tab/>
        <w:t>Joint Head – Investment Group</w:t>
      </w:r>
    </w:p>
    <w:p>
      <w:pPr>
        <w:sectPr>
          <w:pgSz w:w="11900" w:h="16838" w:orient="portrait"/>
          <w:cols w:equalWidth="0" w:num="1">
            <w:col w:w="9420"/>
          </w:cols>
          <w:pgMar w:left="1440" w:top="333" w:right="10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DELL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BONUS PLAN</w:t>
      </w:r>
    </w:p>
    <w:p>
      <w:pPr>
        <w:spacing w:after="0" w:line="13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Dell Inc., a Delaware corporation, adopts this Dell Inc. Annual Bonus Plan, consisting of certain annual bonus programs as designated from time to time, for the purpose of rewarding team members for helping the company meet or exceed its pre-defined performance goals, for delivering strong individual performance over the course of our fiscal year, and for acting in a manner consistent with the mission and values of the Company. The terms of the Dell Inc. Annual Bonus Plan shall be incorporated by reference into each Plan, as defined below.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Definitions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herein, the following terms shall have the respective meanings indicated: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“Annual Bonus” shall mean, for each Eligible Employee, the bonus award payable for a Plan Year under a Plan.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“Board” shall mean the Board of Directors of the Company.</w:t>
      </w:r>
    </w:p>
    <w:p>
      <w:pPr>
        <w:spacing w:after="0" w:line="2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“Bonus Pool” shall mean, with respect to each Plan, the aggregate amount of bonus for a Plan Year that is payable to Eligible Employees under the Plan.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“Committee” shall mean the Nominating and Governance Committee of the Board.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“Company” shall mean Dell Inc., a Delaware corporation.</w:t>
      </w:r>
    </w:p>
    <w:p>
      <w:pPr>
        <w:spacing w:after="0" w:line="2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“Eligible Earnings” shall mean, with respect to each Plan, the earnings that the Committee determines shall form the basis for awards under that Plan for each country, consistent with their respective legal and practical requirements. The Committee may determine inclusions and exclusions from Eligible Earnings to apply to each Plan and to groups of employees on a country-wide or business unit/organizational basis as the Committee deems necessary or appropriate. In the case of an employee who is an Eligible Employee of a Plan for a portion of a Plan Year, Eligible Earnings with respect to that Plan shall mean eligible earnings, as determined by the Committee, during the portion of the Plan Year for which he or she was an Eligible Employee in the Plan.</w:t>
      </w:r>
    </w:p>
    <w:p>
      <w:pPr>
        <w:spacing w:after="0" w:line="182"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“Eligible Employee” shall mean, with respect to each Plan, each employee of the Company or any of its subsidiaries that the Committee determines, in its discretion, is eligible to participate in the Plan. The Committee may exclude groups of employees due to job function or on a country-wide, location, and/or business unit/organizational basis as the Committee deems necessary or appropriate.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“Executive Officer” shall mean an Executive Officer of the Company, as designated from time to time by the Board.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“Annual Bonus Plan” shall mean the Dell Inc. Annual Bonus Plan.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“Plan Year” shall mean the Company’s fiscal year performance period, unless otherwise specified for a Plan.</w:t>
      </w:r>
    </w:p>
    <w:p>
      <w:pPr>
        <w:spacing w:after="0" w:line="2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“Plan” shall mean an annual bonus plan listed in Exhibit 1 hereto, which shall incorporate by reference the terms of the Annual Bonus Plan.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679" w:right="3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b w:val="1"/>
          <w:bCs w:val="1"/>
          <w:color w:val="auto"/>
        </w:rPr>
        <w:t>2. Eligibility</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Eligibility under a Plan shall be determined in accordance with the terms of such Plan, subject to the terms and limitations of the Annual Bonus Plan. Except as explicitly provided in a Plan, employees participating in a Plan are not eligible to simultaneously participate in any other Plan.</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Because employee retention is an important objective of this Plan, an Eligible Employee who separates from employment prior to payment of an Annual Bonus will not receive such Annual Bonus under any Plan unless designated by the Committee.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Annual Bonus Calculation</w:t>
      </w:r>
    </w:p>
    <w:p>
      <w:pPr>
        <w:spacing w:after="0" w:line="2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Annual Bonuses for a Plan shall be calculated in accordance with the terms of the applicable Plan, subject to the terms and limitations of the Annual Bonus Plan.</w:t>
      </w:r>
    </w:p>
    <w:p>
      <w:pPr>
        <w:spacing w:after="0" w:line="164" w:lineRule="exact"/>
        <w:rPr>
          <w:sz w:val="20"/>
          <w:szCs w:val="20"/>
          <w:color w:val="auto"/>
        </w:rPr>
      </w:pPr>
    </w:p>
    <w:p>
      <w:pPr>
        <w:ind w:right="460" w:firstLine="648"/>
        <w:spacing w:after="0" w:line="260" w:lineRule="auto"/>
        <w:rPr>
          <w:sz w:val="20"/>
          <w:szCs w:val="20"/>
          <w:color w:val="auto"/>
        </w:rPr>
      </w:pPr>
      <w:r>
        <w:rPr>
          <w:rFonts w:ascii="Arial" w:cs="Arial" w:eastAsia="Arial" w:hAnsi="Arial"/>
          <w:sz w:val="20"/>
          <w:szCs w:val="20"/>
          <w:color w:val="auto"/>
        </w:rPr>
        <w:t>Failure to meet applicable performance objectives, including, without limitation, failure to complete annual compliance training requirements will result in an Annual Bonus of $0.</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Subject to the provisions of applicable law, the Committee shall have complete and absolute authority and discretion to reduce the amount of any Annual Bonus that would otherwise be payable to an Eligible Employee (including a reduction in such amount to zero) for any reasons that the Committee shall deem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Annual Bonus Terms and Conditions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Annual Bonuses will be subject to such additional terms, provisions and conditions that the Committee determines are appropriate. Such terms and conditions may be evidenced by an electronic transmission (including an e-mail or reference to a website or other URL) sent to the recipient through the Company’s normal process for communicating electronically with its employees. As a condition to receiving an Annual Bonus payout, each Eligible Employee must accept and agree to such terms, provisions and conditions in such a manner as the Committee may prescribe.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Payment of Annual Bonuses</w:t>
      </w:r>
    </w:p>
    <w:p>
      <w:pPr>
        <w:spacing w:after="0" w:line="2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Annual Bonuses shall be paid in cash at such times and on such terms as are determined by the Committee in its sole and absolute discretion, provided that Annual Bonus payments will be paid no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of the Plan Year following the end of the Plan Year for which the Annual Bonuses were earned.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General Provisions</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Taxes</w:t>
      </w:r>
      <w:r>
        <w:rPr>
          <w:rFonts w:ascii="Arial" w:cs="Arial" w:eastAsia="Arial" w:hAnsi="Arial"/>
          <w:sz w:val="20"/>
          <w:szCs w:val="20"/>
          <w:color w:val="auto"/>
        </w:rPr>
        <w:t>. The Company shall have the right to withhold, or require an Eligible Employee to remit to the Company, an amount sufficient to satisfy any applicable federal, state, local or foreign withholding tax requirements imposed with respect to the payment of any Annual Bonus.</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Inapplicability in Certain Jurisdictions</w:t>
      </w:r>
      <w:r>
        <w:rPr>
          <w:rFonts w:ascii="Arial" w:cs="Arial" w:eastAsia="Arial" w:hAnsi="Arial"/>
          <w:sz w:val="20"/>
          <w:szCs w:val="20"/>
          <w:color w:val="auto"/>
        </w:rPr>
        <w:t>. The Plans will not be available to Employees who are subject to the laws of any jurisdiction which prohibits any provisions of this Plan or in which tax or other business considerations make participation impracticable in the judgment of the Committee.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454" w:right="339" w:bottom="1440" w:gutter="0" w:footer="0" w:header="0"/>
        </w:sectPr>
      </w:pPr>
    </w:p>
    <w:bookmarkStart w:id="153" w:name="page154"/>
    <w:bookmarkEnd w:id="153"/>
    <w:p>
      <w:pPr>
        <w:jc w:val="both"/>
        <w:ind w:firstLine="648"/>
        <w:spacing w:after="0" w:line="286"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No Right to Compensation or Employment</w:t>
      </w:r>
      <w:r>
        <w:rPr>
          <w:rFonts w:ascii="Arial" w:cs="Arial" w:eastAsia="Arial" w:hAnsi="Arial"/>
          <w:sz w:val="19"/>
          <w:szCs w:val="19"/>
          <w:color w:val="auto"/>
        </w:rPr>
        <w:t>. Neither the establishment of the Plans, the provision for or payment of any amounts hereunder nor any action of the Company, or the Committee with respect to any Plan shall be held or construed to confer upon any person (a) any legal right to receive, or any interest in, an Annual Bonus or any other benefit under any Plan or (b) any legal right to continue to serve as an employee of the Company or any subsidiary or affiliate of the Company. The Plans and any individual award are offered as a gratuitous award at the sole discretion of the Company. Each Plan does not create vested rights of any nature nor does it constitute a contract of employment or a contract of any other kind. Each Plan does not create any customary concession or privilege to which there is any entitlement from year-to-year, except to the extent required under applicable law. Nothing in any Plan entitles an Employee to any remuneration or benefits not set forth in such Plan nor does it restrict the Company’s rights to increase or decrease the compensation of any Employee, except as otherwise required under applicable law.</w:t>
      </w:r>
    </w:p>
    <w:p>
      <w:pPr>
        <w:spacing w:after="0" w:line="181" w:lineRule="exact"/>
        <w:rPr>
          <w:sz w:val="20"/>
          <w:szCs w:val="20"/>
          <w:color w:val="auto"/>
        </w:rPr>
      </w:pPr>
    </w:p>
    <w:p>
      <w:pPr>
        <w:jc w:val="both"/>
        <w:ind w:right="20" w:firstLine="648"/>
        <w:spacing w:after="0" w:line="322" w:lineRule="auto"/>
        <w:rPr>
          <w:sz w:val="20"/>
          <w:szCs w:val="20"/>
          <w:color w:val="auto"/>
        </w:rPr>
      </w:pPr>
      <w:r>
        <w:rPr>
          <w:rFonts w:ascii="Arial" w:cs="Arial" w:eastAsia="Arial" w:hAnsi="Arial"/>
          <w:sz w:val="18"/>
          <w:szCs w:val="18"/>
          <w:color w:val="auto"/>
        </w:rPr>
        <w:t>Except as explicitly provided by law, the awards shall not become a part of any employment condition, regular salary, remuneration package, contract or agreement, but shall remain gratuitous in all respects. Annual Bonuses are not to be taken into account for determining overtime pay, severance pay, termination pay, pay in lieu of notice, or any other form of pay or compensation.</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Plan Subject to Change</w:t>
      </w:r>
      <w:r>
        <w:rPr>
          <w:rFonts w:ascii="Arial" w:cs="Arial" w:eastAsia="Arial" w:hAnsi="Arial"/>
          <w:sz w:val="19"/>
          <w:szCs w:val="19"/>
          <w:color w:val="auto"/>
        </w:rPr>
        <w:t>. Except as explicitly provided by law, each Plan is provided at the Company’s sole discretion and the Committee may modify or terminate it at any time, prospectively or retroactively, without notice or obligation for any reason. In addition, there is no obligation to extend a Plan or establish a replacement plan in subsequent years. Notwithstanding anything in any Plan to the contrary, to the extent a minimum US Bonus Pool commitment for a Plan is established before the end of the Plan Year, the Committee does not have authority to decrease or terminate that commitment following the end of the Plan Year. Any Annual Bonus payable from a Bonus Pool to eligible employees who are both US persons and who perform services in the US, that are not paid as a result of a termination of employment prior to final payment of all individual awards will be returned to the overall Bonus Pool for the applicable Plan and redistributed to remaining US eligible employees under the Plan to the extent necessary to meet any minimum bonus commitment established before the end of the Plan Year.</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Unfunded Plan</w:t>
      </w:r>
      <w:r>
        <w:rPr>
          <w:rFonts w:ascii="Arial" w:cs="Arial" w:eastAsia="Arial" w:hAnsi="Arial"/>
          <w:sz w:val="20"/>
          <w:szCs w:val="20"/>
          <w:color w:val="auto"/>
        </w:rPr>
        <w:t>. The Company shall have no obligation to reserve or otherwise fund in advance any amounts that are or may in the future become payable under any Plan. Any funds that the Company, acting in its sole and absolute discretion, determines to reserve for future payments under the Plans may be commingled with other funds of the Company and need not in any way be segregated from other assets or funds held by the Company. An Eligible Employee’s rights to payment under any Plan shall be limited to those of an unsecured general creditor of the Company.</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Each Plan is intended to comply with the requirements of Section 409A of the Internal Revenue Code, regulations, rulings and other guidance issued there under, and shall be interpreted and administered accordingly. Each Plan is intended to be excluded from coverage under Section 409A of the Internal Revenue Code pursuant to the “short-term deferral exception” under Section 1.409A-1(b)(4). If any provision of any Plan would otherwise conflict with this intent, the Company may amend the Plan to the extent necessary to comply with Section 409A of the Internal Revenue Code.</w:t>
      </w:r>
    </w:p>
    <w:p>
      <w:pPr>
        <w:spacing w:after="0" w:line="17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Nontransferability</w:t>
      </w:r>
      <w:r>
        <w:rPr>
          <w:rFonts w:ascii="Arial" w:cs="Arial" w:eastAsia="Arial" w:hAnsi="Arial"/>
          <w:sz w:val="18"/>
          <w:szCs w:val="18"/>
          <w:color w:val="auto"/>
        </w:rPr>
        <w:t>. Except as expressly provided by the Committee, the rights and benefits under the Plans are personal to an Eligible Employee and shall not be subject to any voluntary or involuntary alienation, assignment, pledge, transfer or other disposition.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460" w:right="339" w:bottom="1440" w:gutter="0" w:footer="0" w:header="0"/>
        </w:sectPr>
      </w:pPr>
    </w:p>
    <w:bookmarkStart w:id="154" w:name="page155"/>
    <w:bookmarkEnd w:id="154"/>
    <w:p>
      <w:pPr>
        <w:spacing w:after="0"/>
        <w:rPr>
          <w:sz w:val="20"/>
          <w:szCs w:val="20"/>
          <w:color w:val="auto"/>
        </w:rPr>
      </w:pPr>
      <w:r>
        <w:rPr>
          <w:rFonts w:ascii="Arial" w:cs="Arial" w:eastAsia="Arial" w:hAnsi="Arial"/>
          <w:sz w:val="20"/>
          <w:szCs w:val="20"/>
          <w:b w:val="1"/>
          <w:bCs w:val="1"/>
          <w:color w:val="auto"/>
        </w:rPr>
        <w:t>7. Administration</w:t>
      </w:r>
    </w:p>
    <w:p>
      <w:pPr>
        <w:spacing w:after="0" w:line="2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General Administrative Powers</w:t>
      </w:r>
      <w:r>
        <w:rPr>
          <w:rFonts w:ascii="Arial" w:cs="Arial" w:eastAsia="Arial" w:hAnsi="Arial"/>
          <w:sz w:val="19"/>
          <w:szCs w:val="19"/>
          <w:color w:val="auto"/>
        </w:rPr>
        <w:t>. The general administration of each Plan and the duty to carry out its provisions shall be vested in the Committee. The Committee shall have the power to make reasonable rules and regulations required in the administration of each Plan, to make all determinations necessary for the Plan’s administration, to construe and interpret the Plan wherever necessary to carry out its intent and purpose, and to facilitate its administration. The Committee shall have the exclusive right to determine eligibility for coverage and benefits under each Plan and the Committee’s good faith interpretation of the Plan shall be binding and conclusive on all persons. Any dispute as to eligibility, type, amount, or duration of benefits under a Plan or any amendment or modification thereof shall be resolved by the Committee under and pursuant to the Plan, in its sole and absolute discretion, and its decision of the dispute shall be binding and final on all parties to the dispute.</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Any claims for payments under a Plan or any other matter relating to the Plan must be presented in writing to the Committee within 60 days after the event that is the subject of the claim. The Committee will then provide a response within 60 days, which shall be final and binding.</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Delegation</w:t>
      </w:r>
      <w:r>
        <w:rPr>
          <w:rFonts w:ascii="Arial" w:cs="Arial" w:eastAsia="Arial" w:hAnsi="Arial"/>
          <w:sz w:val="20"/>
          <w:szCs w:val="20"/>
          <w:color w:val="auto"/>
        </w:rPr>
        <w:t>. The Committee may delegate any or all of its authority and responsibilities with respect to each Plan, on such terms and conditions as it considers appropriate, to the members of the Company’s management as it may determine; provided, however, that determinations and decisions regarding the Plan impacting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Governing Law</w:t>
      </w:r>
    </w:p>
    <w:p>
      <w:pPr>
        <w:spacing w:after="0" w:line="2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0"/>
          <w:szCs w:val="20"/>
          <w:color w:val="auto"/>
        </w:rPr>
        <w:t>The validity, interpretation and effect of any Plan, and the rights of all persons hereunder, shall be governed by and determined in accordance with the laws of the State of Delaware, other than the choice of law rules thereof.</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454"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22"/>
          <w:szCs w:val="22"/>
          <w:b w:val="1"/>
          <w:bCs w:val="1"/>
          <w:color w:val="auto"/>
        </w:rPr>
        <w:t>Exhibit 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Dell Inc. Incentive Bonus Plan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019"/>
          </w:cols>
          <w:pgMar w:left="1440" w:top="355"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DELL INC. INCENTIVE BONUS PLAN</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Dell Inc., a Delaware corporation, adopts this Dell Inc. Incentive Bonus Plan for the purpose of rewarding team members for helping the company meet or exceed its pre-defined performance goals, for delivering strong individual performance over the course of our fiscal year, and for acting in a manner consistent with the mission and values of the Company. The terms of the Dell Inc. Annual Bonus Plan are incorporated herein by reference. In the event of any conflict between the terms of the Dell Inc. Incentive Bonus Plan and the Dell Inc. Annual Bonus Plan, the terms of the Dell Inc. Annual Bonus Plan shall control.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herein, the following terms shall have the respective meanings indicated: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“Business Performance Modifier”, if any, shall mean a percentage modifier based on the Company’s or business unit’s performance against the pre-established financial and/or non-financial metrics and strategic objectives as determined by the CEO and Committee on an annual basis.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“Incentive Bonus” shall mean an Annual Bonus payable hereunder pursuant to Section 2 of the Corporate IBP and calculated in accordance with Section 3 of the Corporate IBP.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“Corporate IBP” shall mean the Dell Inc. Incentive Bonus Plan.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“Corporate IBP Pool” shall mean the aggregate amount of bonus for a Plan Year that is payable to Eligible Employees under the Corporate IBP.</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“Incentive Target” shall mean, for each Eligible Employee, a pre-determined percentage of Eligible Earnings.</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“Individual Performance Modifier”, if any, shall mean a percentage modifier based on an Eligible Employee’s achievement of (1) the goals and objectives assigned by the Eligible Employee’s manager and (2) such performance objectives and expectations as established by the Committee. An Individual Performance Modifier may be measured on an absolute basis or in relation to other employees.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Eligibility</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Eligibility under this Corporate IBP for an Annual Bonus is limited to Eligible Employees designated by the Committee in its sole and absolute discretion as eligible for such award. No employee is an Eligible Employee until such designation. Any Incentive Bonus payable to Eligible Employees who are both US persons and who perform services in the US, that are not paid as a result of a termination of employment prior to final payment of all individual awards will be returned to the overall Bonus Pool and redistributed to remaining US Eligible Employees to the extent necessary to meet any minimum bonus commitment established before the end of the Plan Year.</w:t>
      </w:r>
    </w:p>
    <w:p>
      <w:pPr>
        <w:spacing w:after="0" w:line="15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Incentive Bonus Calculation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Eligible Employees will receive an Incentive Bonus calculated as follows: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Eligible Earnings x Incentive Target x Business Performance Modifier, if any x Individual Performance Modifier, if any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450"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Program for Independent Non-Employee Directors</w:t>
      </w:r>
    </w:p>
    <w:p>
      <w:pPr>
        <w:spacing w:after="0" w:line="3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231F20"/>
        </w:rPr>
        <w:t>Each independent non-employee member (a “</w:t>
      </w:r>
      <w:r>
        <w:rPr>
          <w:rFonts w:ascii="Arial" w:cs="Arial" w:eastAsia="Arial" w:hAnsi="Arial"/>
          <w:sz w:val="18"/>
          <w:szCs w:val="18"/>
          <w:u w:val="single" w:color="auto"/>
          <w:color w:val="231F20"/>
        </w:rPr>
        <w:t>director</w:t>
      </w:r>
      <w:r>
        <w:rPr>
          <w:rFonts w:ascii="Arial" w:cs="Arial" w:eastAsia="Arial" w:hAnsi="Arial"/>
          <w:sz w:val="18"/>
          <w:szCs w:val="18"/>
          <w:color w:val="231F20"/>
        </w:rPr>
        <w:t>”) of the Board of Directors (“</w:t>
      </w:r>
      <w:r>
        <w:rPr>
          <w:rFonts w:ascii="Arial" w:cs="Arial" w:eastAsia="Arial" w:hAnsi="Arial"/>
          <w:sz w:val="18"/>
          <w:szCs w:val="18"/>
          <w:u w:val="single" w:color="auto"/>
          <w:color w:val="231F20"/>
        </w:rPr>
        <w:t>Board</w:t>
      </w:r>
      <w:r>
        <w:rPr>
          <w:rFonts w:ascii="Arial" w:cs="Arial" w:eastAsia="Arial" w:hAnsi="Arial"/>
          <w:sz w:val="18"/>
          <w:szCs w:val="18"/>
          <w:color w:val="231F20"/>
        </w:rPr>
        <w:t>”) of Dell Technologies Inc. (the “</w:t>
      </w:r>
      <w:r>
        <w:rPr>
          <w:rFonts w:ascii="Arial" w:cs="Arial" w:eastAsia="Arial" w:hAnsi="Arial"/>
          <w:sz w:val="18"/>
          <w:szCs w:val="18"/>
          <w:u w:val="single" w:color="auto"/>
          <w:color w:val="231F20"/>
        </w:rPr>
        <w:t>Company</w:t>
      </w:r>
      <w:r>
        <w:rPr>
          <w:rFonts w:ascii="Arial" w:cs="Arial" w:eastAsia="Arial" w:hAnsi="Arial"/>
          <w:sz w:val="18"/>
          <w:szCs w:val="18"/>
          <w:color w:val="231F20"/>
        </w:rPr>
        <w:t>”) shall be entitled to the payments described below while serving as a director on the Board. Other directors of the Board shall receive no compensation for their Board service. Any director compensation policies enacted from time to time hereafter are deemed to be incorporated herein upon their effective date, except as otherwise provided therein.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[________]</w:t>
      </w: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COMPENSATION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Annual Board Retainer</w:t>
      </w:r>
      <w:r>
        <w:rPr>
          <w:rFonts w:ascii="Arial" w:cs="Arial" w:eastAsia="Arial" w:hAnsi="Arial"/>
          <w:sz w:val="18"/>
          <w:szCs w:val="18"/>
          <w:color w:val="auto"/>
        </w:rPr>
        <w:t>: $325,000, payable as follows:</w:t>
      </w:r>
    </w:p>
    <w:p>
      <w:pPr>
        <w:spacing w:after="0" w:line="117"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$100,000 in cash (the “</w:t>
      </w:r>
      <w:r>
        <w:rPr>
          <w:rFonts w:ascii="Arial" w:cs="Arial" w:eastAsia="Arial" w:hAnsi="Arial"/>
          <w:sz w:val="18"/>
          <w:szCs w:val="18"/>
          <w:u w:val="single" w:color="auto"/>
          <w:color w:val="auto"/>
        </w:rPr>
        <w:t>Annual Cash Retainer</w:t>
      </w:r>
      <w:r>
        <w:rPr>
          <w:rFonts w:ascii="Arial" w:cs="Arial" w:eastAsia="Arial" w:hAnsi="Arial"/>
          <w:sz w:val="18"/>
          <w:szCs w:val="18"/>
          <w:color w:val="auto"/>
        </w:rPr>
        <w:t xml:space="preserve">”),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independent non-employee director (hereafter, a “</w:t>
      </w:r>
      <w:r>
        <w:rPr>
          <w:rFonts w:ascii="Arial" w:cs="Arial" w:eastAsia="Arial" w:hAnsi="Arial"/>
          <w:sz w:val="18"/>
          <w:szCs w:val="18"/>
          <w:u w:val="single" w:color="auto"/>
          <w:color w:val="auto"/>
        </w:rPr>
        <w:t>director</w:t>
      </w:r>
      <w:r>
        <w:rPr>
          <w:rFonts w:ascii="Arial" w:cs="Arial" w:eastAsia="Arial" w:hAnsi="Arial"/>
          <w:sz w:val="18"/>
          <w:szCs w:val="18"/>
          <w:color w:val="auto"/>
        </w:rPr>
        <w:t>”) makes a timely election to receive all or a portion of the Annual Cash Retainer in the form of deferred stock units over Class C common stock of the Company (“</w:t>
      </w:r>
      <w:r>
        <w:rPr>
          <w:rFonts w:ascii="Arial" w:cs="Arial" w:eastAsia="Arial" w:hAnsi="Arial"/>
          <w:sz w:val="18"/>
          <w:szCs w:val="18"/>
          <w:u w:val="single" w:color="auto"/>
          <w:color w:val="auto"/>
        </w:rPr>
        <w:t>Class C Shares</w:t>
      </w:r>
      <w:r>
        <w:rPr>
          <w:rFonts w:ascii="Arial" w:cs="Arial" w:eastAsia="Arial" w:hAnsi="Arial"/>
          <w:sz w:val="18"/>
          <w:szCs w:val="18"/>
          <w:color w:val="auto"/>
        </w:rPr>
        <w:t>,” and such units, “</w:t>
      </w:r>
      <w:r>
        <w:rPr>
          <w:rFonts w:ascii="Arial" w:cs="Arial" w:eastAsia="Arial" w:hAnsi="Arial"/>
          <w:sz w:val="18"/>
          <w:szCs w:val="18"/>
          <w:u w:val="single" w:color="auto"/>
          <w:color w:val="auto"/>
        </w:rPr>
        <w:t>DSUs</w:t>
      </w:r>
      <w:r>
        <w:rPr>
          <w:rFonts w:ascii="Arial" w:cs="Arial" w:eastAsia="Arial" w:hAnsi="Arial"/>
          <w:sz w:val="18"/>
          <w:szCs w:val="18"/>
          <w:color w:val="auto"/>
        </w:rPr>
        <w:t>”), Class C Shares (“</w:t>
      </w:r>
      <w:r>
        <w:rPr>
          <w:rFonts w:ascii="Arial" w:cs="Arial" w:eastAsia="Arial" w:hAnsi="Arial"/>
          <w:sz w:val="18"/>
          <w:szCs w:val="18"/>
          <w:u w:val="single" w:color="auto"/>
          <w:color w:val="auto"/>
        </w:rPr>
        <w:t>Stock</w:t>
      </w:r>
      <w:r>
        <w:rPr>
          <w:rFonts w:ascii="Arial" w:cs="Arial" w:eastAsia="Arial" w:hAnsi="Arial"/>
          <w:sz w:val="18"/>
          <w:szCs w:val="18"/>
          <w:color w:val="auto"/>
        </w:rPr>
        <w:t>”) or a combination thereof (in each case subject to the limitations described below), and</w:t>
      </w:r>
    </w:p>
    <w:p>
      <w:pPr>
        <w:spacing w:after="0" w:line="105" w:lineRule="exact"/>
        <w:rPr>
          <w:rFonts w:ascii="Arial" w:cs="Arial" w:eastAsia="Arial" w:hAnsi="Arial"/>
          <w:sz w:val="18"/>
          <w:szCs w:val="18"/>
          <w:color w:val="auto"/>
        </w:rPr>
      </w:pPr>
    </w:p>
    <w:p>
      <w:pPr>
        <w:jc w:val="both"/>
        <w:ind w:left="1300"/>
        <w:spacing w:after="0" w:line="310" w:lineRule="auto"/>
        <w:rPr>
          <w:rFonts w:ascii="Arial" w:cs="Arial" w:eastAsia="Arial" w:hAnsi="Arial"/>
          <w:sz w:val="18"/>
          <w:szCs w:val="18"/>
          <w:color w:val="auto"/>
        </w:rPr>
      </w:pPr>
      <w:r>
        <w:rPr>
          <w:rFonts w:ascii="Arial" w:cs="Arial" w:eastAsia="Arial" w:hAnsi="Arial"/>
          <w:sz w:val="18"/>
          <w:szCs w:val="18"/>
          <w:color w:val="auto"/>
        </w:rPr>
        <w:t>$225,000 (the “</w:t>
      </w:r>
      <w:r>
        <w:rPr>
          <w:rFonts w:ascii="Arial" w:cs="Arial" w:eastAsia="Arial" w:hAnsi="Arial"/>
          <w:sz w:val="18"/>
          <w:szCs w:val="18"/>
          <w:u w:val="single" w:color="auto"/>
          <w:color w:val="auto"/>
        </w:rPr>
        <w:t>Annual Equity Retainer</w:t>
      </w:r>
      <w:r>
        <w:rPr>
          <w:rFonts w:ascii="Arial" w:cs="Arial" w:eastAsia="Arial" w:hAnsi="Arial"/>
          <w:sz w:val="18"/>
          <w:szCs w:val="18"/>
          <w:color w:val="auto"/>
        </w:rPr>
        <w:t>”) in restricted stock units that settle in Class C Shares (“</w:t>
      </w:r>
      <w:r>
        <w:rPr>
          <w:rFonts w:ascii="Arial" w:cs="Arial" w:eastAsia="Arial" w:hAnsi="Arial"/>
          <w:sz w:val="18"/>
          <w:szCs w:val="18"/>
          <w:u w:val="single" w:color="auto"/>
          <w:color w:val="auto"/>
        </w:rPr>
        <w:t>DTAs</w:t>
      </w:r>
      <w:r>
        <w:rPr>
          <w:rFonts w:ascii="Arial" w:cs="Arial" w:eastAsia="Arial" w:hAnsi="Arial"/>
          <w:sz w:val="18"/>
          <w:szCs w:val="18"/>
          <w:color w:val="auto"/>
        </w:rPr>
        <w:t>”), unless the director makes a timely election to receive all or a portion of the DTAs as DSUs (subject to the limitations described below), in which case the director shall receive DSUs in lieu of such DTAs (in whole or in part).</w:t>
      </w:r>
    </w:p>
    <w:p>
      <w:pPr>
        <w:spacing w:after="0" w:line="183" w:lineRule="exact"/>
        <w:rPr>
          <w:rFonts w:ascii="Arial" w:cs="Arial" w:eastAsia="Arial" w:hAnsi="Arial"/>
          <w:sz w:val="18"/>
          <w:szCs w:val="18"/>
          <w:color w:val="auto"/>
        </w:rPr>
      </w:pPr>
    </w:p>
    <w:p>
      <w:pPr>
        <w:ind w:left="660" w:right="20" w:hanging="652"/>
        <w:spacing w:after="0" w:line="279" w:lineRule="auto"/>
        <w:tabs>
          <w:tab w:leader="none" w:pos="660" w:val="left"/>
        </w:tabs>
        <w:numPr>
          <w:ilvl w:val="0"/>
          <w:numId w:val="68"/>
        </w:numPr>
        <w:rPr>
          <w:rFonts w:ascii="Arial" w:cs="Arial" w:eastAsia="Arial" w:hAnsi="Arial"/>
          <w:sz w:val="22"/>
          <w:szCs w:val="22"/>
          <w:color w:val="auto"/>
        </w:rPr>
      </w:pPr>
      <w:r>
        <w:rPr>
          <w:rFonts w:ascii="Arial" w:cs="Arial" w:eastAsia="Arial" w:hAnsi="Arial"/>
          <w:sz w:val="18"/>
          <w:szCs w:val="18"/>
          <w:u w:val="single" w:color="auto"/>
          <w:color w:val="auto"/>
        </w:rPr>
        <w:t>Committee Chair Retainers</w:t>
      </w:r>
      <w:r>
        <w:rPr>
          <w:rFonts w:ascii="Arial" w:cs="Arial" w:eastAsia="Arial" w:hAnsi="Arial"/>
          <w:sz w:val="18"/>
          <w:szCs w:val="18"/>
          <w:color w:val="auto"/>
        </w:rPr>
        <w:t xml:space="preserve">: $25,000, all payable in cash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director makes a timely election to receive all or a portion of such payment in DSUs, Stock or a combination thereof (in each case subject to the limitations described below), in which case the director shall receive the form or forms of award elected, in lieu of such cash payment (in whole or in part).</w:t>
      </w:r>
    </w:p>
    <w:p>
      <w:pPr>
        <w:spacing w:after="0" w:line="102" w:lineRule="exact"/>
        <w:rPr>
          <w:rFonts w:ascii="Arial" w:cs="Arial" w:eastAsia="Arial" w:hAnsi="Arial"/>
          <w:sz w:val="22"/>
          <w:szCs w:val="22"/>
          <w:color w:val="auto"/>
        </w:rPr>
      </w:pPr>
    </w:p>
    <w:p>
      <w:pPr>
        <w:ind w:left="660" w:right="160" w:hanging="652"/>
        <w:spacing w:after="0" w:line="279" w:lineRule="auto"/>
        <w:tabs>
          <w:tab w:leader="none" w:pos="660" w:val="left"/>
        </w:tabs>
        <w:numPr>
          <w:ilvl w:val="0"/>
          <w:numId w:val="68"/>
        </w:numPr>
        <w:rPr>
          <w:rFonts w:ascii="Arial" w:cs="Arial" w:eastAsia="Arial" w:hAnsi="Arial"/>
          <w:sz w:val="22"/>
          <w:szCs w:val="22"/>
          <w:color w:val="auto"/>
        </w:rPr>
      </w:pPr>
      <w:r>
        <w:rPr>
          <w:rFonts w:ascii="Arial" w:cs="Arial" w:eastAsia="Arial" w:hAnsi="Arial"/>
          <w:sz w:val="18"/>
          <w:szCs w:val="18"/>
          <w:color w:val="auto"/>
        </w:rPr>
        <w:t>All of the foregoing equity-based awards will be granted under the Dell Technologies Inc. 2013 Stock Incentive Plan, as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with all awards being granted annually. The equity awards are subject to vesting as described below, to the extent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TIMING OF ELECTIONS</w:t>
      </w:r>
      <w:r>
        <w:rPr>
          <w:rFonts w:ascii="Arial" w:cs="Arial" w:eastAsia="Arial" w:hAnsi="Arial"/>
          <w:sz w:val="18"/>
          <w:szCs w:val="18"/>
          <w:b w:val="1"/>
          <w:bCs w:val="1"/>
          <w:color w:val="auto"/>
        </w:rPr>
        <w:t>:</w:t>
      </w:r>
    </w:p>
    <w:p>
      <w:pPr>
        <w:spacing w:after="0" w:line="256" w:lineRule="exact"/>
        <w:rPr>
          <w:sz w:val="20"/>
          <w:szCs w:val="20"/>
          <w:color w:val="auto"/>
        </w:rPr>
      </w:pPr>
    </w:p>
    <w:p>
      <w:pPr>
        <w:ind w:left="660" w:right="420" w:hanging="652"/>
        <w:spacing w:after="0" w:line="271"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Elections to receive DSUs, Stock or a combination thereof must be made prior to the beginning of the calendar year to which they relate.</w:t>
      </w:r>
    </w:p>
    <w:p>
      <w:pPr>
        <w:spacing w:after="0" w:line="101" w:lineRule="exact"/>
        <w:rPr>
          <w:rFonts w:ascii="Arial" w:cs="Arial" w:eastAsia="Arial" w:hAnsi="Arial"/>
          <w:sz w:val="22"/>
          <w:szCs w:val="22"/>
          <w:color w:val="auto"/>
        </w:rPr>
      </w:pPr>
    </w:p>
    <w:p>
      <w:pPr>
        <w:ind w:left="660" w:hanging="652"/>
        <w:spacing w:after="0" w:line="279"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18"/>
          <w:szCs w:val="18"/>
          <w:u w:val="single" w:color="auto"/>
          <w:color w:val="auto"/>
        </w:rPr>
        <w:t>New directors</w:t>
      </w:r>
      <w:r>
        <w:rPr>
          <w:rFonts w:ascii="Arial" w:cs="Arial" w:eastAsia="Arial" w:hAnsi="Arial"/>
          <w:sz w:val="18"/>
          <w:szCs w:val="18"/>
          <w:color w:val="auto"/>
        </w:rPr>
        <w:t>: Each new director may make an election to receive DSUs, Stock or a combination thereof within 30 days after becoming a director, but this election will only apply to the portion of the Annual Board Retainer or Committee Chair Retainer (if applicable) earned after the date of the election.</w:t>
      </w:r>
    </w:p>
    <w:p>
      <w:pPr>
        <w:spacing w:after="0" w:line="102" w:lineRule="exact"/>
        <w:rPr>
          <w:rFonts w:ascii="Arial" w:cs="Arial" w:eastAsia="Arial" w:hAnsi="Arial"/>
          <w:sz w:val="22"/>
          <w:szCs w:val="22"/>
          <w:color w:val="auto"/>
        </w:rPr>
      </w:pPr>
    </w:p>
    <w:p>
      <w:pPr>
        <w:ind w:left="660" w:right="260" w:hanging="652"/>
        <w:spacing w:after="0" w:line="279"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 xml:space="preserve">Once the calendar year to which a director’s elections relate commences, all elections are </w:t>
      </w:r>
      <w:r>
        <w:rPr>
          <w:rFonts w:ascii="Arial" w:cs="Arial" w:eastAsia="Arial" w:hAnsi="Arial"/>
          <w:sz w:val="18"/>
          <w:szCs w:val="18"/>
          <w:u w:val="single" w:color="auto"/>
          <w:color w:val="auto"/>
        </w:rPr>
        <w:t>irrevocable</w:t>
      </w:r>
      <w:r>
        <w:rPr>
          <w:rFonts w:ascii="Arial" w:cs="Arial" w:eastAsia="Arial" w:hAnsi="Arial"/>
          <w:sz w:val="18"/>
          <w:szCs w:val="18"/>
          <w:color w:val="auto"/>
        </w:rPr>
        <w:t xml:space="preserve"> with respect to that year. A director may submit a new election for each subsequent calendar year prior to the beginning of that calendar year (and, if no new elections are submitted, the current elections will remain in effect for subsequent years as provided in the election form).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10"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auto"/>
        </w:rPr>
        <w:t>INDIVIDUAL COMPENSATION ELECTIONS</w:t>
      </w:r>
      <w:r>
        <w:rPr>
          <w:rFonts w:ascii="Arial" w:cs="Arial" w:eastAsia="Arial" w:hAnsi="Arial"/>
          <w:sz w:val="18"/>
          <w:szCs w:val="18"/>
          <w:b w:val="1"/>
          <w:bCs w:val="1"/>
          <w:color w:val="auto"/>
        </w:rPr>
        <w:t>:</w:t>
      </w:r>
    </w:p>
    <w:p>
      <w:pPr>
        <w:spacing w:after="0" w:line="233"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18"/>
          <w:szCs w:val="18"/>
          <w:color w:val="auto"/>
        </w:rPr>
        <w:t>Directors may elect the forms of payment of their compensation on an individual basis.</w:t>
      </w:r>
    </w:p>
    <w:p>
      <w:pPr>
        <w:spacing w:after="0" w:line="111" w:lineRule="exact"/>
        <w:rPr>
          <w:rFonts w:ascii="Arial" w:cs="Arial" w:eastAsia="Arial" w:hAnsi="Arial"/>
          <w:sz w:val="22"/>
          <w:szCs w:val="22"/>
          <w:color w:val="auto"/>
        </w:rPr>
      </w:pPr>
    </w:p>
    <w:p>
      <w:pPr>
        <w:ind w:left="66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18"/>
          <w:szCs w:val="18"/>
          <w:color w:val="auto"/>
        </w:rPr>
        <w:t>Elections must be made in multiples as follows:</w:t>
      </w:r>
    </w:p>
    <w:p>
      <w:pPr>
        <w:spacing w:after="0" w:line="134" w:lineRule="exact"/>
        <w:rPr>
          <w:sz w:val="20"/>
          <w:szCs w:val="20"/>
          <w:color w:val="auto"/>
        </w:rPr>
      </w:pPr>
    </w:p>
    <w:p>
      <w:pPr>
        <w:ind w:left="1300" w:right="140"/>
        <w:spacing w:after="0" w:line="324" w:lineRule="auto"/>
        <w:rPr>
          <w:sz w:val="20"/>
          <w:szCs w:val="20"/>
          <w:color w:val="auto"/>
        </w:rPr>
      </w:pPr>
      <w:r>
        <w:rPr>
          <w:rFonts w:ascii="Arial" w:cs="Arial" w:eastAsia="Arial" w:hAnsi="Arial"/>
          <w:sz w:val="18"/>
          <w:szCs w:val="18"/>
          <w:color w:val="auto"/>
        </w:rPr>
        <w:t>Allocation of the Annual Cash Retainer among DSUs, Stock and cash (including a combination thereof) must be made in each case in multiples of 25% (up to a maximum of 100%).</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Allocation of the Annual Equity Retainer to DSUs must be made in multiples of 25% (up to a maximum of 100%).</w:t>
      </w:r>
    </w:p>
    <w:p>
      <w:pPr>
        <w:spacing w:after="0" w:line="158" w:lineRule="exact"/>
        <w:rPr>
          <w:sz w:val="20"/>
          <w:szCs w:val="20"/>
          <w:color w:val="auto"/>
        </w:rPr>
      </w:pPr>
    </w:p>
    <w:p>
      <w:pPr>
        <w:ind w:left="1300"/>
        <w:spacing w:after="0" w:line="324" w:lineRule="auto"/>
        <w:rPr>
          <w:sz w:val="20"/>
          <w:szCs w:val="20"/>
          <w:color w:val="auto"/>
        </w:rPr>
      </w:pPr>
      <w:r>
        <w:rPr>
          <w:rFonts w:ascii="Arial" w:cs="Arial" w:eastAsia="Arial" w:hAnsi="Arial"/>
          <w:sz w:val="18"/>
          <w:szCs w:val="18"/>
          <w:color w:val="auto"/>
        </w:rPr>
        <w:t>Allocation of the Committee Chair Retainer among DSUs, Stock and cash (including a combination thereof) must be made in each case in multiples of 25% (up to a maximum of 100%).</w:t>
      </w: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337" w:right="49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auto"/>
        </w:rPr>
        <w:t>ANNUAL BOARD RETAINER SUMMARY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Payment</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Form</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DTAs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511" w:lineRule="auto"/>
        <w:rPr>
          <w:sz w:val="20"/>
          <w:szCs w:val="20"/>
          <w:color w:val="auto"/>
        </w:rPr>
      </w:pPr>
      <w:r>
        <w:rPr>
          <w:rFonts w:ascii="Arial" w:cs="Arial" w:eastAsia="Arial" w:hAnsi="Arial"/>
          <w:sz w:val="17"/>
          <w:szCs w:val="17"/>
          <w:b w:val="1"/>
          <w:bCs w:val="1"/>
          <w:color w:val="auto"/>
        </w:rPr>
        <w:t xml:space="preserve">Maximum Allocation </w:t>
      </w:r>
      <w:r>
        <w:rPr>
          <w:rFonts w:ascii="Arial" w:cs="Arial" w:eastAsia="Arial" w:hAnsi="Arial"/>
          <w:sz w:val="17"/>
          <w:szCs w:val="17"/>
          <w:color w:val="auto"/>
        </w:rPr>
        <w:t>$100,000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$225,000*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$100,000*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b w:val="1"/>
                <w:bCs w:val="1"/>
                <w:color w:val="auto"/>
              </w:rPr>
              <w:t>Default Form of</w:t>
            </w:r>
          </w:p>
        </w:tc>
      </w:tr>
      <w:tr>
        <w:trPr>
          <w:trHeight w:val="234"/>
        </w:trPr>
        <w:tc>
          <w:tcPr>
            <w:tcW w:w="4100" w:type="dxa"/>
            <w:vAlign w:val="bottom"/>
          </w:tcPr>
          <w:p>
            <w:pPr>
              <w:spacing w:after="0"/>
              <w:rPr>
                <w:sz w:val="20"/>
                <w:szCs w:val="20"/>
                <w:color w:val="auto"/>
              </w:rPr>
            </w:pPr>
            <w:r>
              <w:rPr>
                <w:rFonts w:ascii="Arial" w:cs="Arial" w:eastAsia="Arial" w:hAnsi="Arial"/>
                <w:sz w:val="18"/>
                <w:szCs w:val="18"/>
                <w:b w:val="1"/>
                <w:bCs w:val="1"/>
                <w:color w:val="auto"/>
              </w:rPr>
              <w:t>Timing /Transfer Restrictions</w:t>
            </w:r>
          </w:p>
        </w:tc>
        <w:tc>
          <w:tcPr>
            <w:tcW w:w="1740" w:type="dxa"/>
            <w:vAlign w:val="bottom"/>
          </w:tcPr>
          <w:p>
            <w:pPr>
              <w:ind w:left="20"/>
              <w:spacing w:after="0"/>
              <w:rPr>
                <w:sz w:val="20"/>
                <w:szCs w:val="20"/>
                <w:color w:val="auto"/>
              </w:rPr>
            </w:pPr>
            <w:r>
              <w:rPr>
                <w:rFonts w:ascii="Arial" w:cs="Arial" w:eastAsia="Arial" w:hAnsi="Arial"/>
                <w:sz w:val="18"/>
                <w:szCs w:val="18"/>
                <w:b w:val="1"/>
                <w:bCs w:val="1"/>
                <w:color w:val="auto"/>
              </w:rPr>
              <w:t>Vesting+</w:t>
            </w:r>
          </w:p>
        </w:tc>
        <w:tc>
          <w:tcPr>
            <w:tcW w:w="1980" w:type="dxa"/>
            <w:vAlign w:val="bottom"/>
          </w:tcPr>
          <w:p>
            <w:pPr>
              <w:ind w:left="140"/>
              <w:spacing w:after="0"/>
              <w:rPr>
                <w:sz w:val="20"/>
                <w:szCs w:val="20"/>
                <w:color w:val="auto"/>
              </w:rPr>
            </w:pPr>
            <w:r>
              <w:rPr>
                <w:rFonts w:ascii="Arial" w:cs="Arial" w:eastAsia="Arial" w:hAnsi="Arial"/>
                <w:sz w:val="18"/>
                <w:szCs w:val="18"/>
                <w:b w:val="1"/>
                <w:bCs w:val="1"/>
                <w:color w:val="auto"/>
              </w:rPr>
              <w:t>Payment?</w:t>
            </w:r>
          </w:p>
        </w:tc>
      </w:tr>
      <w:tr>
        <w:trPr>
          <w:trHeight w:val="256"/>
        </w:trPr>
        <w:tc>
          <w:tcPr>
            <w:tcW w:w="4100" w:type="dxa"/>
            <w:vAlign w:val="bottom"/>
          </w:tcPr>
          <w:p>
            <w:pPr>
              <w:spacing w:after="0"/>
              <w:rPr>
                <w:sz w:val="20"/>
                <w:szCs w:val="20"/>
                <w:color w:val="auto"/>
              </w:rPr>
            </w:pPr>
            <w:r>
              <w:rPr>
                <w:rFonts w:ascii="Arial" w:cs="Arial" w:eastAsia="Arial" w:hAnsi="Arial"/>
                <w:sz w:val="18"/>
                <w:szCs w:val="18"/>
                <w:color w:val="auto"/>
                <w:w w:val="97"/>
              </w:rPr>
              <w:t>Lump sum following annual shareholders meeting. A</w:t>
            </w:r>
          </w:p>
        </w:tc>
        <w:tc>
          <w:tcPr>
            <w:tcW w:w="1740" w:type="dxa"/>
            <w:vAlign w:val="bottom"/>
          </w:tcPr>
          <w:p>
            <w:pPr>
              <w:ind w:left="20"/>
              <w:spacing w:after="0"/>
              <w:rPr>
                <w:sz w:val="20"/>
                <w:szCs w:val="20"/>
                <w:color w:val="auto"/>
              </w:rPr>
            </w:pPr>
            <w:r>
              <w:rPr>
                <w:rFonts w:ascii="Arial" w:cs="Arial" w:eastAsia="Arial" w:hAnsi="Arial"/>
                <w:sz w:val="18"/>
                <w:szCs w:val="18"/>
                <w:color w:val="auto"/>
              </w:rPr>
              <w:t>Not applicable</w:t>
            </w:r>
          </w:p>
        </w:tc>
        <w:tc>
          <w:tcPr>
            <w:tcW w:w="1980" w:type="dxa"/>
            <w:vAlign w:val="bottom"/>
          </w:tcPr>
          <w:p>
            <w:pPr>
              <w:ind w:left="140"/>
              <w:spacing w:after="0"/>
              <w:rPr>
                <w:sz w:val="20"/>
                <w:szCs w:val="20"/>
                <w:color w:val="auto"/>
              </w:rPr>
            </w:pPr>
            <w:r>
              <w:rPr>
                <w:rFonts w:ascii="Arial" w:cs="Arial" w:eastAsia="Arial" w:hAnsi="Arial"/>
                <w:sz w:val="18"/>
                <w:szCs w:val="18"/>
                <w:color w:val="auto"/>
              </w:rPr>
              <w:t>Yes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2"/>
              </w:rPr>
              <w:t>director appointed other than pursuant to election at the</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(for $100,000 of the</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1"/>
              </w:rPr>
              <w:t>annual meeting shall be entitled to pro-rated payment of</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$325,000 retainer)</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7"/>
              </w:rPr>
              <w:t>the annual retainer fee for the partial year of service,</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3"/>
              </w:rPr>
              <w:t>payable in a lump sum upon his or her commencement</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of service on the Board.</w:t>
            </w:r>
          </w:p>
        </w:tc>
        <w:tc>
          <w:tcPr>
            <w:tcW w:w="17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56"/>
        </w:trPr>
        <w:tc>
          <w:tcPr>
            <w:tcW w:w="4100" w:type="dxa"/>
            <w:vAlign w:val="bottom"/>
          </w:tcPr>
          <w:p>
            <w:pPr>
              <w:spacing w:after="0"/>
              <w:rPr>
                <w:sz w:val="20"/>
                <w:szCs w:val="20"/>
                <w:color w:val="auto"/>
              </w:rPr>
            </w:pPr>
            <w:r>
              <w:rPr>
                <w:rFonts w:ascii="Arial" w:cs="Arial" w:eastAsia="Arial" w:hAnsi="Arial"/>
                <w:sz w:val="18"/>
                <w:szCs w:val="18"/>
                <w:color w:val="auto"/>
                <w:w w:val="95"/>
              </w:rPr>
              <w:t>Granted on or after the date of the Company’s annual</w:t>
            </w:r>
          </w:p>
        </w:tc>
        <w:tc>
          <w:tcPr>
            <w:tcW w:w="1740" w:type="dxa"/>
            <w:vAlign w:val="bottom"/>
          </w:tcPr>
          <w:p>
            <w:pPr>
              <w:ind w:left="20"/>
              <w:spacing w:after="0"/>
              <w:rPr>
                <w:sz w:val="20"/>
                <w:szCs w:val="20"/>
                <w:color w:val="auto"/>
              </w:rPr>
            </w:pPr>
            <w:r>
              <w:rPr>
                <w:rFonts w:ascii="Arial" w:cs="Arial" w:eastAsia="Arial" w:hAnsi="Arial"/>
                <w:sz w:val="18"/>
                <w:szCs w:val="18"/>
                <w:color w:val="auto"/>
              </w:rPr>
              <w:t>Cliff vesting after one</w:t>
            </w:r>
          </w:p>
        </w:tc>
        <w:tc>
          <w:tcPr>
            <w:tcW w:w="1980" w:type="dxa"/>
            <w:vAlign w:val="bottom"/>
          </w:tcPr>
          <w:p>
            <w:pPr>
              <w:ind w:left="140"/>
              <w:spacing w:after="0"/>
              <w:rPr>
                <w:sz w:val="20"/>
                <w:szCs w:val="20"/>
                <w:color w:val="auto"/>
              </w:rPr>
            </w:pPr>
            <w:r>
              <w:rPr>
                <w:rFonts w:ascii="Arial" w:cs="Arial" w:eastAsia="Arial" w:hAnsi="Arial"/>
                <w:sz w:val="18"/>
                <w:szCs w:val="18"/>
                <w:color w:val="auto"/>
              </w:rPr>
              <w:t>Yes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7"/>
              </w:rPr>
              <w:t>shareholders meeting and settling in Class C Shares</w:t>
            </w:r>
          </w:p>
        </w:tc>
        <w:tc>
          <w:tcPr>
            <w:tcW w:w="1740" w:type="dxa"/>
            <w:vAlign w:val="bottom"/>
          </w:tcPr>
          <w:p>
            <w:pPr>
              <w:ind w:left="20"/>
              <w:spacing w:after="0"/>
              <w:rPr>
                <w:sz w:val="20"/>
                <w:szCs w:val="20"/>
                <w:color w:val="auto"/>
              </w:rPr>
            </w:pPr>
            <w:r>
              <w:rPr>
                <w:rFonts w:ascii="Arial" w:cs="Arial" w:eastAsia="Arial" w:hAnsi="Arial"/>
                <w:sz w:val="18"/>
                <w:szCs w:val="18"/>
                <w:color w:val="auto"/>
              </w:rPr>
              <w:t>year</w:t>
            </w:r>
          </w:p>
        </w:tc>
        <w:tc>
          <w:tcPr>
            <w:tcW w:w="1980" w:type="dxa"/>
            <w:vAlign w:val="bottom"/>
          </w:tcPr>
          <w:p>
            <w:pPr>
              <w:ind w:left="140"/>
              <w:spacing w:after="0"/>
              <w:rPr>
                <w:sz w:val="20"/>
                <w:szCs w:val="20"/>
                <w:color w:val="auto"/>
              </w:rPr>
            </w:pPr>
            <w:r>
              <w:rPr>
                <w:rFonts w:ascii="Arial" w:cs="Arial" w:eastAsia="Arial" w:hAnsi="Arial"/>
                <w:sz w:val="18"/>
                <w:szCs w:val="18"/>
                <w:color w:val="auto"/>
              </w:rPr>
              <w:t>(for $225,000 of the</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following vesting. A director appointed other than</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$325,000 retainer)</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pursuant to election at the annual meeting shall be</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2"/>
              </w:rPr>
              <w:t>entitled to the pro-rated portion of the annual DTA grant</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3"/>
              </w:rPr>
              <w:t>for the partial year of service, payable on or after his or</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her commencement of service on the Board.</w:t>
            </w:r>
          </w:p>
        </w:tc>
        <w:tc>
          <w:tcPr>
            <w:tcW w:w="17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18"/>
        </w:trPr>
        <w:tc>
          <w:tcPr>
            <w:tcW w:w="4100" w:type="dxa"/>
            <w:vAlign w:val="bottom"/>
          </w:tcPr>
          <w:p>
            <w:pPr>
              <w:spacing w:after="0"/>
              <w:rPr>
                <w:sz w:val="20"/>
                <w:szCs w:val="20"/>
                <w:color w:val="auto"/>
              </w:rPr>
            </w:pPr>
            <w:r>
              <w:rPr>
                <w:rFonts w:ascii="Arial" w:cs="Arial" w:eastAsia="Arial" w:hAnsi="Arial"/>
                <w:sz w:val="18"/>
                <w:szCs w:val="18"/>
                <w:color w:val="auto"/>
                <w:w w:val="91"/>
              </w:rPr>
              <w:t>The Class C Shares previously received in settlement of</w:t>
            </w:r>
          </w:p>
        </w:tc>
        <w:tc>
          <w:tcPr>
            <w:tcW w:w="17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4"/>
              </w:rPr>
              <w:t>the DTAs are subject to certain restrictions as set forth</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 the Company’s Second Amended and Restated</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Management Stockholders Agreement.</w:t>
            </w:r>
          </w:p>
        </w:tc>
        <w:tc>
          <w:tcPr>
            <w:tcW w:w="17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56"/>
        </w:trPr>
        <w:tc>
          <w:tcPr>
            <w:tcW w:w="4100" w:type="dxa"/>
            <w:vAlign w:val="bottom"/>
          </w:tcPr>
          <w:p>
            <w:pPr>
              <w:spacing w:after="0"/>
              <w:rPr>
                <w:sz w:val="20"/>
                <w:szCs w:val="20"/>
                <w:color w:val="auto"/>
              </w:rPr>
            </w:pPr>
            <w:r>
              <w:rPr>
                <w:rFonts w:ascii="Arial" w:cs="Arial" w:eastAsia="Arial" w:hAnsi="Arial"/>
                <w:sz w:val="18"/>
                <w:szCs w:val="18"/>
                <w:color w:val="auto"/>
                <w:w w:val="95"/>
              </w:rPr>
              <w:t>Granted on or after the date of the Company’s annual</w:t>
            </w:r>
          </w:p>
        </w:tc>
        <w:tc>
          <w:tcPr>
            <w:tcW w:w="1740" w:type="dxa"/>
            <w:vAlign w:val="bottom"/>
          </w:tcPr>
          <w:p>
            <w:pPr>
              <w:ind w:left="20"/>
              <w:spacing w:after="0"/>
              <w:rPr>
                <w:sz w:val="20"/>
                <w:szCs w:val="20"/>
                <w:color w:val="auto"/>
              </w:rPr>
            </w:pPr>
            <w:r>
              <w:rPr>
                <w:rFonts w:ascii="Arial" w:cs="Arial" w:eastAsia="Arial" w:hAnsi="Arial"/>
                <w:sz w:val="18"/>
                <w:szCs w:val="18"/>
                <w:color w:val="auto"/>
              </w:rPr>
              <w:t>Cliff vesting after one</w:t>
            </w:r>
          </w:p>
        </w:tc>
        <w:tc>
          <w:tcPr>
            <w:tcW w:w="1980" w:type="dxa"/>
            <w:vAlign w:val="bottom"/>
          </w:tcPr>
          <w:p>
            <w:pPr>
              <w:ind w:left="140"/>
              <w:spacing w:after="0"/>
              <w:rPr>
                <w:sz w:val="20"/>
                <w:szCs w:val="20"/>
                <w:color w:val="auto"/>
              </w:rPr>
            </w:pPr>
            <w:r>
              <w:rPr>
                <w:rFonts w:ascii="Arial" w:cs="Arial" w:eastAsia="Arial" w:hAnsi="Arial"/>
                <w:sz w:val="18"/>
                <w:szCs w:val="18"/>
                <w:color w:val="auto"/>
              </w:rPr>
              <w:t>No</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1"/>
              </w:rPr>
              <w:t>shareholders meeting (or, if a director is appointed other</w:t>
            </w:r>
          </w:p>
        </w:tc>
        <w:tc>
          <w:tcPr>
            <w:tcW w:w="1740" w:type="dxa"/>
            <w:vAlign w:val="bottom"/>
          </w:tcPr>
          <w:p>
            <w:pPr>
              <w:ind w:left="20"/>
              <w:spacing w:after="0"/>
              <w:rPr>
                <w:sz w:val="20"/>
                <w:szCs w:val="20"/>
                <w:color w:val="auto"/>
              </w:rPr>
            </w:pPr>
            <w:r>
              <w:rPr>
                <w:rFonts w:ascii="Arial" w:cs="Arial" w:eastAsia="Arial" w:hAnsi="Arial"/>
                <w:sz w:val="18"/>
                <w:szCs w:val="18"/>
                <w:color w:val="auto"/>
              </w:rPr>
              <w:t>year.</w:t>
            </w:r>
          </w:p>
        </w:tc>
        <w:tc>
          <w:tcPr>
            <w:tcW w:w="1980" w:type="dxa"/>
            <w:vAlign w:val="bottom"/>
          </w:tcPr>
          <w:p>
            <w:pPr>
              <w:ind w:left="140"/>
              <w:spacing w:after="0"/>
              <w:rPr>
                <w:sz w:val="20"/>
                <w:szCs w:val="20"/>
                <w:color w:val="auto"/>
              </w:rPr>
            </w:pPr>
            <w:r>
              <w:rPr>
                <w:rFonts w:ascii="Arial" w:cs="Arial" w:eastAsia="Arial" w:hAnsi="Arial"/>
                <w:sz w:val="18"/>
                <w:szCs w:val="18"/>
                <w:color w:val="auto"/>
              </w:rPr>
              <w:t>(Director may elect to</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89"/>
              </w:rPr>
              <w:t>than pursuant to election at the annual meeting, at a time</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w w:val="92"/>
              </w:rPr>
              <w:t>receive all or a portion of</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7"/>
              </w:rPr>
              <w:t>following such appointment determined by the Board</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w w:val="92"/>
              </w:rPr>
              <w:t>each of the Annual Cash</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6"/>
              </w:rPr>
              <w:t>that is compliant with Internal Revenue Code Section</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w w:val="87"/>
              </w:rPr>
              <w:t>Retainer and the DTAs as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2"/>
              </w:rPr>
              <w:t>409A) and settled in Class C Shares on the earlier of (i)</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DSUs)</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5"/>
              </w:rPr>
              <w:t>the termination of service as a director for any reason</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1"/>
              </w:rPr>
              <w:t>and (ii) a Change in Control (as defined in the Plan) that</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also constitutes a “change in control event” under</w:t>
            </w:r>
          </w:p>
        </w:tc>
        <w:tc>
          <w:tcPr>
            <w:tcW w:w="17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Internal Revenue Code Section 409A regulations.</w:t>
            </w:r>
          </w:p>
        </w:tc>
        <w:tc>
          <w:tcPr>
            <w:tcW w:w="17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56"/>
        </w:trPr>
        <w:tc>
          <w:tcPr>
            <w:tcW w:w="4100" w:type="dxa"/>
            <w:vAlign w:val="bottom"/>
          </w:tcPr>
          <w:p>
            <w:pPr>
              <w:spacing w:after="0"/>
              <w:rPr>
                <w:sz w:val="20"/>
                <w:szCs w:val="20"/>
                <w:color w:val="auto"/>
              </w:rPr>
            </w:pPr>
            <w:r>
              <w:rPr>
                <w:rFonts w:ascii="Arial" w:cs="Arial" w:eastAsia="Arial" w:hAnsi="Arial"/>
                <w:sz w:val="18"/>
                <w:szCs w:val="18"/>
                <w:color w:val="auto"/>
                <w:w w:val="95"/>
              </w:rPr>
              <w:t>Granted on or after the date of the Company’s annual</w:t>
            </w:r>
          </w:p>
        </w:tc>
        <w:tc>
          <w:tcPr>
            <w:tcW w:w="1740" w:type="dxa"/>
            <w:vAlign w:val="bottom"/>
          </w:tcPr>
          <w:p>
            <w:pPr>
              <w:ind w:left="20"/>
              <w:spacing w:after="0"/>
              <w:rPr>
                <w:sz w:val="20"/>
                <w:szCs w:val="20"/>
                <w:color w:val="auto"/>
              </w:rPr>
            </w:pPr>
            <w:r>
              <w:rPr>
                <w:rFonts w:ascii="Arial" w:cs="Arial" w:eastAsia="Arial" w:hAnsi="Arial"/>
                <w:sz w:val="18"/>
                <w:szCs w:val="18"/>
                <w:color w:val="auto"/>
              </w:rPr>
              <w:t>Fully vested upon</w:t>
            </w:r>
          </w:p>
        </w:tc>
        <w:tc>
          <w:tcPr>
            <w:tcW w:w="1980" w:type="dxa"/>
            <w:vAlign w:val="bottom"/>
          </w:tcPr>
          <w:p>
            <w:pPr>
              <w:ind w:left="140"/>
              <w:spacing w:after="0"/>
              <w:rPr>
                <w:sz w:val="20"/>
                <w:szCs w:val="20"/>
                <w:color w:val="auto"/>
              </w:rPr>
            </w:pPr>
            <w:r>
              <w:rPr>
                <w:rFonts w:ascii="Arial" w:cs="Arial" w:eastAsia="Arial" w:hAnsi="Arial"/>
                <w:sz w:val="18"/>
                <w:szCs w:val="18"/>
                <w:color w:val="auto"/>
              </w:rPr>
              <w:t>No</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1"/>
              </w:rPr>
              <w:t>shareholders meeting (or, if a director is appointed other</w:t>
            </w:r>
          </w:p>
        </w:tc>
        <w:tc>
          <w:tcPr>
            <w:tcW w:w="1740" w:type="dxa"/>
            <w:vAlign w:val="bottom"/>
          </w:tcPr>
          <w:p>
            <w:pPr>
              <w:ind w:left="20"/>
              <w:spacing w:after="0"/>
              <w:rPr>
                <w:sz w:val="20"/>
                <w:szCs w:val="20"/>
                <w:color w:val="auto"/>
              </w:rPr>
            </w:pPr>
            <w:r>
              <w:rPr>
                <w:rFonts w:ascii="Arial" w:cs="Arial" w:eastAsia="Arial" w:hAnsi="Arial"/>
                <w:sz w:val="18"/>
                <w:szCs w:val="18"/>
                <w:color w:val="auto"/>
              </w:rPr>
              <w:t>issuance.</w:t>
            </w:r>
          </w:p>
        </w:tc>
        <w:tc>
          <w:tcPr>
            <w:tcW w:w="1980" w:type="dxa"/>
            <w:vAlign w:val="bottom"/>
          </w:tcPr>
          <w:p>
            <w:pPr>
              <w:ind w:left="140"/>
              <w:spacing w:after="0"/>
              <w:rPr>
                <w:sz w:val="20"/>
                <w:szCs w:val="20"/>
                <w:color w:val="auto"/>
              </w:rPr>
            </w:pPr>
            <w:r>
              <w:rPr>
                <w:rFonts w:ascii="Arial" w:cs="Arial" w:eastAsia="Arial" w:hAnsi="Arial"/>
                <w:sz w:val="18"/>
                <w:szCs w:val="18"/>
                <w:color w:val="auto"/>
              </w:rPr>
              <w:t>(Director may elect to</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89"/>
              </w:rPr>
              <w:t>than pursuant to election at the annual meeting, at a time</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w w:val="92"/>
              </w:rPr>
              <w:t>receive all or a portion of</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7"/>
              </w:rPr>
              <w:t>following such appointment determined by the Board</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w w:val="88"/>
              </w:rPr>
              <w:t>the Annual Cash Retainer</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w w:val="96"/>
              </w:rPr>
              <w:t>that is compliant with Internal Revenue Code Section</w:t>
            </w:r>
          </w:p>
        </w:tc>
        <w:tc>
          <w:tcPr>
            <w:tcW w:w="1740" w:type="dxa"/>
            <w:vAlign w:val="bottom"/>
          </w:tcPr>
          <w:p>
            <w:pPr>
              <w:spacing w:after="0"/>
              <w:rPr>
                <w:sz w:val="18"/>
                <w:szCs w:val="18"/>
                <w:color w:val="auto"/>
              </w:rPr>
            </w:pPr>
          </w:p>
        </w:tc>
        <w:tc>
          <w:tcPr>
            <w:tcW w:w="1980" w:type="dxa"/>
            <w:vAlign w:val="bottom"/>
          </w:tcPr>
          <w:p>
            <w:pPr>
              <w:ind w:left="140"/>
              <w:spacing w:after="0"/>
              <w:rPr>
                <w:sz w:val="20"/>
                <w:szCs w:val="20"/>
                <w:color w:val="auto"/>
              </w:rPr>
            </w:pPr>
            <w:r>
              <w:rPr>
                <w:rFonts w:ascii="Arial" w:cs="Arial" w:eastAsia="Arial" w:hAnsi="Arial"/>
                <w:sz w:val="18"/>
                <w:szCs w:val="18"/>
                <w:color w:val="auto"/>
              </w:rPr>
              <w:t>as Stock)</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409A).</w:t>
            </w:r>
          </w:p>
        </w:tc>
        <w:tc>
          <w:tcPr>
            <w:tcW w:w="17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3">
            <w:col w:w="960" w:space="520"/>
            <w:col w:w="1640" w:space="120"/>
            <w:col w:w="8000"/>
          </w:cols>
          <w:pgMar w:left="320" w:top="337" w:right="339" w:bottom="1440" w:gutter="0" w:footer="0" w:header="0"/>
          <w:type w:val="continuous"/>
        </w:sectPr>
      </w:pPr>
    </w:p>
    <w:p>
      <w:pPr>
        <w:spacing w:after="0" w:line="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actual number of DTAs, DSUs and/or shares of Stock that will be granted will be determined by dividing the portion of the Annual Board Retainer allocated to such award by the fair market value of Class C Shares.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Upon the director’s termination from the Board:</w:t>
      </w:r>
    </w:p>
    <w:p>
      <w:pPr>
        <w:spacing w:after="0" w:line="144" w:lineRule="exact"/>
        <w:rPr>
          <w:sz w:val="20"/>
          <w:szCs w:val="20"/>
          <w:color w:val="auto"/>
        </w:rPr>
      </w:pPr>
    </w:p>
    <w:p>
      <w:pPr>
        <w:ind w:left="1300"/>
        <w:spacing w:after="0" w:line="324" w:lineRule="auto"/>
        <w:rPr>
          <w:sz w:val="20"/>
          <w:szCs w:val="20"/>
          <w:color w:val="auto"/>
        </w:rPr>
      </w:pPr>
      <w:r>
        <w:rPr>
          <w:rFonts w:ascii="Arial" w:cs="Arial" w:eastAsia="Arial" w:hAnsi="Arial"/>
          <w:sz w:val="18"/>
          <w:szCs w:val="18"/>
          <w:color w:val="auto"/>
        </w:rPr>
        <w:t>Vesting of unvested awards is fully accelerated in event of death, permanent disability or a termination without Cause (as defined in the Plan).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type w:val="continuous"/>
        </w:sectPr>
      </w:pPr>
    </w:p>
    <w:bookmarkStart w:id="160" w:name="page161"/>
    <w:bookmarkEnd w:id="160"/>
    <w:p>
      <w:pPr>
        <w:ind w:left="1300"/>
        <w:spacing w:after="0"/>
        <w:rPr>
          <w:sz w:val="20"/>
          <w:szCs w:val="20"/>
          <w:color w:val="auto"/>
        </w:rPr>
      </w:pPr>
      <w:r>
        <w:rPr>
          <w:rFonts w:ascii="Arial" w:cs="Arial" w:eastAsia="Arial" w:hAnsi="Arial"/>
          <w:sz w:val="18"/>
          <w:szCs w:val="18"/>
          <w:color w:val="auto"/>
        </w:rPr>
        <w:t>All unvested equity awards are forfeited upon termination for Cause (as defined in the Plan).</w:t>
      </w:r>
    </w:p>
    <w:p>
      <w:pPr>
        <w:spacing w:after="0" w:line="158" w:lineRule="exact"/>
        <w:rPr>
          <w:sz w:val="20"/>
          <w:szCs w:val="20"/>
          <w:color w:val="auto"/>
        </w:rPr>
      </w:pPr>
    </w:p>
    <w:p>
      <w:pPr>
        <w:ind w:left="1300"/>
        <w:spacing w:after="0" w:line="336" w:lineRule="auto"/>
        <w:rPr>
          <w:sz w:val="20"/>
          <w:szCs w:val="20"/>
          <w:color w:val="auto"/>
        </w:rPr>
      </w:pPr>
      <w:r>
        <w:rPr>
          <w:rFonts w:ascii="Arial" w:cs="Arial" w:eastAsia="Arial" w:hAnsi="Arial"/>
          <w:sz w:val="17"/>
          <w:szCs w:val="17"/>
          <w:color w:val="auto"/>
        </w:rPr>
        <w:t>Vested Options (as defined in the Plan) granted to directors under prior independent non-employee director compensation program will remain exercisable until the earliest of (i) the nine-month anniversary of the date of termination, (ii) the expiration of the Option’s 10-year term and (iii) the date on which the director is terminated for Cause (as defined in the Plan).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All outstanding DTAs and DSUs will vest on a Change in Control (as defined in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COMMITTEE CHAIR RETAINER SUMMARY</w:t>
      </w:r>
    </w:p>
    <w:p>
      <w:pPr>
        <w:sectPr>
          <w:pgSz w:w="11900" w:h="16838" w:orient="portrait"/>
          <w:cols w:equalWidth="0" w:num="1">
            <w:col w:w="11240"/>
          </w:cols>
          <w:pgMar w:left="320" w:top="368" w:right="339" w:bottom="1440" w:gutter="0" w:footer="0" w:header="0"/>
        </w:sectPr>
      </w:pPr>
    </w:p>
    <w:p>
      <w:pPr>
        <w:spacing w:after="0" w:line="387"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b w:val="1"/>
                <w:bCs w:val="1"/>
                <w:color w:val="auto"/>
              </w:rPr>
              <w:t>Payment</w:t>
            </w:r>
          </w:p>
        </w:tc>
        <w:tc>
          <w:tcPr>
            <w:tcW w:w="22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Maximum Allocation</w:t>
            </w:r>
          </w:p>
        </w:tc>
        <w:tc>
          <w:tcPr>
            <w:tcW w:w="37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Payment Timing</w:t>
            </w:r>
          </w:p>
        </w:tc>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Vesting+</w:t>
            </w:r>
          </w:p>
        </w:tc>
        <w:tc>
          <w:tcPr>
            <w:tcW w:w="0" w:type="dxa"/>
            <w:vAlign w:val="bottom"/>
          </w:tcPr>
          <w:p>
            <w:pPr>
              <w:spacing w:after="0"/>
              <w:rPr>
                <w:sz w:val="1"/>
                <w:szCs w:val="1"/>
                <w:color w:val="auto"/>
              </w:rPr>
            </w:pPr>
          </w:p>
        </w:tc>
      </w:tr>
      <w:tr>
        <w:trPr>
          <w:trHeight w:val="126"/>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Form</w:t>
            </w:r>
          </w:p>
        </w:tc>
        <w:tc>
          <w:tcPr>
            <w:tcW w:w="2280" w:type="dxa"/>
            <w:vAlign w:val="bottom"/>
            <w:vMerge w:val="continue"/>
          </w:tcPr>
          <w:p>
            <w:pPr>
              <w:spacing w:after="0"/>
              <w:rPr>
                <w:sz w:val="10"/>
                <w:szCs w:val="10"/>
                <w:color w:val="auto"/>
              </w:rPr>
            </w:pPr>
          </w:p>
        </w:tc>
        <w:tc>
          <w:tcPr>
            <w:tcW w:w="37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Cash</w:t>
            </w:r>
          </w:p>
        </w:tc>
        <w:tc>
          <w:tcPr>
            <w:tcW w:w="2280" w:type="dxa"/>
            <w:vAlign w:val="bottom"/>
          </w:tcPr>
          <w:p>
            <w:pPr>
              <w:ind w:left="360"/>
              <w:spacing w:after="0"/>
              <w:rPr>
                <w:sz w:val="20"/>
                <w:szCs w:val="20"/>
                <w:color w:val="auto"/>
              </w:rPr>
            </w:pPr>
            <w:r>
              <w:rPr>
                <w:rFonts w:ascii="Arial" w:cs="Arial" w:eastAsia="Arial" w:hAnsi="Arial"/>
                <w:sz w:val="18"/>
                <w:szCs w:val="18"/>
                <w:color w:val="auto"/>
              </w:rPr>
              <w:t>100%</w:t>
            </w:r>
          </w:p>
        </w:tc>
        <w:tc>
          <w:tcPr>
            <w:tcW w:w="3720" w:type="dxa"/>
            <w:vAlign w:val="bottom"/>
          </w:tcPr>
          <w:p>
            <w:pPr>
              <w:ind w:left="280"/>
              <w:spacing w:after="0"/>
              <w:rPr>
                <w:sz w:val="20"/>
                <w:szCs w:val="20"/>
                <w:color w:val="auto"/>
              </w:rPr>
            </w:pPr>
            <w:r>
              <w:rPr>
                <w:rFonts w:ascii="Arial" w:cs="Arial" w:eastAsia="Arial" w:hAnsi="Arial"/>
                <w:sz w:val="18"/>
                <w:szCs w:val="18"/>
                <w:color w:val="auto"/>
              </w:rPr>
              <w:t>Lump sum following annual meeting.</w:t>
            </w:r>
          </w:p>
        </w:tc>
        <w:tc>
          <w:tcPr>
            <w:tcW w:w="1620" w:type="dxa"/>
            <w:vAlign w:val="bottom"/>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DSUs</w:t>
            </w:r>
          </w:p>
        </w:tc>
        <w:tc>
          <w:tcPr>
            <w:tcW w:w="2280" w:type="dxa"/>
            <w:vAlign w:val="bottom"/>
          </w:tcPr>
          <w:p>
            <w:pPr>
              <w:ind w:left="360"/>
              <w:spacing w:after="0"/>
              <w:rPr>
                <w:sz w:val="20"/>
                <w:szCs w:val="20"/>
                <w:color w:val="auto"/>
              </w:rPr>
            </w:pPr>
            <w:r>
              <w:rPr>
                <w:rFonts w:ascii="Arial" w:cs="Arial" w:eastAsia="Arial" w:hAnsi="Arial"/>
                <w:sz w:val="18"/>
                <w:szCs w:val="18"/>
                <w:color w:val="auto"/>
              </w:rPr>
              <w:t>100%</w:t>
            </w:r>
          </w:p>
        </w:tc>
        <w:tc>
          <w:tcPr>
            <w:tcW w:w="3720" w:type="dxa"/>
            <w:vAlign w:val="bottom"/>
          </w:tcPr>
          <w:p>
            <w:pPr>
              <w:ind w:left="280"/>
              <w:spacing w:after="0"/>
              <w:rPr>
                <w:sz w:val="20"/>
                <w:szCs w:val="20"/>
                <w:color w:val="auto"/>
              </w:rPr>
            </w:pPr>
            <w:r>
              <w:rPr>
                <w:rFonts w:ascii="Arial" w:cs="Arial" w:eastAsia="Arial" w:hAnsi="Arial"/>
                <w:sz w:val="18"/>
                <w:szCs w:val="18"/>
                <w:color w:val="auto"/>
                <w:w w:val="96"/>
              </w:rPr>
              <w:t>Settled in Class C Shares on the earlier of (i)</w:t>
            </w:r>
          </w:p>
        </w:tc>
        <w:tc>
          <w:tcPr>
            <w:tcW w:w="1620" w:type="dxa"/>
            <w:vAlign w:val="bottom"/>
          </w:tcPr>
          <w:p>
            <w:pPr>
              <w:ind w:left="40"/>
              <w:spacing w:after="0"/>
              <w:rPr>
                <w:sz w:val="20"/>
                <w:szCs w:val="20"/>
                <w:color w:val="auto"/>
              </w:rPr>
            </w:pPr>
            <w:r>
              <w:rPr>
                <w:rFonts w:ascii="Arial" w:cs="Arial" w:eastAsia="Arial" w:hAnsi="Arial"/>
                <w:sz w:val="18"/>
                <w:szCs w:val="18"/>
                <w:color w:val="auto"/>
                <w:w w:val="92"/>
              </w:rPr>
              <w:t>Cliff vesting after one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w w:val="93"/>
              </w:rPr>
              <w:t>the termination of service as a director for any</w:t>
            </w:r>
          </w:p>
        </w:tc>
        <w:tc>
          <w:tcPr>
            <w:tcW w:w="1620" w:type="dxa"/>
            <w:vAlign w:val="bottom"/>
          </w:tcPr>
          <w:p>
            <w:pPr>
              <w:ind w:left="4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w w:val="91"/>
              </w:rPr>
              <w:t>reason and (ii) a Change in Control (as defined</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w w:val="95"/>
              </w:rPr>
              <w:t>in the Plan) that also constitutes a “change in</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w w:val="97"/>
              </w:rPr>
              <w:t>control event” under Internal Revenue Code</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rPr>
              <w:t>Section 409A regulations.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Stock</w:t>
            </w:r>
          </w:p>
        </w:tc>
        <w:tc>
          <w:tcPr>
            <w:tcW w:w="2280" w:type="dxa"/>
            <w:vAlign w:val="bottom"/>
          </w:tcPr>
          <w:p>
            <w:pPr>
              <w:ind w:left="360"/>
              <w:spacing w:after="0"/>
              <w:rPr>
                <w:sz w:val="20"/>
                <w:szCs w:val="20"/>
                <w:color w:val="auto"/>
              </w:rPr>
            </w:pPr>
            <w:r>
              <w:rPr>
                <w:rFonts w:ascii="Arial" w:cs="Arial" w:eastAsia="Arial" w:hAnsi="Arial"/>
                <w:sz w:val="18"/>
                <w:szCs w:val="18"/>
                <w:color w:val="auto"/>
              </w:rPr>
              <w:t>100%</w:t>
            </w:r>
          </w:p>
        </w:tc>
        <w:tc>
          <w:tcPr>
            <w:tcW w:w="3720" w:type="dxa"/>
            <w:vAlign w:val="bottom"/>
          </w:tcPr>
          <w:p>
            <w:pPr>
              <w:ind w:left="280"/>
              <w:spacing w:after="0"/>
              <w:rPr>
                <w:sz w:val="20"/>
                <w:szCs w:val="20"/>
                <w:color w:val="auto"/>
              </w:rPr>
            </w:pPr>
            <w:r>
              <w:rPr>
                <w:rFonts w:ascii="Arial" w:cs="Arial" w:eastAsia="Arial" w:hAnsi="Arial"/>
                <w:sz w:val="18"/>
                <w:szCs w:val="18"/>
                <w:color w:val="auto"/>
                <w:w w:val="93"/>
              </w:rPr>
              <w:t>Granted on or after the date of the Company’s</w:t>
            </w:r>
          </w:p>
        </w:tc>
        <w:tc>
          <w:tcPr>
            <w:tcW w:w="1620" w:type="dxa"/>
            <w:vAlign w:val="bottom"/>
          </w:tcPr>
          <w:p>
            <w:pPr>
              <w:ind w:left="40"/>
              <w:spacing w:after="0"/>
              <w:rPr>
                <w:sz w:val="20"/>
                <w:szCs w:val="20"/>
                <w:color w:val="auto"/>
              </w:rPr>
            </w:pPr>
            <w:r>
              <w:rPr>
                <w:rFonts w:ascii="Arial" w:cs="Arial" w:eastAsia="Arial" w:hAnsi="Arial"/>
                <w:sz w:val="18"/>
                <w:szCs w:val="18"/>
                <w:color w:val="auto"/>
              </w:rPr>
              <w:t>Fully vested upon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w w:val="90"/>
              </w:rPr>
              <w:t>annual shareholders meeting (or, if a director is</w:t>
            </w:r>
          </w:p>
        </w:tc>
        <w:tc>
          <w:tcPr>
            <w:tcW w:w="1620" w:type="dxa"/>
            <w:vAlign w:val="bottom"/>
          </w:tcPr>
          <w:p>
            <w:pPr>
              <w:ind w:left="40"/>
              <w:spacing w:after="0"/>
              <w:rPr>
                <w:sz w:val="20"/>
                <w:szCs w:val="20"/>
                <w:color w:val="auto"/>
              </w:rPr>
            </w:pPr>
            <w:r>
              <w:rPr>
                <w:rFonts w:ascii="Arial" w:cs="Arial" w:eastAsia="Arial" w:hAnsi="Arial"/>
                <w:sz w:val="18"/>
                <w:szCs w:val="18"/>
                <w:color w:val="auto"/>
              </w:rPr>
              <w:t>issuance.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w w:val="90"/>
              </w:rPr>
              <w:t>appointed other than pursuant to election at the</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rPr>
              <w:t>annual meeting, at a time following such</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720" w:type="dxa"/>
            <w:vAlign w:val="bottom"/>
          </w:tcPr>
          <w:p>
            <w:pPr>
              <w:ind w:left="280"/>
              <w:spacing w:after="0"/>
              <w:rPr>
                <w:sz w:val="20"/>
                <w:szCs w:val="20"/>
                <w:color w:val="auto"/>
              </w:rPr>
            </w:pPr>
            <w:r>
              <w:rPr>
                <w:rFonts w:ascii="Arial" w:cs="Arial" w:eastAsia="Arial" w:hAnsi="Arial"/>
                <w:sz w:val="18"/>
                <w:szCs w:val="18"/>
                <w:color w:val="auto"/>
                <w:w w:val="96"/>
              </w:rPr>
              <w:t>appointment determined by the Board that is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8"/>
          <w:szCs w:val="18"/>
          <w:color w:val="auto"/>
        </w:rPr>
        <w:t>compliant with Internal Revenue Code Section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409A).</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Default Form of Payment?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(Director may elect to receive all or a portion of the Committee Chair Retainer as DSUs)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(Director may elect to receive all or a portion of the Committee Chair Retainer as Stock)</w:t>
      </w:r>
    </w:p>
    <w:p>
      <w:pPr>
        <w:spacing w:after="0" w:line="597" w:lineRule="exact"/>
        <w:rPr>
          <w:sz w:val="20"/>
          <w:szCs w:val="20"/>
          <w:color w:val="auto"/>
        </w:rPr>
      </w:pPr>
    </w:p>
    <w:p>
      <w:pPr>
        <w:sectPr>
          <w:pgSz w:w="11900" w:h="16838" w:orient="portrait"/>
          <w:cols w:equalWidth="0" w:num="2">
            <w:col w:w="8960" w:space="260"/>
            <w:col w:w="2020"/>
          </w:cols>
          <w:pgMar w:left="320" w:top="368" w:right="3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See Annual Board Retainer Summary for how the number of DSUs or shares of Stock granted is determined.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See Annual Board Retainer Summary for vesting of DSUs upon termination and Change in Control (as defined in the Plan).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does not pay any Board retainers or fees or provide any Board equity grants not set forth above. These retainers, fees, or grants may be modified or adjusted from time to time as determined by the Board.</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Amended and Restated Compensation Program for Independent Non-Employee Directors supersedes all prior agreements or policies concerning director compensation.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68" w:right="339" w:bottom="1440" w:gutter="0" w:footer="0" w:header="0"/>
          <w:type w:val="continuous"/>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Dell Technologies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880"/>
        <w:spacing w:after="0"/>
        <w:tabs>
          <w:tab w:leader="none" w:pos="7660" w:val="left"/>
        </w:tabs>
        <w:rPr>
          <w:sz w:val="20"/>
          <w:szCs w:val="20"/>
          <w:color w:val="auto"/>
        </w:rPr>
      </w:pPr>
      <w:r>
        <w:rPr>
          <w:rFonts w:ascii="Arial" w:cs="Arial" w:eastAsia="Arial" w:hAnsi="Arial"/>
          <w:sz w:val="18"/>
          <w:szCs w:val="18"/>
          <w:color w:val="auto"/>
        </w:rPr>
        <w:t>June 8, 2020</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1718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 OF THOMAS W. SWEET, EXECUTIVE VICE PRESIDENT AND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W. Sweet, certify that:</w:t>
      </w:r>
    </w:p>
    <w:p>
      <w:pPr>
        <w:spacing w:after="0" w:line="117"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Dell Technologies Inc.;</w:t>
      </w:r>
    </w:p>
    <w:p>
      <w:pPr>
        <w:spacing w:after="0" w:line="117"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880"/>
        <w:spacing w:after="0"/>
        <w:tabs>
          <w:tab w:leader="none" w:pos="7600" w:val="left"/>
        </w:tabs>
        <w:rPr>
          <w:sz w:val="20"/>
          <w:szCs w:val="20"/>
          <w:color w:val="auto"/>
        </w:rPr>
      </w:pPr>
      <w:r>
        <w:rPr>
          <w:rFonts w:ascii="Arial" w:cs="Arial" w:eastAsia="Arial" w:hAnsi="Arial"/>
          <w:sz w:val="18"/>
          <w:szCs w:val="18"/>
          <w:color w:val="auto"/>
        </w:rPr>
        <w:t>June 8, 2020</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1718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CERTIFICATIONS OF MICHAEL S. DELL, CHAIRMAN AND CHIEF EXECUTIVE OFFICER, AND THOMAS W. SWEET, EXECUTIVE VICE PRESIDENT AND CHIEF FINANCIAL OFFICER, PURSUANT TO 18 U.S.C. SECTION 1350, AS ADOPTED PURSUANT TO SECTION 906 OF THE SARBANES-OXLEY ACT OF 2002</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officers of Dell Technologies Inc. hereby certify that (a) Dell Technologies Inc.’s Quarterly Report on Form 10-Q for the three months ended May 1, 2020,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349" w:lineRule="exact"/>
        <w:rPr>
          <w:sz w:val="20"/>
          <w:szCs w:val="20"/>
          <w:color w:val="auto"/>
        </w:rPr>
      </w:pPr>
    </w:p>
    <w:p>
      <w:pPr>
        <w:ind w:left="360"/>
        <w:spacing w:after="0"/>
        <w:tabs>
          <w:tab w:leader="none" w:pos="7380" w:val="left"/>
        </w:tabs>
        <w:rPr>
          <w:sz w:val="20"/>
          <w:szCs w:val="20"/>
          <w:color w:val="auto"/>
        </w:rPr>
      </w:pPr>
      <w:r>
        <w:rPr>
          <w:rFonts w:ascii="Arial" w:cs="Arial" w:eastAsia="Arial" w:hAnsi="Arial"/>
          <w:sz w:val="18"/>
          <w:szCs w:val="18"/>
          <w:color w:val="auto"/>
        </w:rPr>
        <w:t>June 8, 2020</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98" w:lineRule="exact"/>
        <w:rPr>
          <w:sz w:val="20"/>
          <w:szCs w:val="20"/>
          <w:color w:val="auto"/>
        </w:rPr>
      </w:pPr>
    </w:p>
    <w:p>
      <w:pPr>
        <w:ind w:left="360"/>
        <w:spacing w:after="0"/>
        <w:tabs>
          <w:tab w:leader="none" w:pos="7320" w:val="left"/>
        </w:tabs>
        <w:rPr>
          <w:sz w:val="20"/>
          <w:szCs w:val="20"/>
          <w:color w:val="auto"/>
        </w:rPr>
      </w:pPr>
      <w:r>
        <w:rPr>
          <w:rFonts w:ascii="Arial" w:cs="Arial" w:eastAsia="Arial" w:hAnsi="Arial"/>
          <w:sz w:val="18"/>
          <w:szCs w:val="18"/>
          <w:color w:val="auto"/>
        </w:rPr>
        <w:t>June 8, 2020</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3515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jc w:val="center"/>
        <w:ind w:left="528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lowerLetter"/>
      <w:start w:val="1"/>
    </w:lvl>
  </w:abstractNum>
  <w:abstractNum w:abstractNumId="3">
    <w:nsid w:val="5C482A97"/>
    <w:multiLevelType w:val="hybridMultilevel"/>
    <w:lvl w:ilvl="0">
      <w:lvlJc w:val="left"/>
      <w:lvlText w:val="(%1)"/>
      <w:numFmt w:val="lowerLetter"/>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lowerLetter"/>
      <w:start w:val="1"/>
    </w:lvl>
  </w:abstractNum>
  <w:abstractNum w:abstractNumId="6">
    <w:nsid w:val="51EAD36B"/>
    <w:multiLevelType w:val="hybridMultilevel"/>
    <w:lvl w:ilvl="0">
      <w:lvlJc w:val="left"/>
      <w:lvlText w:val="(%1)"/>
      <w:numFmt w:val="lowerLetter"/>
      <w:start w:val="2"/>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1)"/>
      <w:numFmt w:val="lowerLetter"/>
      <w:start w:val="1"/>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lowerLetter"/>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lowerLetter"/>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2"/>
    </w:lvl>
    <w:lvl w:ilvl="1">
      <w:lvlJc w:val="left"/>
      <w:lvlText w:val="(%2)"/>
      <w:numFmt w:val="lowerLetter"/>
      <w:start w:val="1"/>
    </w:lvl>
  </w:abstractNum>
  <w:abstractNum w:abstractNumId="28">
    <w:nsid w:val="3DC240FB"/>
    <w:multiLevelType w:val="hybridMultilevel"/>
    <w:lvl w:ilvl="0">
      <w:lvlJc w:val="left"/>
      <w:lvlText w:val="(%1)"/>
      <w:numFmt w:val="lowerLetter"/>
      <w:start w:val="2"/>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4"/>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lowerLetter"/>
      <w:start w:val="3"/>
    </w:lvl>
  </w:abstractNum>
  <w:abstractNum w:abstractNumId="33">
    <w:nsid w:val="70C6A529"/>
    <w:multiLevelType w:val="hybridMultilevel"/>
    <w:lvl w:ilvl="0">
      <w:lvlJc w:val="left"/>
      <w:lvlText w:val="%1."/>
      <w:numFmt w:val="decimal"/>
      <w:start w:val="3"/>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decimal"/>
      <w:start w:val="1"/>
    </w:lvl>
    <w:lvl w:ilvl="1">
      <w:lvlJc w:val="left"/>
      <w:lvlText w:val="(%2)"/>
      <w:numFmt w:val="lowerLetter"/>
      <w:start w:val="2"/>
    </w:lvl>
  </w:abstractNum>
  <w:abstractNum w:abstractNumId="36">
    <w:nsid w:val="4F4EF005"/>
    <w:multiLevelType w:val="hybridMultilevel"/>
    <w:lvl w:ilvl="0">
      <w:lvlJc w:val="left"/>
      <w:lvlText w:val="%1."/>
      <w:numFmt w:val="decimal"/>
      <w:start w:val="4"/>
    </w:lvl>
    <w:lvl w:ilvl="1">
      <w:lvlJc w:val="left"/>
      <w:lvlText w:val="(%2)"/>
      <w:numFmt w:val="lowerLetter"/>
      <w:start w:val="1"/>
    </w:lvl>
  </w:abstractNum>
  <w:abstractNum w:abstractNumId="37">
    <w:nsid w:val="23F9C13C"/>
    <w:multiLevelType w:val="hybridMultilevel"/>
    <w:lvl w:ilvl="0">
      <w:lvlJc w:val="left"/>
      <w:lvlText w:val="%1"/>
      <w:numFmt w:val="decimal"/>
      <w:start w:val="1"/>
    </w:lvl>
    <w:lvl w:ilvl="1">
      <w:lvlJc w:val="left"/>
      <w:lvlText w:val="(%2)"/>
      <w:numFmt w:val="lowerLetter"/>
      <w:start w:val="2"/>
    </w:lvl>
  </w:abstractNum>
  <w:abstractNum w:abstractNumId="38">
    <w:nsid w:val="649BB77C"/>
    <w:multiLevelType w:val="hybridMultilevel"/>
    <w:lvl w:ilvl="0">
      <w:lvlJc w:val="left"/>
      <w:lvlText w:val="%1."/>
      <w:numFmt w:val="decimal"/>
      <w:start w:val="6"/>
    </w:lvl>
    <w:lvl w:ilvl="1">
      <w:lvlJc w:val="left"/>
      <w:lvlText w:val="%2"/>
      <w:numFmt w:val="lowerLetter"/>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lvl w:ilvl="1">
      <w:lvlJc w:val="left"/>
      <w:lvlText w:val="(%2)"/>
      <w:numFmt w:val="lowerLetter"/>
      <w:start w:val="2"/>
    </w:lvl>
  </w:abstractNum>
  <w:abstractNum w:abstractNumId="41">
    <w:nsid w:val="1CF10FD8"/>
    <w:multiLevelType w:val="hybridMultilevel"/>
    <w:lvl w:ilvl="0">
      <w:lvlJc w:val="left"/>
      <w:lvlText w:val="(%1)"/>
      <w:numFmt w:val="lowerLetter"/>
      <w:start w:val="9"/>
    </w:lvl>
    <w:lvl w:ilvl="1">
      <w:lvlJc w:val="left"/>
      <w:lvlText w:val="%2"/>
      <w:numFmt w:val="lowerLetter"/>
      <w:start w:val="1"/>
    </w:lvl>
  </w:abstractNum>
  <w:abstractNum w:abstractNumId="42">
    <w:nsid w:val="180115BE"/>
    <w:multiLevelType w:val="hybridMultilevel"/>
    <w:lvl w:ilvl="0">
      <w:lvlJc w:val="left"/>
      <w:lvlText w:val="(%1)"/>
      <w:numFmt w:val="lowerLetter"/>
      <w:start w:val="61"/>
    </w:lvl>
    <w:lvl w:ilvl="1">
      <w:lvlJc w:val="left"/>
      <w:lvlText w:val="%2"/>
      <w:numFmt w:val="lowerLetter"/>
      <w:start w:val="1"/>
    </w:lvl>
  </w:abstractNum>
  <w:abstractNum w:abstractNumId="43">
    <w:nsid w:val="235BA861"/>
    <w:multiLevelType w:val="hybridMultilevel"/>
    <w:lvl w:ilvl="0">
      <w:lvlJc w:val="left"/>
      <w:lvlText w:val="(%1)"/>
      <w:numFmt w:val="lowerLetter"/>
      <w:start w:val="4"/>
    </w:lvl>
  </w:abstractNum>
  <w:abstractNum w:abstractNumId="44">
    <w:nsid w:val="47398C89"/>
    <w:multiLevelType w:val="hybridMultilevel"/>
    <w:lvl w:ilvl="0">
      <w:lvlJc w:val="left"/>
      <w:lvlText w:val="%1"/>
      <w:numFmt w:val="upperLetter"/>
      <w:start w:val="1"/>
    </w:lvl>
    <w:lvl w:ilvl="1">
      <w:lvlJc w:val="left"/>
      <w:lvlText w:val="(%2)"/>
      <w:numFmt w:val="lowerLetter"/>
      <w:start w:val="7"/>
    </w:lvl>
  </w:abstractNum>
  <w:abstractNum w:abstractNumId="45">
    <w:nsid w:val="354FE9F9"/>
    <w:multiLevelType w:val="hybridMultilevel"/>
    <w:lvl w:ilvl="0">
      <w:lvlJc w:val="left"/>
      <w:lvlText w:val="(%1)"/>
      <w:numFmt w:val="upperLetter"/>
      <w:start w:val="1"/>
    </w:lvl>
    <w:lvl w:ilvl="1">
      <w:lvlJc w:val="left"/>
      <w:lvlText w:val="%2"/>
      <w:numFmt w:val="lowerLetter"/>
      <w:start w:val="1"/>
    </w:lvl>
  </w:abstractNum>
  <w:abstractNum w:abstractNumId="46">
    <w:nsid w:val="15B5AF5C"/>
    <w:multiLevelType w:val="hybridMultilevel"/>
    <w:lvl w:ilvl="0">
      <w:lvlJc w:val="left"/>
      <w:lvlText w:val="(%1)"/>
      <w:numFmt w:val="lowerLetter"/>
      <w:start w:val="9"/>
    </w:lvl>
  </w:abstractNum>
  <w:abstractNum w:abstractNumId="47">
    <w:nsid w:val="741226BB"/>
    <w:multiLevelType w:val="hybridMultilevel"/>
    <w:lvl w:ilvl="0">
      <w:lvlJc w:val="left"/>
      <w:lvlText w:val="(%1)"/>
      <w:numFmt w:val="lowerLetter"/>
      <w:start w:val="14"/>
    </w:lvl>
  </w:abstractNum>
  <w:abstractNum w:abstractNumId="48">
    <w:nsid w:val="D34B6A8"/>
    <w:multiLevelType w:val="hybridMultilevel"/>
    <w:lvl w:ilvl="0">
      <w:lvlJc w:val="left"/>
      <w:lvlText w:val="(%1)"/>
      <w:numFmt w:val="lowerLetter"/>
      <w:start w:val="15"/>
    </w:lvl>
  </w:abstractNum>
  <w:abstractNum w:abstractNumId="49">
    <w:nsid w:val="10233C99"/>
    <w:multiLevelType w:val="hybridMultilevel"/>
    <w:lvl w:ilvl="0">
      <w:lvlJc w:val="left"/>
      <w:lvlText w:val="(%1)"/>
      <w:numFmt w:val="lowerLetter"/>
      <w:start w:val="18"/>
    </w:lvl>
  </w:abstractNum>
  <w:abstractNum w:abstractNumId="50">
    <w:nsid w:val="3F6AB60F"/>
    <w:multiLevelType w:val="hybridMultilevel"/>
    <w:lvl w:ilvl="0">
      <w:lvlJc w:val="left"/>
      <w:lvlText w:val="%1."/>
      <w:numFmt w:val="decimal"/>
      <w:start w:val="7"/>
    </w:lvl>
  </w:abstractNum>
  <w:abstractNum w:abstractNumId="51">
    <w:nsid w:val="61574095"/>
    <w:multiLevelType w:val="hybridMultilevel"/>
    <w:lvl w:ilvl="0">
      <w:lvlJc w:val="left"/>
      <w:lvlText w:val="(%1)"/>
      <w:numFmt w:val="lowerRoman"/>
      <w:start w:val="6"/>
    </w:lvl>
  </w:abstractNum>
  <w:abstractNum w:abstractNumId="52">
    <w:nsid w:val="7E0C57B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3">
    <w:nsid w:val="77AE35EB"/>
    <w:multiLevelType w:val="hybridMultilevel"/>
    <w:lvl w:ilvl="0">
      <w:lvlJc w:val="left"/>
      <w:lvlText w:val="(%1)"/>
      <w:numFmt w:val="lowerLetter"/>
      <w:start w:val="2"/>
    </w:lvl>
  </w:abstractNum>
  <w:abstractNum w:abstractNumId="54">
    <w:nsid w:val="579BE4F1"/>
    <w:multiLevelType w:val="hybridMultilevel"/>
    <w:lvl w:ilvl="0">
      <w:lvlJc w:val="left"/>
      <w:lvlText w:val="(%1)"/>
      <w:numFmt w:val="lowerLetter"/>
      <w:start w:val="4"/>
    </w:lvl>
  </w:abstractNum>
  <w:abstractNum w:abstractNumId="55">
    <w:nsid w:val="310C50B3"/>
    <w:multiLevelType w:val="hybridMultilevel"/>
    <w:lvl w:ilvl="0">
      <w:lvlJc w:val="left"/>
      <w:lvlText w:val="(%1)"/>
      <w:numFmt w:val="lowerLetter"/>
      <w:start w:val="5"/>
    </w:lvl>
  </w:abstractNum>
  <w:abstractNum w:abstractNumId="56">
    <w:nsid w:val="5FF87E05"/>
    <w:multiLevelType w:val="hybridMultilevel"/>
    <w:lvl w:ilvl="0">
      <w:lvlJc w:val="left"/>
      <w:lvlText w:val="%1."/>
      <w:numFmt w:val="decimal"/>
      <w:start w:val="9"/>
    </w:lvl>
  </w:abstractNum>
  <w:abstractNum w:abstractNumId="57">
    <w:nsid w:val="2F305DEF"/>
    <w:multiLevelType w:val="hybridMultilevel"/>
    <w:lvl w:ilvl="0">
      <w:lvlJc w:val="left"/>
      <w:lvlText w:val="%1."/>
      <w:numFmt w:val="decimal"/>
      <w:start w:val="10"/>
    </w:lvl>
  </w:abstractNum>
  <w:abstractNum w:abstractNumId="58">
    <w:nsid w:val="25A70BF7"/>
    <w:multiLevelType w:val="hybridMultilevel"/>
    <w:lvl w:ilvl="0">
      <w:lvlJc w:val="left"/>
      <w:lvlText w:val="%1."/>
      <w:numFmt w:val="decimal"/>
      <w:start w:val="11"/>
    </w:lvl>
    <w:lvl w:ilvl="1">
      <w:lvlJc w:val="left"/>
      <w:lvlText w:val="(%2)"/>
      <w:numFmt w:val="lowerLetter"/>
      <w:start w:val="1"/>
    </w:lvl>
  </w:abstractNum>
  <w:abstractNum w:abstractNumId="59">
    <w:nsid w:val="1DBABF00"/>
    <w:multiLevelType w:val="hybridMultilevel"/>
    <w:lvl w:ilvl="0">
      <w:lvlJc w:val="left"/>
      <w:lvlText w:val="(%1)"/>
      <w:numFmt w:val="lowerLetter"/>
      <w:start w:val="2"/>
    </w:lvl>
  </w:abstractNum>
  <w:abstractNum w:abstractNumId="60">
    <w:nsid w:val="4AD084E9"/>
    <w:multiLevelType w:val="hybridMultilevel"/>
    <w:lvl w:ilvl="0">
      <w:lvlJc w:val="left"/>
      <w:lvlText w:val="(%1)"/>
      <w:numFmt w:val="lowerRoman"/>
      <w:start w:val="1"/>
    </w:lvl>
  </w:abstractNum>
  <w:abstractNum w:abstractNumId="61">
    <w:nsid w:val="1F48EAA1"/>
    <w:multiLevelType w:val="hybridMultilevel"/>
    <w:lvl w:ilvl="0">
      <w:lvlJc w:val="left"/>
      <w:lvlText w:val="(%1)"/>
      <w:numFmt w:val="lowerRoman"/>
      <w:start w:val="2"/>
    </w:lvl>
  </w:abstractNum>
  <w:abstractNum w:abstractNumId="62">
    <w:nsid w:val="1381823A"/>
    <w:multiLevelType w:val="hybridMultilevel"/>
    <w:lvl w:ilvl="0">
      <w:lvlJc w:val="left"/>
      <w:lvlText w:val="(%1)"/>
      <w:numFmt w:val="lowerLetter"/>
      <w:start w:val="5"/>
    </w:lvl>
  </w:abstractNum>
  <w:abstractNum w:abstractNumId="63">
    <w:nsid w:val="5DB70AE5"/>
    <w:multiLevelType w:val="hybridMultilevel"/>
    <w:lvl w:ilvl="0">
      <w:lvlJc w:val="left"/>
      <w:lvlText w:val="(%1)"/>
      <w:numFmt w:val="lowerLetter"/>
      <w:start w:val="7"/>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2"/>
    </w:lvl>
  </w:abstractNum>
  <w:abstractNum w:abstractNumId="67">
    <w:nsid w:val="5F5E7FD0"/>
    <w:multiLevelType w:val="hybridMultilevel"/>
    <w:lvl w:ilvl="0">
      <w:lvlJc w:val="left"/>
      <w:lvlText w:val="•"/>
      <w:numFmt w:val="bullet"/>
      <w:start w:val="1"/>
    </w:lvl>
    <w:lvl w:ilvl="1">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27" Type="http://schemas.openxmlformats.org/officeDocument/2006/relationships/hyperlink" Target="https://www.sec.gov/Archives/edgar/data/1571996/000119312520102602/d912603dex41.htm" TargetMode="External"/><Relationship Id="rId28" Type="http://schemas.openxmlformats.org/officeDocument/2006/relationships/hyperlink" Target="https://www.sec.gov/Archives/edgar/data/1571996/000119312520102602/d912603dex42.htm" TargetMode="External"/><Relationship Id="rId29" Type="http://schemas.openxmlformats.org/officeDocument/2006/relationships/hyperlink" Target="https://www.sec.gov/Archives/edgar/data/1571996/000119312520102602/d912603dex43.htm" TargetMode="External"/><Relationship Id="rId30" Type="http://schemas.openxmlformats.org/officeDocument/2006/relationships/hyperlink" Target="https://www.sec.gov/Archives/edgar/data/1571996/000119312520102602/d91260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2020-06-08T15:40:03Z</dcterms:created>
  <dcterms:modified xsi:type="dcterms:W3CDTF">2020-06-08T15:40:03Z</dcterms:modified>
</cp:coreProperties>
</file>