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5194300</wp:posOffset>
            </wp:positionH>
            <wp:positionV relativeFrom="paragraph">
              <wp:posOffset>-606425</wp:posOffset>
            </wp:positionV>
            <wp:extent cx="57150"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760"/>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-606425</wp:posOffset>
            </wp:positionV>
            <wp:extent cx="57150" cy="619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7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644525</wp:posOffset>
            </wp:positionV>
            <wp:extent cx="6997700" cy="8815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15705"/>
                    </a:xfrm>
                    <a:prstGeom prst="rect">
                      <a:avLst/>
                    </a:prstGeom>
                    <a:noFill/>
                  </pic:spPr>
                </pic:pic>
              </a:graphicData>
            </a:graphic>
          </wp:anchor>
        </w:drawing>
      </w:r>
    </w:p>
    <w:p>
      <w:pPr>
        <w:spacing w:after="0" w:line="1089" w:lineRule="exact"/>
        <w:rPr>
          <w:sz w:val="24"/>
          <w:szCs w:val="24"/>
          <w:color w:val="auto"/>
        </w:rPr>
      </w:pPr>
    </w:p>
    <w:p>
      <w:pPr>
        <w:sectPr>
          <w:pgSz w:w="11900" w:h="16838" w:orient="portrait"/>
          <w:cols w:equalWidth="0" w:num="2">
            <w:col w:w="2320" w:space="360"/>
            <w:col w:w="8300"/>
          </w:cols>
          <w:pgMar w:left="460" w:top="214" w:right="459" w:bottom="212"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SL SPV-2, L.P.</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SILVER LAKE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2775 SAND HILL ROAD,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Dell Technologies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DELL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4"/>
          <w:szCs w:val="24"/>
          <w:color w:val="auto"/>
        </w:rPr>
      </w:pPr>
      <w:r>
        <w:rPr>
          <w:sz w:val="24"/>
          <w:szCs w:val="24"/>
          <w:color w:val="auto"/>
        </w:rPr>
        <w:br w:type="column"/>
      </w:r>
    </w:p>
    <w:p>
      <w:pPr>
        <w:ind w:left="4" w:right="620" w:hanging="4"/>
        <w:spacing w:after="0" w:line="282"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4"/>
        <w:spacing w:after="0"/>
        <w:tabs>
          <w:tab w:leader="none" w:pos="1726"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8745"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745"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9" w:lineRule="exact"/>
        <w:rPr>
          <w:sz w:val="24"/>
          <w:szCs w:val="24"/>
          <w:color w:val="auto"/>
        </w:rPr>
      </w:pPr>
    </w:p>
    <w:p>
      <w:pPr>
        <w:jc w:val="right"/>
        <w:ind w:right="3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565" w:lineRule="exact"/>
        <w:rPr>
          <w:sz w:val="24"/>
          <w:szCs w:val="24"/>
          <w:color w:val="auto"/>
        </w:rPr>
      </w:pPr>
    </w:p>
    <w:p>
      <w:pPr>
        <w:sectPr>
          <w:pgSz w:w="11900" w:h="16838" w:orient="portrait"/>
          <w:cols w:equalWidth="0" w:num="3">
            <w:col w:w="3180" w:space="720"/>
            <w:col w:w="3116" w:space="720"/>
            <w:col w:w="3244"/>
          </w:cols>
          <w:pgMar w:left="460" w:top="214" w:right="459" w:bottom="212"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3460" w:type="dxa"/>
            <w:vAlign w:val="bottom"/>
            <w:gridSpan w:val="5"/>
          </w:tcPr>
          <w:p>
            <w:pPr>
              <w:jc w:val="center"/>
              <w:spacing w:after="0"/>
              <w:rPr>
                <w:sz w:val="20"/>
                <w:szCs w:val="20"/>
                <w:color w:val="auto"/>
              </w:rPr>
            </w:pPr>
            <w:r>
              <w:rPr>
                <w:rFonts w:ascii="Arial" w:cs="Arial" w:eastAsia="Arial" w:hAnsi="Arial"/>
                <w:sz w:val="12"/>
                <w:szCs w:val="12"/>
                <w:color w:val="auto"/>
              </w:rPr>
              <w:t>4. If Amendment, Date of Original Filed (Month/Day/Year)</w:t>
            </w:r>
          </w:p>
        </w:tc>
        <w:tc>
          <w:tcPr>
            <w:tcW w:w="3760" w:type="dxa"/>
            <w:vAlign w:val="bottom"/>
            <w:gridSpan w:val="5"/>
          </w:tcPr>
          <w:p>
            <w:pPr>
              <w:ind w:left="52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8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ind w:left="520"/>
              <w:spacing w:after="0"/>
              <w:rPr>
                <w:sz w:val="20"/>
                <w:szCs w:val="20"/>
                <w:color w:val="auto"/>
              </w:rPr>
            </w:pPr>
            <w:r>
              <w:rPr>
                <w:rFonts w:ascii="Arial" w:cs="Arial" w:eastAsia="Arial" w:hAnsi="Arial"/>
                <w:sz w:val="12"/>
                <w:szCs w:val="12"/>
                <w:color w:val="auto"/>
              </w:rPr>
              <w:t>Line)</w:t>
            </w:r>
          </w:p>
        </w:tc>
        <w:tc>
          <w:tcPr>
            <w:tcW w:w="2900" w:type="dxa"/>
            <w:vAlign w:val="bottom"/>
            <w:gridSpan w:val="4"/>
            <w:vMerge w:val="restart"/>
          </w:tcPr>
          <w:p>
            <w:pPr>
              <w:ind w:left="2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9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MENLO PARK</w:t>
            </w: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CA</w:t>
            </w:r>
          </w:p>
        </w:tc>
        <w:tc>
          <w:tcPr>
            <w:tcW w:w="170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0000FF"/>
              </w:rPr>
              <w:t>94025</w:t>
            </w: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9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900" w:type="dxa"/>
            <w:vAlign w:val="bottom"/>
            <w:gridSpan w:val="4"/>
            <w:vMerge w:val="restart"/>
          </w:tcPr>
          <w:p>
            <w:pPr>
              <w:ind w:left="2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9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7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2"/>
                <w:szCs w:val="12"/>
                <w:color w:val="auto"/>
              </w:rPr>
              <w:t>(City)</w:t>
            </w:r>
          </w:p>
        </w:tc>
        <w:tc>
          <w:tcPr>
            <w:tcW w:w="820" w:type="dxa"/>
            <w:vAlign w:val="bottom"/>
          </w:tcPr>
          <w:p>
            <w:pPr>
              <w:ind w:left="100"/>
              <w:spacing w:after="0"/>
              <w:rPr>
                <w:sz w:val="20"/>
                <w:szCs w:val="20"/>
                <w:color w:val="auto"/>
              </w:rPr>
            </w:pPr>
            <w:r>
              <w:rPr>
                <w:rFonts w:ascii="Arial" w:cs="Arial" w:eastAsia="Arial" w:hAnsi="Arial"/>
                <w:sz w:val="12"/>
                <w:szCs w:val="12"/>
                <w:color w:val="auto"/>
              </w:rPr>
              <w:t>(State)</w:t>
            </w:r>
          </w:p>
        </w:tc>
        <w:tc>
          <w:tcPr>
            <w:tcW w:w="2040" w:type="dxa"/>
            <w:vAlign w:val="bottom"/>
            <w:gridSpan w:val="2"/>
          </w:tcPr>
          <w:p>
            <w:pPr>
              <w:ind w:left="500"/>
              <w:spacing w:after="0"/>
              <w:rPr>
                <w:sz w:val="20"/>
                <w:szCs w:val="20"/>
                <w:color w:val="auto"/>
              </w:rPr>
            </w:pPr>
            <w:r>
              <w:rPr>
                <w:rFonts w:ascii="Arial" w:cs="Arial" w:eastAsia="Arial" w:hAnsi="Arial"/>
                <w:sz w:val="12"/>
                <w:szCs w:val="12"/>
                <w:color w:val="auto"/>
              </w:rPr>
              <w:t>(Zip)</w:t>
            </w: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540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100" w:type="dxa"/>
            <w:vAlign w:val="bottom"/>
            <w:tcBorders>
              <w:top w:val="single" w:sz="8" w:color="2C2C2C"/>
            </w:tcBorders>
            <w:gridSpan w:val="8"/>
          </w:tcPr>
          <w:p>
            <w:pPr>
              <w:jc w:val="center"/>
              <w:ind w:right="17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204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2040" w:type="dxa"/>
            <w:vAlign w:val="bottom"/>
            <w:gridSpan w:val="2"/>
          </w:tcPr>
          <w:p>
            <w:pPr>
              <w:ind w:left="10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00" w:type="dxa"/>
            <w:vAlign w:val="bottom"/>
            <w:gridSpan w:val="2"/>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40" w:type="dxa"/>
            <w:vAlign w:val="bottom"/>
            <w:gridSpan w:val="2"/>
          </w:tcPr>
          <w:p>
            <w:pPr>
              <w:ind w:left="10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40" w:type="dxa"/>
            <w:vAlign w:val="bottom"/>
            <w:gridSpan w:val="2"/>
          </w:tcPr>
          <w:p>
            <w:pPr>
              <w:jc w:val="center"/>
              <w:ind w:left="925"/>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900" w:type="dxa"/>
            <w:vAlign w:val="bottom"/>
            <w:gridSpan w:val="2"/>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5"/>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(1)(2)</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50,725</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126,066</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vMerge w:val="continue"/>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5"/>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4,937</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399.5</w:t>
            </w:r>
            <w:r>
              <w:rPr>
                <w:rFonts w:ascii="Times New Roman" w:cs="Times New Roman" w:eastAsia="Times New Roman" w:hAnsi="Times New Roman"/>
                <w:sz w:val="20"/>
                <w:szCs w:val="20"/>
                <w:color w:val="008000"/>
                <w:w w:val="92"/>
                <w:vertAlign w:val="superscript"/>
              </w:rPr>
              <w:t>(10)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121,129</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5"/>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4,493</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400.52</w:t>
            </w:r>
            <w:r>
              <w:rPr>
                <w:rFonts w:ascii="Times New Roman" w:cs="Times New Roman" w:eastAsia="Times New Roman" w:hAnsi="Times New Roman"/>
                <w:sz w:val="20"/>
                <w:szCs w:val="20"/>
                <w:color w:val="008000"/>
                <w:w w:val="93"/>
                <w:vertAlign w:val="superscript"/>
              </w:rPr>
              <w:t>(11)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116,636</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5"/>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5,621</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401.41</w:t>
            </w:r>
            <w:r>
              <w:rPr>
                <w:rFonts w:ascii="Times New Roman" w:cs="Times New Roman" w:eastAsia="Times New Roman" w:hAnsi="Times New Roman"/>
                <w:sz w:val="20"/>
                <w:szCs w:val="20"/>
                <w:color w:val="008000"/>
                <w:w w:val="93"/>
                <w:vertAlign w:val="superscript"/>
              </w:rPr>
              <w:t>(12)</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111,015</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5"/>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3,910</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402.53</w:t>
            </w:r>
            <w:r>
              <w:rPr>
                <w:rFonts w:ascii="Times New Roman" w:cs="Times New Roman" w:eastAsia="Times New Roman" w:hAnsi="Times New Roman"/>
                <w:sz w:val="20"/>
                <w:szCs w:val="20"/>
                <w:color w:val="008000"/>
                <w:w w:val="93"/>
                <w:vertAlign w:val="superscript"/>
              </w:rPr>
              <w:t>(13)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107,105</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5"/>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1,750</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403.35</w:t>
            </w:r>
            <w:r>
              <w:rPr>
                <w:rFonts w:ascii="Times New Roman" w:cs="Times New Roman" w:eastAsia="Times New Roman" w:hAnsi="Times New Roman"/>
                <w:sz w:val="20"/>
                <w:szCs w:val="20"/>
                <w:color w:val="008000"/>
                <w:w w:val="93"/>
                <w:vertAlign w:val="superscript"/>
              </w:rPr>
              <w:t>(14)</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105,355</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5"/>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1,093</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404.58</w:t>
            </w:r>
            <w:r>
              <w:rPr>
                <w:rFonts w:ascii="Times New Roman" w:cs="Times New Roman" w:eastAsia="Times New Roman" w:hAnsi="Times New Roman"/>
                <w:sz w:val="20"/>
                <w:szCs w:val="20"/>
                <w:color w:val="008000"/>
                <w:w w:val="93"/>
                <w:vertAlign w:val="superscript"/>
              </w:rPr>
              <w:t>(15)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104,262</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5"/>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4,309</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405.57</w:t>
            </w:r>
            <w:r>
              <w:rPr>
                <w:rFonts w:ascii="Times New Roman" w:cs="Times New Roman" w:eastAsia="Times New Roman" w:hAnsi="Times New Roman"/>
                <w:sz w:val="20"/>
                <w:szCs w:val="20"/>
                <w:color w:val="008000"/>
                <w:w w:val="93"/>
                <w:vertAlign w:val="superscript"/>
              </w:rPr>
              <w:t>(16)</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99,953</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5"/>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5,812</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406.35</w:t>
            </w:r>
            <w:r>
              <w:rPr>
                <w:rFonts w:ascii="Times New Roman" w:cs="Times New Roman" w:eastAsia="Times New Roman" w:hAnsi="Times New Roman"/>
                <w:sz w:val="20"/>
                <w:szCs w:val="20"/>
                <w:color w:val="008000"/>
                <w:w w:val="93"/>
                <w:vertAlign w:val="superscript"/>
              </w:rPr>
              <w:t>(17)</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94,141</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5"/>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2,090</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407.38</w:t>
            </w:r>
            <w:r>
              <w:rPr>
                <w:rFonts w:ascii="Times New Roman" w:cs="Times New Roman" w:eastAsia="Times New Roman" w:hAnsi="Times New Roman"/>
                <w:sz w:val="20"/>
                <w:szCs w:val="20"/>
                <w:color w:val="008000"/>
                <w:w w:val="93"/>
                <w:vertAlign w:val="superscript"/>
              </w:rPr>
              <w:t>(18)</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92,051</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Borders>
              <w:bottom w:val="single" w:sz="8" w:color="808080"/>
            </w:tcBorders>
          </w:tcPr>
          <w:p>
            <w:pPr>
              <w:spacing w:after="0"/>
              <w:rPr>
                <w:sz w:val="22"/>
                <w:szCs w:val="22"/>
                <w:color w:val="auto"/>
              </w:rPr>
            </w:pPr>
          </w:p>
        </w:tc>
        <w:tc>
          <w:tcPr>
            <w:tcW w:w="1140" w:type="dxa"/>
            <w:vAlign w:val="bottom"/>
            <w:tcBorders>
              <w:bottom w:val="single" w:sz="8" w:color="808080"/>
            </w:tcBorders>
          </w:tcPr>
          <w:p>
            <w:pPr>
              <w:spacing w:after="0"/>
              <w:rPr>
                <w:sz w:val="22"/>
                <w:szCs w:val="22"/>
                <w:color w:val="auto"/>
              </w:rPr>
            </w:pPr>
          </w:p>
        </w:tc>
        <w:tc>
          <w:tcPr>
            <w:tcW w:w="820" w:type="dxa"/>
            <w:vAlign w:val="bottom"/>
            <w:tcBorders>
              <w:bottom w:val="single" w:sz="8" w:color="808080"/>
            </w:tcBorders>
          </w:tcPr>
          <w:p>
            <w:pPr>
              <w:spacing w:after="0"/>
              <w:rPr>
                <w:sz w:val="22"/>
                <w:szCs w:val="22"/>
                <w:color w:val="auto"/>
              </w:rPr>
            </w:pPr>
          </w:p>
        </w:tc>
        <w:tc>
          <w:tcPr>
            <w:tcW w:w="1700" w:type="dxa"/>
            <w:vAlign w:val="bottom"/>
            <w:tcBorders>
              <w:bottom w:val="single" w:sz="8" w:color="808080"/>
            </w:tcBorders>
          </w:tcPr>
          <w:p>
            <w:pPr>
              <w:spacing w:after="0"/>
              <w:rPr>
                <w:sz w:val="22"/>
                <w:szCs w:val="22"/>
                <w:color w:val="auto"/>
              </w:rPr>
            </w:pPr>
          </w:p>
        </w:tc>
        <w:tc>
          <w:tcPr>
            <w:tcW w:w="340" w:type="dxa"/>
            <w:vAlign w:val="bottom"/>
            <w:tcBorders>
              <w:bottom w:val="single" w:sz="8" w:color="808080"/>
            </w:tcBorders>
          </w:tcPr>
          <w:p>
            <w:pPr>
              <w:spacing w:after="0"/>
              <w:rPr>
                <w:sz w:val="22"/>
                <w:szCs w:val="22"/>
                <w:color w:val="auto"/>
              </w:rPr>
            </w:pPr>
          </w:p>
        </w:tc>
        <w:tc>
          <w:tcPr>
            <w:tcW w:w="106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520" w:type="dxa"/>
            <w:vAlign w:val="bottom"/>
            <w:tcBorders>
              <w:bottom w:val="single" w:sz="8" w:color="808080"/>
            </w:tcBorders>
          </w:tcPr>
          <w:p>
            <w:pPr>
              <w:spacing w:after="0"/>
              <w:rPr>
                <w:sz w:val="22"/>
                <w:szCs w:val="22"/>
                <w:color w:val="auto"/>
              </w:rPr>
            </w:pPr>
          </w:p>
        </w:tc>
        <w:tc>
          <w:tcPr>
            <w:tcW w:w="860" w:type="dxa"/>
            <w:vAlign w:val="bottom"/>
            <w:tcBorders>
              <w:bottom w:val="single" w:sz="8" w:color="808080"/>
            </w:tcBorders>
          </w:tcPr>
          <w:p>
            <w:pPr>
              <w:spacing w:after="0"/>
              <w:rPr>
                <w:sz w:val="22"/>
                <w:szCs w:val="22"/>
                <w:color w:val="auto"/>
              </w:rPr>
            </w:pPr>
          </w:p>
        </w:tc>
        <w:tc>
          <w:tcPr>
            <w:tcW w:w="1080" w:type="dxa"/>
            <w:vAlign w:val="bottom"/>
            <w:tcBorders>
              <w:bottom w:val="single" w:sz="8" w:color="808080"/>
            </w:tcBorders>
          </w:tcPr>
          <w:p>
            <w:pPr>
              <w:spacing w:after="0"/>
              <w:rPr>
                <w:sz w:val="22"/>
                <w:szCs w:val="22"/>
                <w:color w:val="auto"/>
              </w:rPr>
            </w:pPr>
          </w:p>
        </w:tc>
        <w:tc>
          <w:tcPr>
            <w:tcW w:w="920" w:type="dxa"/>
            <w:vAlign w:val="bottom"/>
            <w:tcBorders>
              <w:bottom w:val="single" w:sz="8" w:color="808080"/>
            </w:tcBorders>
          </w:tcPr>
          <w:p>
            <w:pPr>
              <w:spacing w:after="0"/>
              <w:rPr>
                <w:sz w:val="22"/>
                <w:szCs w:val="22"/>
                <w:color w:val="auto"/>
              </w:rPr>
            </w:pPr>
          </w:p>
        </w:tc>
        <w:tc>
          <w:tcPr>
            <w:tcW w:w="880" w:type="dxa"/>
            <w:vAlign w:val="bottom"/>
            <w:tcBorders>
              <w:bottom w:val="single" w:sz="8" w:color="808080"/>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14" w:right="459" w:bottom="212"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6997700" cy="10521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700" cy="10521950"/>
                    </a:xfrm>
                    <a:prstGeom prst="rect">
                      <a:avLst/>
                    </a:prstGeom>
                    <a:noFill/>
                  </pic:spPr>
                </pic:pic>
              </a:graphicData>
            </a:graphic>
          </wp:anchor>
        </w:drawing>
        <w:t>Table I - Non-Derivative Securities Acquired, Disposed of, or Beneficially Owned</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38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00" w:type="dxa"/>
            <w:vAlign w:val="bottom"/>
          </w:tcPr>
          <w:p>
            <w:pPr>
              <w:ind w:left="7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2"/>
                <w:szCs w:val="12"/>
                <w:color w:val="auto"/>
              </w:rPr>
            </w:pPr>
          </w:p>
        </w:tc>
        <w:tc>
          <w:tcPr>
            <w:tcW w:w="21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8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ind w:left="72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ind w:left="72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8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24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4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color w:val="0000FF"/>
              </w:rPr>
              <w:t>06/12/2026</w:t>
            </w:r>
          </w:p>
        </w:tc>
        <w:tc>
          <w:tcPr>
            <w:tcW w:w="118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88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0000FF"/>
              </w:rPr>
              <w:t>242</w:t>
            </w:r>
          </w:p>
        </w:tc>
        <w:tc>
          <w:tcPr>
            <w:tcW w:w="15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 xml:space="preserve">D   </w:t>
            </w:r>
            <w:r>
              <w:rPr>
                <w:rFonts w:ascii="Arial" w:cs="Arial" w:eastAsia="Arial" w:hAnsi="Arial"/>
                <w:sz w:val="16"/>
                <w:szCs w:val="16"/>
                <w:color w:val="000000"/>
              </w:rPr>
              <w:t>$</w:t>
            </w:r>
            <w:r>
              <w:rPr>
                <w:rFonts w:ascii="Times New Roman" w:cs="Times New Roman" w:eastAsia="Times New Roman" w:hAnsi="Times New Roman"/>
                <w:sz w:val="16"/>
                <w:szCs w:val="16"/>
                <w:color w:val="0000FF"/>
              </w:rPr>
              <w:t>408.08</w:t>
            </w:r>
            <w:r>
              <w:rPr>
                <w:rFonts w:ascii="Times New Roman" w:cs="Times New Roman" w:eastAsia="Times New Roman" w:hAnsi="Times New Roman"/>
                <w:sz w:val="20"/>
                <w:szCs w:val="20"/>
                <w:color w:val="008000"/>
                <w:vertAlign w:val="superscript"/>
              </w:rPr>
              <w:t>(19)</w:t>
            </w:r>
          </w:p>
        </w:tc>
        <w:tc>
          <w:tcPr>
            <w:tcW w:w="102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0000FF"/>
              </w:rPr>
              <w:t>91,809</w:t>
            </w:r>
          </w:p>
        </w:tc>
        <w:tc>
          <w:tcPr>
            <w:tcW w:w="70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400" w:type="dxa"/>
            <w:vAlign w:val="bottom"/>
            <w:tcBorders>
              <w:bottom w:val="single" w:sz="8" w:color="2C2C2C"/>
            </w:tcBorders>
          </w:tcPr>
          <w:p>
            <w:pPr>
              <w:spacing w:after="0"/>
              <w:rPr>
                <w:sz w:val="23"/>
                <w:szCs w:val="23"/>
                <w:color w:val="auto"/>
              </w:rPr>
            </w:pPr>
          </w:p>
        </w:tc>
        <w:tc>
          <w:tcPr>
            <w:tcW w:w="2240" w:type="dxa"/>
            <w:vAlign w:val="bottom"/>
            <w:tcBorders>
              <w:bottom w:val="single" w:sz="8" w:color="2C2C2C"/>
            </w:tcBorders>
          </w:tcPr>
          <w:p>
            <w:pPr>
              <w:spacing w:after="0"/>
              <w:rPr>
                <w:sz w:val="23"/>
                <w:szCs w:val="23"/>
                <w:color w:val="auto"/>
              </w:rPr>
            </w:pPr>
          </w:p>
        </w:tc>
        <w:tc>
          <w:tcPr>
            <w:tcW w:w="11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50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ind w:left="24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1"/>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2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color w:val="0000FF"/>
              </w:rPr>
              <w:t>9,359</w:t>
            </w:r>
          </w:p>
        </w:tc>
        <w:tc>
          <w:tcPr>
            <w:tcW w:w="70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00"/>
        </w:trPr>
        <w:tc>
          <w:tcPr>
            <w:tcW w:w="2400" w:type="dxa"/>
            <w:vAlign w:val="bottom"/>
            <w:vMerge w:val="continue"/>
          </w:tcPr>
          <w:p>
            <w:pPr>
              <w:spacing w:after="0"/>
              <w:rPr>
                <w:sz w:val="8"/>
                <w:szCs w:val="8"/>
                <w:color w:val="auto"/>
              </w:rPr>
            </w:pPr>
          </w:p>
        </w:tc>
        <w:tc>
          <w:tcPr>
            <w:tcW w:w="2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189" w:right="359" w:bottom="0" w:gutter="0" w:footer="0" w:header="0"/>
        </w:sectPr>
      </w:pPr>
    </w:p>
    <w:p>
      <w:pPr>
        <w:ind w:left="10180"/>
        <w:spacing w:after="0" w:line="189" w:lineRule="auto"/>
        <w:rPr>
          <w:sz w:val="20"/>
          <w:szCs w:val="20"/>
          <w:color w:val="auto"/>
        </w:rPr>
      </w:pPr>
      <w:r>
        <w:rPr>
          <w:rFonts w:ascii="Times New Roman" w:cs="Times New Roman" w:eastAsia="Times New Roman" w:hAnsi="Times New Roman"/>
          <w:sz w:val="11"/>
          <w:szCs w:val="11"/>
          <w:color w:val="0000FF"/>
        </w:rPr>
        <w:t>Lake</w:t>
      </w:r>
    </w:p>
    <w:p>
      <w:pPr>
        <w:sectPr>
          <w:pgSz w:w="11900" w:h="16838" w:orient="portrait"/>
          <w:cols w:equalWidth="0" w:num="1">
            <w:col w:w="11080"/>
          </w:cols>
          <w:pgMar w:left="460" w:top="189" w:right="359" w:bottom="0" w:gutter="0" w:footer="0" w:header="0"/>
          <w:type w:val="continuous"/>
        </w:sectPr>
      </w:pPr>
    </w:p>
    <w:p>
      <w:pPr>
        <w:ind w:left="10180"/>
        <w:spacing w:after="0"/>
        <w:rPr>
          <w:sz w:val="20"/>
          <w:szCs w:val="20"/>
          <w:color w:val="auto"/>
        </w:rPr>
      </w:pPr>
      <w:r>
        <w:rPr>
          <w:rFonts w:ascii="Times New Roman" w:cs="Times New Roman" w:eastAsia="Times New Roman" w:hAnsi="Times New Roman"/>
          <w:sz w:val="16"/>
          <w:szCs w:val="16"/>
          <w:color w:val="0000FF"/>
        </w:rPr>
        <w:t>Group,</w:t>
      </w:r>
    </w:p>
    <w:p>
      <w:pPr>
        <w:spacing w:after="0" w:line="16"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(4)(5)</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480" w:type="dxa"/>
            <w:vAlign w:val="bottom"/>
            <w:gridSpan w:val="8"/>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60" w:type="dxa"/>
            <w:vAlign w:val="bottom"/>
            <w:gridSpan w:val="2"/>
            <w:vMerge w:val="restart"/>
          </w:tcPr>
          <w:p>
            <w:pPr>
              <w:jc w:val="center"/>
              <w:ind w:right="243"/>
              <w:spacing w:after="0"/>
              <w:rPr>
                <w:sz w:val="20"/>
                <w:szCs w:val="20"/>
                <w:color w:val="auto"/>
              </w:rPr>
            </w:pPr>
            <w:r>
              <w:rPr>
                <w:rFonts w:ascii="Times New Roman" w:cs="Times New Roman" w:eastAsia="Times New Roman" w:hAnsi="Times New Roman"/>
                <w:sz w:val="16"/>
                <w:szCs w:val="16"/>
                <w:color w:val="0000FF"/>
                <w:w w:val="99"/>
              </w:rPr>
              <w:t>4,845</w:t>
            </w:r>
          </w:p>
        </w:tc>
        <w:tc>
          <w:tcPr>
            <w:tcW w:w="1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74"/>
              </w:rPr>
              <w:t>I</w:t>
            </w:r>
          </w:p>
        </w:tc>
        <w:tc>
          <w:tcPr>
            <w:tcW w:w="140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80" w:type="dxa"/>
            <w:vAlign w:val="bottom"/>
            <w:gridSpan w:val="8"/>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2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8"/>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60" w:type="dxa"/>
            <w:vAlign w:val="bottom"/>
            <w:gridSpan w:val="2"/>
            <w:vMerge w:val="restart"/>
          </w:tcPr>
          <w:p>
            <w:pPr>
              <w:jc w:val="center"/>
              <w:ind w:right="243"/>
              <w:spacing w:after="0"/>
              <w:rPr>
                <w:sz w:val="20"/>
                <w:szCs w:val="20"/>
                <w:color w:val="auto"/>
              </w:rPr>
            </w:pPr>
            <w:r>
              <w:rPr>
                <w:rFonts w:ascii="Times New Roman" w:cs="Times New Roman" w:eastAsia="Times New Roman" w:hAnsi="Times New Roman"/>
                <w:sz w:val="16"/>
                <w:szCs w:val="16"/>
                <w:color w:val="0000FF"/>
                <w:w w:val="99"/>
              </w:rPr>
              <w:t>164,214</w:t>
            </w:r>
          </w:p>
        </w:tc>
        <w:tc>
          <w:tcPr>
            <w:tcW w:w="1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74"/>
              </w:rPr>
              <w:t>I</w:t>
            </w:r>
          </w:p>
        </w:tc>
        <w:tc>
          <w:tcPr>
            <w:tcW w:w="140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80" w:type="dxa"/>
            <w:vAlign w:val="bottom"/>
            <w:gridSpan w:val="8"/>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400" w:type="dxa"/>
            <w:vAlign w:val="bottom"/>
            <w:gridSpan w:val="4"/>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80" w:type="dxa"/>
            <w:vAlign w:val="bottom"/>
            <w:tcBorders>
              <w:top w:val="single" w:sz="8" w:color="2C2C2C"/>
              <w:bottom w:val="single" w:sz="8" w:color="2C2C2C"/>
            </w:tcBorders>
            <w:gridSpan w:val="8"/>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4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tcPr>
          <w:p>
            <w:pPr>
              <w:spacing w:after="0"/>
              <w:rPr>
                <w:sz w:val="24"/>
                <w:szCs w:val="24"/>
                <w:color w:val="auto"/>
              </w:rPr>
            </w:pPr>
          </w:p>
        </w:tc>
        <w:tc>
          <w:tcPr>
            <w:tcW w:w="1460" w:type="dxa"/>
            <w:vAlign w:val="bottom"/>
            <w:tcBorders>
              <w:top w:val="single" w:sz="8" w:color="2C2C2C"/>
              <w:bottom w:val="single" w:sz="8" w:color="2C2C2C"/>
            </w:tcBorders>
            <w:gridSpan w:val="2"/>
          </w:tcPr>
          <w:p>
            <w:pPr>
              <w:jc w:val="center"/>
              <w:ind w:right="243"/>
              <w:spacing w:after="0"/>
              <w:rPr>
                <w:sz w:val="20"/>
                <w:szCs w:val="20"/>
                <w:color w:val="auto"/>
              </w:rPr>
            </w:pPr>
            <w:r>
              <w:rPr>
                <w:rFonts w:ascii="Times New Roman" w:cs="Times New Roman" w:eastAsia="Times New Roman" w:hAnsi="Times New Roman"/>
                <w:sz w:val="16"/>
                <w:szCs w:val="16"/>
                <w:color w:val="0000FF"/>
                <w:w w:val="99"/>
              </w:rPr>
              <w:t>1,317,963</w:t>
            </w:r>
          </w:p>
        </w:tc>
        <w:tc>
          <w:tcPr>
            <w:tcW w:w="820" w:type="dxa"/>
            <w:vAlign w:val="bottom"/>
            <w:tcBorders>
              <w:top w:val="single" w:sz="8" w:color="2C2C2C"/>
              <w:bottom w:val="single" w:sz="8" w:color="2C2C2C"/>
            </w:tcBorders>
            <w:gridSpan w:val="2"/>
          </w:tcPr>
          <w:p>
            <w:pPr>
              <w:jc w:val="center"/>
              <w:ind w:right="471"/>
              <w:spacing w:after="0" w:line="299" w:lineRule="exact"/>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(8)</w:t>
            </w: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8"/>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60" w:type="dxa"/>
            <w:vAlign w:val="bottom"/>
            <w:gridSpan w:val="2"/>
            <w:vMerge w:val="restart"/>
          </w:tcPr>
          <w:p>
            <w:pPr>
              <w:jc w:val="center"/>
              <w:ind w:right="243"/>
              <w:spacing w:after="0"/>
              <w:rPr>
                <w:sz w:val="20"/>
                <w:szCs w:val="20"/>
                <w:color w:val="auto"/>
              </w:rPr>
            </w:pPr>
            <w:r>
              <w:rPr>
                <w:rFonts w:ascii="Times New Roman" w:cs="Times New Roman" w:eastAsia="Times New Roman" w:hAnsi="Times New Roman"/>
                <w:sz w:val="16"/>
                <w:szCs w:val="16"/>
                <w:color w:val="0000FF"/>
                <w:w w:val="99"/>
              </w:rPr>
              <w:t>47,234</w:t>
            </w:r>
          </w:p>
        </w:tc>
        <w:tc>
          <w:tcPr>
            <w:tcW w:w="1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74"/>
              </w:rPr>
              <w:t>I</w:t>
            </w:r>
          </w:p>
        </w:tc>
        <w:tc>
          <w:tcPr>
            <w:tcW w:w="140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80" w:type="dxa"/>
            <w:vAlign w:val="bottom"/>
            <w:gridSpan w:val="8"/>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2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(9)</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8"/>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60" w:type="dxa"/>
            <w:vAlign w:val="bottom"/>
            <w:gridSpan w:val="2"/>
            <w:vMerge w:val="restart"/>
          </w:tcPr>
          <w:p>
            <w:pPr>
              <w:jc w:val="center"/>
              <w:ind w:right="243"/>
              <w:spacing w:after="0"/>
              <w:rPr>
                <w:sz w:val="20"/>
                <w:szCs w:val="20"/>
                <w:color w:val="auto"/>
              </w:rPr>
            </w:pPr>
            <w:r>
              <w:rPr>
                <w:rFonts w:ascii="Times New Roman" w:cs="Times New Roman" w:eastAsia="Times New Roman" w:hAnsi="Times New Roman"/>
                <w:sz w:val="16"/>
                <w:szCs w:val="16"/>
                <w:color w:val="0000FF"/>
                <w:w w:val="99"/>
              </w:rPr>
              <w:t>120,297</w:t>
            </w:r>
          </w:p>
        </w:tc>
        <w:tc>
          <w:tcPr>
            <w:tcW w:w="1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74"/>
              </w:rPr>
              <w:t>I</w:t>
            </w:r>
          </w:p>
        </w:tc>
        <w:tc>
          <w:tcPr>
            <w:tcW w:w="140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80" w:type="dxa"/>
            <w:vAlign w:val="bottom"/>
            <w:gridSpan w:val="8"/>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400" w:type="dxa"/>
            <w:vAlign w:val="bottom"/>
            <w:gridSpan w:val="4"/>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(20)</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14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20" w:type="dxa"/>
            <w:vAlign w:val="bottom"/>
            <w:gridSpan w:val="10"/>
          </w:tcPr>
          <w:p>
            <w:pPr>
              <w:jc w:val="center"/>
              <w:ind w:right="71"/>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60" w:type="dxa"/>
            <w:vAlign w:val="bottom"/>
            <w:gridSpan w:val="9"/>
          </w:tcPr>
          <w:p>
            <w:pPr>
              <w:jc w:val="center"/>
              <w:ind w:left="454"/>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16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Form:</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Disposed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C</w:t>
            </w: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Held</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60" w:type="dxa"/>
            <w:vAlign w:val="bottom"/>
            <w:gridSpan w:val="3"/>
            <w:vMerge w:val="restart"/>
          </w:tcPr>
          <w:p>
            <w:pPr>
              <w:ind w:left="60"/>
              <w:spacing w:after="0" w:line="200"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(1)(2)</w:t>
            </w:r>
          </w:p>
        </w:tc>
        <w:tc>
          <w:tcPr>
            <w:tcW w:w="76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vMerge w:val="continue"/>
          </w:tcPr>
          <w:p>
            <w:pPr>
              <w:spacing w:after="0"/>
              <w:rPr>
                <w:sz w:val="5"/>
                <w:szCs w:val="5"/>
                <w:color w:val="auto"/>
              </w:rPr>
            </w:pPr>
          </w:p>
        </w:tc>
        <w:tc>
          <w:tcPr>
            <w:tcW w:w="860" w:type="dxa"/>
            <w:vAlign w:val="bottom"/>
            <w:vMerge w:val="restart"/>
          </w:tcPr>
          <w:p>
            <w:pPr>
              <w:jc w:val="right"/>
              <w:ind w:right="134"/>
              <w:spacing w:after="0"/>
              <w:rPr>
                <w:sz w:val="20"/>
                <w:szCs w:val="20"/>
                <w:color w:val="auto"/>
              </w:rPr>
            </w:pPr>
            <w:r>
              <w:rPr>
                <w:rFonts w:ascii="Times New Roman" w:cs="Times New Roman" w:eastAsia="Times New Roman" w:hAnsi="Times New Roman"/>
                <w:sz w:val="16"/>
                <w:szCs w:val="16"/>
                <w:color w:val="0000FF"/>
              </w:rPr>
              <w:t>50,725</w:t>
            </w: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through SL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2"/>
                <w:szCs w:val="12"/>
                <w:color w:val="0000FF"/>
              </w:rPr>
              <w:t>06/12/2026</w:t>
            </w:r>
          </w:p>
        </w:tc>
        <w:tc>
          <w:tcPr>
            <w:tcW w:w="104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50,725</w:t>
            </w: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860" w:type="dxa"/>
            <w:vAlign w:val="bottom"/>
            <w:vMerge w:val="continue"/>
          </w:tcPr>
          <w:p>
            <w:pPr>
              <w:spacing w:after="0"/>
              <w:rPr>
                <w:sz w:val="6"/>
                <w:szCs w:val="6"/>
                <w:color w:val="auto"/>
              </w:rPr>
            </w:pPr>
          </w:p>
        </w:tc>
        <w:tc>
          <w:tcPr>
            <w:tcW w:w="660" w:type="dxa"/>
            <w:vAlign w:val="bottom"/>
            <w:vMerge w:val="restart"/>
          </w:tcPr>
          <w:p>
            <w:pPr>
              <w:ind w:left="28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17,031,140</w:t>
            </w:r>
          </w:p>
        </w:tc>
        <w:tc>
          <w:tcPr>
            <w:tcW w:w="160" w:type="dxa"/>
            <w:vAlign w:val="bottom"/>
          </w:tcPr>
          <w:p>
            <w:pPr>
              <w:spacing w:after="0"/>
              <w:rPr>
                <w:sz w:val="6"/>
                <w:szCs w:val="6"/>
                <w:color w:val="auto"/>
              </w:rPr>
            </w:pP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0000FF"/>
              </w:rPr>
              <w:t>I</w:t>
            </w: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04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Borders>
              <w:right w:val="single" w:sz="8" w:color="2C2C2C"/>
            </w:tcBorders>
            <w:gridSpan w:val="3"/>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SPV-2, L.P.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0"/>
                <w:szCs w:val="10"/>
                <w:color w:val="008000"/>
              </w:rPr>
              <w:t>(3)(4)</w:t>
            </w: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C</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27,320,254</w:t>
            </w: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6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8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vMerge w:val="restart"/>
          </w:tcPr>
          <w:p>
            <w:pPr>
              <w:ind w:left="180"/>
              <w:spacing w:after="0" w:line="101" w:lineRule="exact"/>
              <w:rPr>
                <w:sz w:val="20"/>
                <w:szCs w:val="20"/>
                <w:color w:val="auto"/>
              </w:rPr>
            </w:pPr>
            <w:r>
              <w:rPr>
                <w:rFonts w:ascii="Times New Roman" w:cs="Times New Roman" w:eastAsia="Times New Roman" w:hAnsi="Times New Roman"/>
                <w:sz w:val="11"/>
                <w:szCs w:val="11"/>
                <w:color w:val="0000FF"/>
              </w:rPr>
              <w:t>27,320,254</w:t>
            </w:r>
          </w:p>
        </w:tc>
        <w:tc>
          <w:tcPr>
            <w:tcW w:w="160" w:type="dxa"/>
            <w:vAlign w:val="bottom"/>
          </w:tcPr>
          <w:p>
            <w:pPr>
              <w:spacing w:after="0"/>
              <w:rPr>
                <w:sz w:val="3"/>
                <w:szCs w:val="3"/>
                <w:color w:val="auto"/>
              </w:rPr>
            </w:pPr>
          </w:p>
        </w:tc>
        <w:tc>
          <w:tcPr>
            <w:tcW w:w="660" w:type="dxa"/>
            <w:vAlign w:val="bottom"/>
            <w:vMerge w:val="restart"/>
          </w:tcPr>
          <w:p>
            <w:pPr>
              <w:ind w:left="28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40" w:type="dxa"/>
            <w:vAlign w:val="bottom"/>
            <w:tcBorders>
              <w:right w:val="single" w:sz="8" w:color="2C2C2C"/>
            </w:tcBorders>
            <w:gridSpan w:val="3"/>
          </w:tcPr>
          <w:p>
            <w:pPr>
              <w:ind w:left="6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(21)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8"/>
          </w:tcPr>
          <w:p>
            <w:pPr>
              <w:ind w:left="60"/>
              <w:spacing w:after="0" w:line="222"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3"/>
          </w:tcPr>
          <w:p>
            <w:pPr>
              <w:spacing w:after="0" w:line="212"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SL SPV-2, L.P.</w:t>
              </w:r>
            </w:hyperlink>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tcPr>
          <w:p>
            <w:pPr>
              <w:ind w:left="420"/>
              <w:spacing w:after="0"/>
              <w:rPr>
                <w:sz w:val="20"/>
                <w:szCs w:val="20"/>
                <w:color w:val="auto"/>
              </w:rPr>
            </w:pPr>
            <w:r>
              <w:rPr>
                <w:rFonts w:ascii="Arial" w:cs="Arial" w:eastAsia="Arial" w:hAnsi="Arial"/>
                <w:sz w:val="12"/>
                <w:szCs w:val="12"/>
                <w:color w:val="auto"/>
              </w:rPr>
              <w:t>(Middle)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4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tcPr>
          <w:p>
            <w:pPr>
              <w:ind w:left="420"/>
              <w:spacing w:after="0"/>
              <w:rPr>
                <w:sz w:val="20"/>
                <w:szCs w:val="20"/>
                <w:color w:val="auto"/>
              </w:rPr>
            </w:pPr>
            <w:r>
              <w:rPr>
                <w:rFonts w:ascii="Arial" w:cs="Arial" w:eastAsia="Arial" w:hAnsi="Arial"/>
                <w:sz w:val="12"/>
                <w:szCs w:val="12"/>
                <w:color w:val="auto"/>
              </w:rPr>
              <w:t>(Zip)</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gridSpan w:val="2"/>
          </w:tcPr>
          <w:p>
            <w:pPr>
              <w:spacing w:after="0"/>
              <w:rPr>
                <w:sz w:val="6"/>
                <w:szCs w:val="6"/>
                <w:color w:val="auto"/>
              </w:rPr>
            </w:pPr>
          </w:p>
        </w:tc>
        <w:tc>
          <w:tcPr>
            <w:tcW w:w="24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6"/>
          </w:tcPr>
          <w:p>
            <w:pPr>
              <w:spacing w:after="0" w:line="212"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SLTA SPV-2, L.P.</w:t>
              </w:r>
            </w:hyperlink>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tcPr>
          <w:p>
            <w:pPr>
              <w:ind w:left="420"/>
              <w:spacing w:after="0"/>
              <w:rPr>
                <w:sz w:val="20"/>
                <w:szCs w:val="20"/>
                <w:color w:val="auto"/>
              </w:rPr>
            </w:pPr>
            <w:r>
              <w:rPr>
                <w:rFonts w:ascii="Arial" w:cs="Arial" w:eastAsia="Arial" w:hAnsi="Arial"/>
                <w:sz w:val="12"/>
                <w:szCs w:val="12"/>
                <w:color w:val="auto"/>
              </w:rPr>
              <w:t>(Middle)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4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tcPr>
          <w:p>
            <w:pPr>
              <w:ind w:left="420"/>
              <w:spacing w:after="0"/>
              <w:rPr>
                <w:sz w:val="20"/>
                <w:szCs w:val="20"/>
                <w:color w:val="auto"/>
              </w:rPr>
            </w:pPr>
            <w:r>
              <w:rPr>
                <w:rFonts w:ascii="Arial" w:cs="Arial" w:eastAsia="Arial" w:hAnsi="Arial"/>
                <w:sz w:val="12"/>
                <w:szCs w:val="12"/>
                <w:color w:val="auto"/>
              </w:rPr>
              <w:t>(Zip)</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200" w:type="dxa"/>
            <w:vAlign w:val="bottom"/>
            <w:tcBorders>
              <w:bottom w:val="single" w:sz="8" w:color="2C2C2C"/>
            </w:tcBorders>
            <w:gridSpan w:val="2"/>
          </w:tcPr>
          <w:p>
            <w:pPr>
              <w:spacing w:after="0"/>
              <w:rPr>
                <w:sz w:val="6"/>
                <w:szCs w:val="6"/>
                <w:color w:val="auto"/>
              </w:rPr>
            </w:pPr>
          </w:p>
        </w:tc>
        <w:tc>
          <w:tcPr>
            <w:tcW w:w="24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6"/>
          </w:tcPr>
          <w:p>
            <w:pPr>
              <w:spacing w:after="0" w:line="212"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SLTA SPV-2 (GP), L.L.C.</w:t>
              </w:r>
            </w:hyperlink>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tcPr>
          <w:p>
            <w:pPr>
              <w:ind w:left="420"/>
              <w:spacing w:after="0"/>
              <w:rPr>
                <w:sz w:val="20"/>
                <w:szCs w:val="20"/>
                <w:color w:val="auto"/>
              </w:rPr>
            </w:pPr>
            <w:r>
              <w:rPr>
                <w:rFonts w:ascii="Arial" w:cs="Arial" w:eastAsia="Arial" w:hAnsi="Arial"/>
                <w:sz w:val="12"/>
                <w:szCs w:val="12"/>
                <w:color w:val="auto"/>
              </w:rPr>
              <w:t>(Middle)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-6170295</wp:posOffset>
            </wp:positionV>
            <wp:extent cx="28575" cy="2219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575" cy="2219960"/>
                    </a:xfrm>
                    <a:prstGeom prst="rect">
                      <a:avLst/>
                    </a:prstGeom>
                    <a:noFill/>
                  </pic:spPr>
                </pic:pic>
              </a:graphicData>
            </a:graphic>
          </wp:anchor>
        </w:drawing>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SILVER LAKE</w:t>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2775 SAND HILL ROAD, SUITE 100</w:t>
      </w:r>
    </w:p>
    <w:p>
      <w:pPr>
        <w:sectPr>
          <w:pgSz w:w="11900" w:h="16838" w:orient="portrait"/>
          <w:cols w:equalWidth="0" w:num="1">
            <w:col w:w="11080"/>
          </w:cols>
          <w:pgMar w:left="460" w:top="189" w:right="3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4"/>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gridSpan w:val="2"/>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7"/>
        </w:trPr>
        <w:tc>
          <w:tcPr>
            <w:tcW w:w="27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gridSpan w:val="4"/>
          </w:tcPr>
          <w:p>
            <w:pPr>
              <w:spacing w:after="0" w:line="212"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Silver Lake Group, L.L.C.</w:t>
              </w:r>
            </w:hyperlink>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7"/>
        </w:trPr>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gridSpan w:val="2"/>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7"/>
        </w:trPr>
        <w:tc>
          <w:tcPr>
            <w:tcW w:w="27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2"/>
          </w:tcPr>
          <w:p>
            <w:pPr>
              <w:spacing w:after="0" w:line="212"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Durban Egon</w:t>
              </w:r>
            </w:hyperlink>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-3867785</wp:posOffset>
            </wp:positionV>
            <wp:extent cx="2814320" cy="3942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2814320" cy="3942715"/>
                    </a:xfrm>
                    <a:prstGeom prst="rect">
                      <a:avLst/>
                    </a:prstGeom>
                    <a:noFill/>
                  </pic:spPr>
                </pic:pic>
              </a:graphicData>
            </a:graphic>
          </wp:anchor>
        </w:drawing>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20" w:hanging="3"/>
        <w:spacing w:after="0" w:line="282"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12, 2026.</w:t>
      </w:r>
    </w:p>
    <w:p>
      <w:pPr>
        <w:ind w:left="20" w:right="220" w:hanging="3"/>
        <w:spacing w:after="0" w:line="260"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 On June 12, 2026, certain of the Reporting Persons converted shares of Class B Common Stock into an equal number of shares of Class C Common Stock in connection with the sales described in footnote (1) above.</w:t>
      </w:r>
    </w:p>
    <w:p>
      <w:pPr>
        <w:spacing w:after="0" w:line="13"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directly held by SL SPV-2, L.P. The general partner of SL SPV-2, L.P. is SLTA SPV-2, L.P. and the general partner of SLTA SPV-2, L.P. is SLTA SPV-2 (GP), L.L.C.</w:t>
      </w:r>
    </w:p>
    <w:p>
      <w:pPr>
        <w:spacing w:after="0" w:line="49" w:lineRule="exact"/>
        <w:rPr>
          <w:rFonts w:ascii="Times New Roman" w:cs="Times New Roman" w:eastAsia="Times New Roman" w:hAnsi="Times New Roman"/>
          <w:sz w:val="12"/>
          <w:szCs w:val="12"/>
          <w:color w:val="008000"/>
        </w:rPr>
      </w:pPr>
    </w:p>
    <w:p>
      <w:pPr>
        <w:ind w:left="20" w:right="80" w:hanging="3"/>
        <w:spacing w:after="0" w:line="282"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Group, L.L.C. ("SLG") is the managing member of SLTA SPV-2 (GP), L.L.C. Egon Durban, who serves as a director of the Issuer, also serves as a Co-CEO and Managing Member of SLG. Each of the Reporting Persons may be deemed a director by deputization of the Issuer.</w:t>
      </w: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shares of Class C Common Stock held by SLG.</w:t>
      </w:r>
    </w:p>
    <w:p>
      <w:pPr>
        <w:spacing w:after="0" w:line="49"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of Class C Common Stock are held by entities in which Mr. Durban may be deemed to have an indirect pecuniary interest.</w:t>
      </w:r>
    </w:p>
    <w:p>
      <w:pPr>
        <w:spacing w:after="0" w:line="49" w:lineRule="exact"/>
        <w:rPr>
          <w:rFonts w:ascii="Times New Roman" w:cs="Times New Roman" w:eastAsia="Times New Roman" w:hAnsi="Times New Roman"/>
          <w:sz w:val="12"/>
          <w:szCs w:val="12"/>
          <w:color w:val="008000"/>
        </w:rPr>
      </w:pPr>
    </w:p>
    <w:p>
      <w:pPr>
        <w:ind w:left="20" w:right="140" w:hanging="3"/>
        <w:spacing w:after="0" w:line="282"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amount reflects 24,563, 24,932, 114,663 and 56 shares held by SLTA SPV-2, L.P., Silver Lake Technology Associates V, L.P., SLG and Silver Lake Secondary Holdings L.P., respectively, on behalf of certain employees and managing members of SLG or its affiliates.</w:t>
      </w: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held directly by Mr. Durban.</w:t>
      </w:r>
    </w:p>
    <w:p>
      <w:pPr>
        <w:spacing w:after="0" w:line="49"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beneficially owned indirectly by Mr. Durban through a trust for the benefit of certain family members.</w:t>
      </w:r>
    </w:p>
    <w:p>
      <w:pPr>
        <w:spacing w:after="0" w:line="49" w:lineRule="exact"/>
        <w:rPr>
          <w:rFonts w:ascii="Times New Roman" w:cs="Times New Roman" w:eastAsia="Times New Roman" w:hAnsi="Times New Roman"/>
          <w:sz w:val="12"/>
          <w:szCs w:val="12"/>
          <w:color w:val="008000"/>
        </w:rPr>
      </w:pPr>
    </w:p>
    <w:p>
      <w:pPr>
        <w:ind w:left="20" w:right="2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$398.9913 to $399.9800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40" w:hanging="3"/>
        <w:spacing w:after="0" w:line="282" w:lineRule="auto"/>
        <w:tabs>
          <w:tab w:leader="none" w:pos="20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$400.0000 to $400.9946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$401.0000 to $401.9900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$402.0000 to $402.9999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$403.0000 to $403.9900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$404.0047 to $404.9892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$405.0000 to $405.9941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$406.0000 to $406.9985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$407.0000 to $407.9900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2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$408.0000 to $408.2463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120" w:hanging="3"/>
        <w:spacing w:after="0" w:line="260"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described in footnote (1), Silver Lake Partners IV, L.P. directly holds 69,916 shares of Class C Common Stock, Silver Lake Partners V DE (AIV), L.P. directly holds 50,381 shares of Class C Common Stock, Silver Lake Technology Investors IV, L.P. directly holds 0 shares of Class C Common Stock, and Silver Lake Technology Investors V, L.P. directly holds 0 shares of Class C Common Stock, which securities and transactions are reported on separate Form 4 filings.</w:t>
      </w:r>
    </w:p>
    <w:p>
      <w:pPr>
        <w:spacing w:after="0" w:line="13" w:lineRule="exact"/>
        <w:rPr>
          <w:rFonts w:ascii="Times New Roman" w:cs="Times New Roman" w:eastAsia="Times New Roman" w:hAnsi="Times New Roman"/>
          <w:sz w:val="12"/>
          <w:szCs w:val="12"/>
          <w:color w:val="008000"/>
        </w:rPr>
      </w:pPr>
    </w:p>
    <w:p>
      <w:pPr>
        <w:ind w:left="20" w:hanging="3"/>
        <w:spacing w:after="0" w:line="260"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described in footnote (1), Silver Lake Partners IV, L.P. directly holds 17,483,318 shares of Class B Common Stock, Silver Lake Partners V DE (AIV), L.P. directly holds 9,463,699 shares of Class B Common Stock, Silver Lake Technology Investors IV, L.P. directly holds 257,237 shares of Class B Common Stock and Silver Lake Technology Investors V, L.P. directly holds 116,000 shares of Class B Common Stock, which securities are reported on separate Form 4 filings.</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53" w:lineRule="exact"/>
        <w:rPr>
          <w:sz w:val="20"/>
          <w:szCs w:val="20"/>
          <w:color w:val="auto"/>
        </w:rPr>
      </w:pPr>
    </w:p>
    <w:p>
      <w:pPr>
        <w:ind w:left="20" w:right="20"/>
        <w:spacing w:after="0" w:line="253" w:lineRule="auto"/>
        <w:rPr>
          <w:sz w:val="20"/>
          <w:szCs w:val="20"/>
          <w:color w:val="auto"/>
        </w:rPr>
      </w:pPr>
      <w:r>
        <w:rPr>
          <w:rFonts w:ascii="Times New Roman" w:cs="Times New Roman" w:eastAsia="Times New Roman" w:hAnsi="Times New Roman"/>
          <w:sz w:val="12"/>
          <w:szCs w:val="12"/>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p>
      <w:pPr>
        <w:sectPr>
          <w:pgSz w:w="11900" w:h="16838" w:orient="portrait"/>
          <w:cols w:equalWidth="0" w:num="1">
            <w:col w:w="10860"/>
          </w:cols>
          <w:pgMar w:left="480" w:top="128" w:right="559" w:bottom="0" w:gutter="0" w:footer="0" w:header="0"/>
        </w:sectPr>
      </w:pPr>
    </w:p>
    <w:p>
      <w:pPr>
        <w:spacing w:after="0" w:line="4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-5080</wp:posOffset>
            </wp:positionV>
            <wp:extent cx="100139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21539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17030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04394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member of SLTA SPV-2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2573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5730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L.L.C., general partner of SLTA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-4445</wp:posOffset>
            </wp:positionV>
            <wp:extent cx="13208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320800"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SPV-2, L.P.,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26047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6047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SL SPV-2,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62293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622935" cy="7620"/>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-5080</wp:posOffset>
            </wp:positionV>
            <wp:extent cx="100139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21539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17030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04394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member of SLTA SPV-2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2573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25730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ectPr>
          <w:pgSz w:w="11900" w:h="16838" w:orient="portrait"/>
          <w:cols w:equalWidth="0" w:num="2">
            <w:col w:w="8660" w:space="120"/>
            <w:col w:w="2080"/>
          </w:cols>
          <w:pgMar w:left="480" w:top="128" w:right="559" w:bottom="0" w:gutter="0" w:footer="0" w:header="0"/>
          <w:type w:val="continuous"/>
        </w:sectPr>
      </w:pPr>
    </w:p>
    <w:bookmarkStart w:id="3" w:name="page4"/>
    <w:bookmarkEnd w:id="3"/>
    <w:p>
      <w:pPr>
        <w:ind w:left="6563"/>
        <w:spacing w:after="0"/>
        <w:rPr>
          <w:sz w:val="20"/>
          <w:szCs w:val="20"/>
          <w:color w:val="auto"/>
        </w:rPr>
      </w:pPr>
      <w:r>
        <w:rPr>
          <w:rFonts w:ascii="Times New Roman" w:cs="Times New Roman" w:eastAsia="Times New Roman" w:hAnsi="Times New Roman"/>
          <w:sz w:val="15"/>
          <w:szCs w:val="15"/>
          <w:color w:val="0000FF"/>
        </w:rPr>
        <w:t>L.L.C., general partner of SLTA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1905</wp:posOffset>
            </wp:positionV>
            <wp:extent cx="13208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320800" cy="7620"/>
                    </a:xfrm>
                    <a:prstGeom prst="rect">
                      <a:avLst/>
                    </a:prstGeom>
                    <a:noFill/>
                  </pic:spPr>
                </pic:pic>
              </a:graphicData>
            </a:graphic>
          </wp:anchor>
        </w:drawing>
      </w:r>
    </w:p>
    <w:p>
      <w:pPr>
        <w:spacing w:after="0" w:line="18"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SPV-2,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47688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476885"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4394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member of SLTA SPV-2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573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25730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27178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27178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58674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8674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Attorney-in-fact for Egon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579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05791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3086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30861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9" w:lineRule="exact"/>
        <w:rPr>
          <w:sz w:val="20"/>
          <w:szCs w:val="20"/>
          <w:color w:val="auto"/>
        </w:rPr>
      </w:pPr>
    </w:p>
    <w:p>
      <w:pPr>
        <w:sectPr>
          <w:pgSz w:w="11900" w:h="16838" w:orient="portrait"/>
          <w:cols w:equalWidth="0" w:num="2">
            <w:col w:w="8643" w:space="120"/>
            <w:col w:w="1199"/>
          </w:cols>
          <w:pgMar w:left="497" w:top="127" w:right="1440" w:bottom="1440" w:gutter="0" w:footer="0" w:header="0"/>
        </w:sect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759" w:hanging="3"/>
        <w:spacing w:after="0" w:line="325"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9"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13" Type="http://schemas.openxmlformats.org/officeDocument/2006/relationships/hyperlink" Target="http://www.sec.gov/cgi-bin/browse-edgar?action=getcompany&amp;CIK=0001767114" TargetMode="External"/><Relationship Id="rId14" Type="http://schemas.openxmlformats.org/officeDocument/2006/relationships/hyperlink" Target="http://www.sec.gov/cgi-bin/browse-edgar?action=getcompany&amp;CIK=0001571996" TargetMode="External"/><Relationship Id="rId17" Type="http://schemas.openxmlformats.org/officeDocument/2006/relationships/hyperlink" Target="http://www.sec.gov/cgi-bin/browse-edgar?action=getcompany&amp;CIK=0001767115" TargetMode="External"/><Relationship Id="rId18" Type="http://schemas.openxmlformats.org/officeDocument/2006/relationships/hyperlink" Target="http://www.sec.gov/cgi-bin/browse-edgar?action=getcompany&amp;CIK=0001767116" TargetMode="External"/><Relationship Id="rId20" Type="http://schemas.openxmlformats.org/officeDocument/2006/relationships/hyperlink" Target="http://www.sec.gov/cgi-bin/browse-edgar?action=getcompany&amp;CIK=0001418226" TargetMode="External"/><Relationship Id="rId21"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2026-06-16T15:53:08Z</dcterms:created>
  <dcterms:modified xsi:type="dcterms:W3CDTF">2026-06-16T15:53:08Z</dcterms:modified>
</cp:coreProperties>
</file>