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6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 Lake Partners V DE (AIV), L.P.</w:t>
              </w:r>
            </w:hyperlink>
          </w:p>
        </w:tc>
        <w:tc>
          <w:tcPr>
            <w:tcW w:w="80" w:type="dxa"/>
            <w:vAlign w:val="bottom"/>
          </w:tcPr>
          <w:p>
            <w:pPr>
              <w:spacing w:after="0"/>
              <w:rPr>
                <w:sz w:val="9"/>
                <w:szCs w:val="9"/>
                <w:color w:val="auto"/>
              </w:rPr>
            </w:pPr>
          </w:p>
        </w:tc>
        <w:tc>
          <w:tcPr>
            <w:tcW w:w="2860" w:type="dxa"/>
            <w:vAlign w:val="bottom"/>
            <w:gridSpan w:val="4"/>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Dell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DELL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6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1740" w:type="dxa"/>
            <w:vAlign w:val="bottom"/>
            <w:gridSpan w:val="3"/>
            <w:vMerge w:val="restart"/>
          </w:tcPr>
          <w:p>
            <w:pPr>
              <w:ind w:left="5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42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3"/>
            <w:vMerge w:val="restart"/>
          </w:tcPr>
          <w:p>
            <w:pPr>
              <w:ind w:left="5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4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400"/>
              <w:spacing w:after="0"/>
              <w:rPr>
                <w:sz w:val="20"/>
                <w:szCs w:val="20"/>
                <w:color w:val="auto"/>
              </w:rPr>
            </w:pPr>
            <w:r>
              <w:rPr>
                <w:rFonts w:ascii="Arial" w:cs="Arial" w:eastAsia="Arial" w:hAnsi="Arial"/>
                <w:sz w:val="13"/>
                <w:szCs w:val="13"/>
                <w:color w:val="auto"/>
              </w:rPr>
              <w:t>(First)</w:t>
            </w:r>
          </w:p>
        </w:tc>
        <w:tc>
          <w:tcPr>
            <w:tcW w:w="1840" w:type="dxa"/>
            <w:vAlign w:val="bottom"/>
            <w:gridSpan w:val="3"/>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6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ind w:left="180"/>
              <w:spacing w:after="0"/>
              <w:rPr>
                <w:sz w:val="20"/>
                <w:szCs w:val="20"/>
                <w:color w:val="auto"/>
              </w:rPr>
            </w:pPr>
            <w:r>
              <w:rPr>
                <w:rFonts w:ascii="Arial" w:cs="Arial" w:eastAsia="Arial" w:hAnsi="Arial"/>
                <w:sz w:val="13"/>
                <w:szCs w:val="13"/>
                <w:color w:val="auto"/>
              </w:rPr>
              <w:t>below)</w:t>
            </w:r>
          </w:p>
        </w:tc>
        <w:tc>
          <w:tcPr>
            <w:tcW w:w="1740" w:type="dxa"/>
            <w:vAlign w:val="bottom"/>
            <w:gridSpan w:val="3"/>
          </w:tcPr>
          <w:p>
            <w:pPr>
              <w:ind w:left="5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06/09/2026</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6"/>
            <w:vMerge w:val="continue"/>
          </w:tcPr>
          <w:p>
            <w:pPr>
              <w:spacing w:after="0"/>
              <w:rPr>
                <w:sz w:val="9"/>
                <w:szCs w:val="9"/>
                <w:color w:val="auto"/>
              </w:rPr>
            </w:pPr>
          </w:p>
        </w:tc>
        <w:tc>
          <w:tcPr>
            <w:tcW w:w="33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42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vMerge w:val="restart"/>
          </w:tcPr>
          <w:p>
            <w:pPr>
              <w:ind w:left="8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29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420" w:type="dxa"/>
            <w:vAlign w:val="bottom"/>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00" w:type="dxa"/>
            <w:vAlign w:val="bottom"/>
            <w:gridSpan w:val="4"/>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ind w:left="180"/>
              <w:spacing w:after="0"/>
              <w:rPr>
                <w:sz w:val="20"/>
                <w:szCs w:val="20"/>
                <w:color w:val="auto"/>
              </w:rPr>
            </w:pPr>
            <w:r>
              <w:rPr>
                <w:rFonts w:ascii="Arial" w:cs="Arial" w:eastAsia="Arial" w:hAnsi="Arial"/>
                <w:sz w:val="13"/>
                <w:szCs w:val="13"/>
                <w:color w:val="auto"/>
              </w:rPr>
              <w:t>Person</w:t>
            </w: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400"/>
              <w:spacing w:after="0"/>
              <w:rPr>
                <w:sz w:val="20"/>
                <w:szCs w:val="20"/>
                <w:color w:val="auto"/>
              </w:rPr>
            </w:pPr>
            <w:r>
              <w:rPr>
                <w:rFonts w:ascii="Arial" w:cs="Arial" w:eastAsia="Arial" w:hAnsi="Arial"/>
                <w:sz w:val="13"/>
                <w:szCs w:val="13"/>
                <w:color w:val="auto"/>
              </w:rPr>
              <w:t>(State)</w:t>
            </w:r>
          </w:p>
        </w:tc>
        <w:tc>
          <w:tcPr>
            <w:tcW w:w="1840" w:type="dxa"/>
            <w:vAlign w:val="bottom"/>
            <w:gridSpan w:val="3"/>
          </w:tcPr>
          <w:p>
            <w:pPr>
              <w:ind w:left="5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920" w:type="dxa"/>
            <w:vAlign w:val="bottom"/>
            <w:tcBorders>
              <w:bottom w:val="single" w:sz="8" w:color="2C2C2C"/>
            </w:tcBorders>
            <w:gridSpan w:val="2"/>
          </w:tcPr>
          <w:p>
            <w:pPr>
              <w:spacing w:after="0"/>
              <w:rPr>
                <w:sz w:val="10"/>
                <w:szCs w:val="10"/>
                <w:color w:val="auto"/>
              </w:rPr>
            </w:pPr>
          </w:p>
        </w:tc>
        <w:tc>
          <w:tcPr>
            <w:tcW w:w="3400" w:type="dxa"/>
            <w:vAlign w:val="bottom"/>
            <w:tcBorders>
              <w:bottom w:val="single" w:sz="8" w:color="2C2C2C"/>
            </w:tcBorders>
            <w:gridSpan w:val="6"/>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2"/>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9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00" w:type="dxa"/>
            <w:vAlign w:val="bottom"/>
          </w:tcPr>
          <w:p>
            <w:pPr>
              <w:ind w:left="160"/>
              <w:spacing w:after="0"/>
              <w:rPr>
                <w:sz w:val="20"/>
                <w:szCs w:val="20"/>
                <w:color w:val="auto"/>
              </w:rPr>
            </w:pPr>
            <w:r>
              <w:rPr>
                <w:rFonts w:ascii="Arial" w:cs="Arial" w:eastAsia="Arial" w:hAnsi="Arial"/>
                <w:sz w:val="12"/>
                <w:szCs w:val="12"/>
                <w:b w:val="1"/>
                <w:bCs w:val="1"/>
                <w:color w:val="auto"/>
              </w:rPr>
              <w:t>2A. Deemed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2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jc w:val="center"/>
              <w:ind w:right="73"/>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20" w:type="dxa"/>
            <w:vAlign w:val="bottom"/>
            <w:gridSpan w:val="5"/>
          </w:tcPr>
          <w:p>
            <w:pPr>
              <w:ind w:left="9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ind w:right="2"/>
              <w:spacing w:after="0"/>
              <w:rPr>
                <w:sz w:val="20"/>
                <w:szCs w:val="20"/>
                <w:color w:val="auto"/>
              </w:rPr>
            </w:pPr>
            <w:r>
              <w:rPr>
                <w:rFonts w:ascii="Arial" w:cs="Arial" w:eastAsia="Arial" w:hAnsi="Arial"/>
                <w:sz w:val="12"/>
                <w:szCs w:val="12"/>
                <w:b w:val="1"/>
                <w:bCs w:val="1"/>
                <w:color w:val="auto"/>
                <w:w w:val="99"/>
              </w:rPr>
              <w:t>(A) or</w:t>
            </w:r>
          </w:p>
        </w:tc>
        <w:tc>
          <w:tcPr>
            <w:tcW w:w="48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11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jc w:val="right"/>
              <w:ind w:right="245"/>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420" w:type="dxa"/>
            <w:vAlign w:val="bottom"/>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14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4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8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0000FF"/>
              </w:rPr>
              <w:t>06/09/2026</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730</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403.51</w:t>
            </w:r>
            <w:r>
              <w:rPr>
                <w:rFonts w:ascii="Times New Roman" w:cs="Times New Roman" w:eastAsia="Times New Roman" w:hAnsi="Times New Roman"/>
                <w:sz w:val="22"/>
                <w:szCs w:val="22"/>
                <w:color w:val="008000"/>
                <w:w w:val="94"/>
                <w:vertAlign w:val="superscript"/>
              </w:rPr>
              <w:t>(10)</w:t>
            </w:r>
          </w:p>
        </w:tc>
        <w:tc>
          <w:tcPr>
            <w:tcW w:w="11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73,062</w:t>
            </w:r>
          </w:p>
        </w:tc>
        <w:tc>
          <w:tcPr>
            <w:tcW w:w="86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 DE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(AIV),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0000FF"/>
              </w:rPr>
              <w:t>06/09/2026</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576</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404.39</w:t>
            </w:r>
            <w:r>
              <w:rPr>
                <w:rFonts w:ascii="Times New Roman" w:cs="Times New Roman" w:eastAsia="Times New Roman" w:hAnsi="Times New Roman"/>
                <w:sz w:val="22"/>
                <w:szCs w:val="22"/>
                <w:color w:val="008000"/>
                <w:w w:val="94"/>
                <w:vertAlign w:val="superscript"/>
              </w:rPr>
              <w:t>(11)</w:t>
            </w:r>
          </w:p>
        </w:tc>
        <w:tc>
          <w:tcPr>
            <w:tcW w:w="11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72,487</w:t>
            </w:r>
          </w:p>
        </w:tc>
        <w:tc>
          <w:tcPr>
            <w:tcW w:w="86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 DE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(AIV),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0000FF"/>
              </w:rPr>
              <w:t>06/09/2026</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614</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405.64</w:t>
            </w:r>
            <w:r>
              <w:rPr>
                <w:rFonts w:ascii="Times New Roman" w:cs="Times New Roman" w:eastAsia="Times New Roman" w:hAnsi="Times New Roman"/>
                <w:sz w:val="22"/>
                <w:szCs w:val="22"/>
                <w:color w:val="008000"/>
                <w:w w:val="94"/>
                <w:vertAlign w:val="superscript"/>
              </w:rPr>
              <w:t>(12)</w:t>
            </w:r>
          </w:p>
        </w:tc>
        <w:tc>
          <w:tcPr>
            <w:tcW w:w="11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71,872</w:t>
            </w:r>
          </w:p>
        </w:tc>
        <w:tc>
          <w:tcPr>
            <w:tcW w:w="86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 DE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(AIV),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06/09/2026</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gridSpan w:val="2"/>
          </w:tcPr>
          <w:p>
            <w:pPr>
              <w:ind w:left="80"/>
              <w:spacing w:after="0" w:line="233" w:lineRule="exact"/>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Pr>
          <w:p>
            <w:pPr>
              <w:jc w:val="right"/>
              <w:ind w:right="245"/>
              <w:spacing w:after="0"/>
              <w:rPr>
                <w:sz w:val="20"/>
                <w:szCs w:val="20"/>
                <w:color w:val="auto"/>
              </w:rPr>
            </w:pPr>
            <w:r>
              <w:rPr>
                <w:rFonts w:ascii="Times New Roman" w:cs="Times New Roman" w:eastAsia="Times New Roman" w:hAnsi="Times New Roman"/>
                <w:sz w:val="17"/>
                <w:szCs w:val="17"/>
                <w:color w:val="0000FF"/>
              </w:rPr>
              <w:t>263</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tcPr>
          <w:p>
            <w:pPr>
              <w:jc w:val="center"/>
              <w:spacing w:after="0" w:line="23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406.3</w:t>
            </w:r>
            <w:r>
              <w:rPr>
                <w:rFonts w:ascii="Times New Roman" w:cs="Times New Roman" w:eastAsia="Times New Roman" w:hAnsi="Times New Roman"/>
                <w:sz w:val="22"/>
                <w:szCs w:val="22"/>
                <w:color w:val="008000"/>
                <w:w w:val="94"/>
                <w:vertAlign w:val="superscript"/>
              </w:rPr>
              <w:t>(13)</w:t>
            </w:r>
          </w:p>
        </w:tc>
        <w:tc>
          <w:tcPr>
            <w:tcW w:w="11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71,609</w:t>
            </w:r>
          </w:p>
        </w:tc>
        <w:tc>
          <w:tcPr>
            <w:tcW w:w="8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bl>
    <w:p>
      <w:pPr>
        <w:ind w:left="10180"/>
        <w:spacing w:after="0"/>
        <w:rPr>
          <w:sz w:val="20"/>
          <w:szCs w:val="20"/>
          <w:color w:val="auto"/>
        </w:rPr>
      </w:pPr>
      <w:r>
        <w:rPr>
          <w:rFonts w:ascii="Times New Roman" w:cs="Times New Roman" w:eastAsia="Times New Roman" w:hAnsi="Times New Roman"/>
          <w:sz w:val="17"/>
          <w:szCs w:val="17"/>
          <w:color w:val="0000FF"/>
        </w:rPr>
        <w:t>Partners</w:t>
      </w:r>
    </w:p>
    <w:p>
      <w:pPr>
        <w:spacing w:after="0" w:line="11"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V DE</w:t>
      </w:r>
    </w:p>
    <w:p>
      <w:pPr>
        <w:spacing w:after="0" w:line="18"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(AIV),</w:t>
      </w:r>
    </w:p>
    <w:p>
      <w:pPr>
        <w:ind w:left="10180"/>
        <w:spacing w:after="0" w:line="185" w:lineRule="auto"/>
        <w:rPr>
          <w:sz w:val="20"/>
          <w:szCs w:val="20"/>
          <w:color w:val="auto"/>
        </w:rPr>
      </w:pPr>
      <w:r>
        <w:rPr>
          <w:rFonts w:ascii="Times New Roman" w:cs="Times New Roman" w:eastAsia="Times New Roman" w:hAnsi="Times New Roman"/>
          <w:sz w:val="26"/>
          <w:szCs w:val="26"/>
          <w:color w:val="0000FF"/>
          <w:vertAlign w:val="subscript"/>
        </w:rPr>
        <w:t>L.P.</w:t>
      </w:r>
      <w:r>
        <w:rPr>
          <w:rFonts w:ascii="Times New Roman" w:cs="Times New Roman" w:eastAsia="Times New Roman" w:hAnsi="Times New Roman"/>
          <w:sz w:val="10"/>
          <w:szCs w:val="10"/>
          <w:color w:val="008000"/>
        </w:rPr>
        <w:t>(3)(4)</w:t>
      </w:r>
    </w:p>
    <w:p>
      <w:pPr>
        <w:sectPr>
          <w:pgSz w:w="11900" w:h="16838" w:orient="portrait"/>
          <w:cols w:equalWidth="0" w:num="1">
            <w:col w:w="10980"/>
          </w:cols>
          <w:pgMar w:left="460" w:top="219" w:right="459" w:bottom="1440" w:gutter="0" w:footer="0" w:header="0"/>
          <w:type w:val="continuous"/>
        </w:sectPr>
      </w:pPr>
    </w:p>
    <w:bookmarkStart w:id="1" w:name="page2"/>
    <w:bookmarkEnd w:id="1"/>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90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900" w:type="dxa"/>
            <w:vAlign w:val="bottom"/>
          </w:tcPr>
          <w:p>
            <w:pPr>
              <w:jc w:val="right"/>
              <w:ind w:right="482"/>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4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226"/>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4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06/09/2026</w:t>
            </w:r>
          </w:p>
        </w:tc>
        <w:tc>
          <w:tcPr>
            <w:tcW w:w="1120" w:type="dxa"/>
            <w:vAlign w:val="bottom"/>
          </w:tcPr>
          <w:p>
            <w:pPr>
              <w:spacing w:after="0"/>
              <w:rPr>
                <w:sz w:val="19"/>
                <w:szCs w:val="19"/>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66,287</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right"/>
              <w:ind w:right="322"/>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5,322</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124"/>
        </w:trPr>
        <w:tc>
          <w:tcPr>
            <w:tcW w:w="234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85" w:orient="portrait"/>
          <w:cols w:equalWidth="0" w:num="1">
            <w:col w:w="11080"/>
          </w:cols>
          <w:pgMar w:left="460" w:top="191" w:right="359" w:bottom="0" w:gutter="0" w:footer="0" w:header="0"/>
        </w:sectPr>
      </w:pPr>
    </w:p>
    <w:p>
      <w:pPr>
        <w:ind w:left="10180"/>
        <w:spacing w:after="0" w:line="185" w:lineRule="auto"/>
        <w:rPr>
          <w:sz w:val="20"/>
          <w:szCs w:val="20"/>
          <w:color w:val="auto"/>
        </w:rPr>
      </w:pPr>
      <w:r>
        <w:rPr>
          <w:rFonts w:ascii="Times New Roman" w:cs="Times New Roman" w:eastAsia="Times New Roman" w:hAnsi="Times New Roman"/>
          <w:sz w:val="10"/>
          <w:szCs w:val="10"/>
          <w:color w:val="0000FF"/>
        </w:rPr>
        <w:t>Partners</w:t>
      </w:r>
    </w:p>
    <w:p>
      <w:pPr>
        <w:sectPr>
          <w:pgSz w:w="11900" w:h="16885" w:orient="portrait"/>
          <w:cols w:equalWidth="0" w:num="1">
            <w:col w:w="11080"/>
          </w:cols>
          <w:pgMar w:left="460" w:top="191" w:right="359" w:bottom="0" w:gutter="0" w:footer="0" w:header="0"/>
          <w:type w:val="continuous"/>
        </w:sectPr>
      </w:pPr>
    </w:p>
    <w:p>
      <w:pPr>
        <w:ind w:left="10180"/>
        <w:spacing w:after="0"/>
        <w:rPr>
          <w:sz w:val="20"/>
          <w:szCs w:val="20"/>
          <w:color w:val="auto"/>
        </w:rPr>
      </w:pPr>
      <w:r>
        <w:rPr>
          <w:rFonts w:ascii="Times New Roman" w:cs="Times New Roman" w:eastAsia="Times New Roman" w:hAnsi="Times New Roman"/>
          <w:sz w:val="17"/>
          <w:szCs w:val="17"/>
          <w:color w:val="0000FF"/>
        </w:rPr>
        <w:t>V DE</w:t>
      </w:r>
    </w:p>
    <w:p>
      <w:pPr>
        <w:spacing w:after="0" w:line="18"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(AIV),</w:t>
      </w:r>
    </w:p>
    <w:p>
      <w:pPr>
        <w:ind w:left="10180"/>
        <w:spacing w:after="0" w:line="185" w:lineRule="auto"/>
        <w:rPr>
          <w:sz w:val="20"/>
          <w:szCs w:val="20"/>
          <w:color w:val="auto"/>
        </w:rPr>
      </w:pPr>
      <w:r>
        <w:rPr>
          <w:rFonts w:ascii="Times New Roman" w:cs="Times New Roman" w:eastAsia="Times New Roman" w:hAnsi="Times New Roman"/>
          <w:sz w:val="26"/>
          <w:szCs w:val="26"/>
          <w:color w:val="0000FF"/>
          <w:vertAlign w:val="subscript"/>
        </w:rPr>
        <w:t>L.P.</w:t>
      </w:r>
      <w:r>
        <w:rPr>
          <w:rFonts w:ascii="Times New Roman" w:cs="Times New Roman" w:eastAsia="Times New Roman" w:hAnsi="Times New Roman"/>
          <w:sz w:val="10"/>
          <w:szCs w:val="10"/>
          <w:color w:val="008000"/>
        </w:rPr>
        <w:t>(3)(4)</w:t>
      </w:r>
    </w:p>
    <w:p>
      <w:pPr>
        <w:spacing w:after="0" w:line="121"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Held</w:t>
      </w:r>
    </w:p>
    <w:p>
      <w:pPr>
        <w:spacing w:after="0" w:line="31"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through</w:t>
      </w:r>
    </w:p>
    <w:p>
      <w:pPr>
        <w:spacing w:after="0" w:line="18" w:lineRule="exact"/>
        <w:rPr>
          <w:sz w:val="20"/>
          <w:szCs w:val="20"/>
          <w:color w:val="auto"/>
        </w:rPr>
      </w:pPr>
    </w:p>
    <w:p>
      <w:pPr>
        <w:ind w:left="8440" w:right="500" w:hanging="10086"/>
        <w:spacing w:after="0"/>
        <w:tabs>
          <w:tab w:leader="none" w:pos="8420" w:val="left"/>
        </w:tabs>
        <w:rPr>
          <w:sz w:val="20"/>
          <w:szCs w:val="20"/>
          <w:color w:val="auto"/>
        </w:rPr>
      </w:pPr>
      <w:r>
        <w:rPr>
          <w:rFonts w:ascii="Times New Roman" w:cs="Times New Roman" w:eastAsia="Times New Roman" w:hAnsi="Times New Roman"/>
          <w:sz w:val="17"/>
          <w:szCs w:val="17"/>
          <w:color w:val="0000FF"/>
        </w:rPr>
        <w:t>Class C Common Stock</w:t>
      </w:r>
      <w:r>
        <w:rPr>
          <w:sz w:val="20"/>
          <w:szCs w:val="20"/>
          <w:color w:val="auto"/>
        </w:rPr>
        <w:tab/>
      </w:r>
      <w:r>
        <w:rPr>
          <w:rFonts w:ascii="Times New Roman" w:cs="Times New Roman" w:eastAsia="Times New Roman" w:hAnsi="Times New Roman"/>
          <w:sz w:val="17"/>
          <w:szCs w:val="17"/>
          <w:color w:val="0000FF"/>
        </w:rPr>
        <w:t xml:space="preserve">9,359 I </w:t>
      </w:r>
      <w:r>
        <w:rPr>
          <w:rFonts w:ascii="Times New Roman" w:cs="Times New Roman" w:eastAsia="Times New Roman" w:hAnsi="Times New Roman"/>
          <w:sz w:val="34"/>
          <w:szCs w:val="34"/>
          <w:color w:val="0000FF"/>
          <w:vertAlign w:val="superscript"/>
        </w:rPr>
        <w:t>Silver</w:t>
      </w:r>
      <w:r>
        <w:rPr>
          <w:rFonts w:ascii="Times New Roman" w:cs="Times New Roman" w:eastAsia="Times New Roman" w:hAnsi="Times New Roman"/>
          <w:sz w:val="17"/>
          <w:szCs w:val="17"/>
          <w:color w:val="0000FF"/>
        </w:rPr>
        <w:t xml:space="preserve"> Lake</w:t>
      </w:r>
    </w:p>
    <w:p>
      <w:pPr>
        <w:spacing w:after="0" w:line="42"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Group,</w:t>
      </w:r>
    </w:p>
    <w:p>
      <w:pPr>
        <w:spacing w:after="0" w:line="11"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(4)(5)</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0000FF"/>
              </w:rPr>
              <w:t>4,845</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0000FF"/>
              </w:rPr>
              <w:t>164,214</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7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9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560" w:type="dxa"/>
            <w:vAlign w:val="bottom"/>
            <w:tcBorders>
              <w:top w:val="single" w:sz="8" w:color="2C2C2C"/>
              <w:bottom w:val="single" w:sz="8" w:color="2C2C2C"/>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99"/>
              </w:rPr>
              <w:t>1,317,963</w:t>
            </w:r>
          </w:p>
        </w:tc>
        <w:tc>
          <w:tcPr>
            <w:tcW w:w="66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(8)</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0000FF"/>
              </w:rPr>
              <w:t>47,234</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540" w:type="dxa"/>
            <w:vAlign w:val="bottom"/>
            <w:gridSpan w:val="15"/>
          </w:tcPr>
          <w:p>
            <w:pPr>
              <w:ind w:lef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60" w:type="dxa"/>
            <w:vAlign w:val="bottom"/>
            <w:gridSpan w:val="12"/>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 Lake Partners V DE (AIV),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7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w w:val="99"/>
              </w:rPr>
            </w:pPr>
            <w:hyperlink r:id="rId16">
              <w:r>
                <w:rPr>
                  <w:rFonts w:ascii="Times New Roman" w:cs="Times New Roman" w:eastAsia="Times New Roman" w:hAnsi="Times New Roman"/>
                  <w:sz w:val="21"/>
                  <w:szCs w:val="21"/>
                  <w:color w:val="0000EE"/>
                  <w:w w:val="99"/>
                </w:rPr>
                <w:t>Silver Lake Technology Associates V,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7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SLTA V (GP), L.L.C.</w:t>
              </w:r>
            </w:hyperlink>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SILVER LAKE</w:t>
      </w:r>
    </w:p>
    <w:p>
      <w:pPr>
        <w:sectPr>
          <w:pgSz w:w="11900" w:h="16885" w:orient="portrait"/>
          <w:cols w:equalWidth="0" w:num="1">
            <w:col w:w="11080"/>
          </w:cols>
          <w:pgMar w:left="460" w:top="191" w:right="359" w:bottom="0" w:gutter="0" w:footer="0" w:header="0"/>
          <w:type w:val="continuous"/>
        </w:sectPr>
      </w:pPr>
    </w:p>
    <w:bookmarkStart w:id="2" w:name="page3"/>
    <w:bookmarkEnd w:id="2"/>
    <w:p>
      <w:pPr>
        <w:ind w:left="10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556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556760"/>
                    </a:xfrm>
                    <a:prstGeom prst="rect">
                      <a:avLst/>
                    </a:prstGeom>
                    <a:noFill/>
                  </pic:spPr>
                </pic:pic>
              </a:graphicData>
            </a:graphic>
          </wp:anchor>
        </w:drawing>
        <w:t>2775 SAND HILL ROAD, SUITE 100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Silver Lake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280" w:type="dxa"/>
            <w:vAlign w:val="bottom"/>
            <w:gridSpan w:val="2"/>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Durban Egon</w:t>
              </w:r>
            </w:hyperlink>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9, 2026 and initiated in-kind distributions of shares of Class C Common Stock on June 9, 2026. The receipt of shares of Class C Common Stock by each of the Reporting Persons in connection with such distributions was exempt from reporting pursuant to Rule 16a-13 of the Exchange Act.</w:t>
      </w:r>
    </w:p>
    <w:p>
      <w:pPr>
        <w:spacing w:after="0" w:line="24"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9, 2026, certain of the Reporting Persons converted shares of Class B Common Stock into an equal number of shares of Class C Common Stock in connection with the sales and distributions described in footnote (1) above.</w:t>
      </w:r>
    </w:p>
    <w:p>
      <w:pPr>
        <w:spacing w:after="0" w:line="20"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Partners V DE (AIV), L.P. The general partner of Silver Lake Partners V DE (AIV), L.P. is Silver Lake Technology Associates V, L.P. and the general partner of Silver Lake Technology Associates V, L.P. is SLTA V (GP), L.L.C.</w:t>
      </w:r>
    </w:p>
    <w:p>
      <w:pPr>
        <w:spacing w:after="0" w:line="7" w:lineRule="exact"/>
        <w:rPr>
          <w:rFonts w:ascii="Times New Roman" w:cs="Times New Roman" w:eastAsia="Times New Roman" w:hAnsi="Times New Roman"/>
          <w:sz w:val="13"/>
          <w:szCs w:val="13"/>
          <w:color w:val="008000"/>
        </w:rPr>
      </w:pPr>
    </w:p>
    <w:p>
      <w:pPr>
        <w:ind w:left="20" w:right="2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Group, L.L.C. ("SLG") is the managing member of SLTA V (GP), L.L.C. Egon Durban, who serves as a director of the Issuer, also serves as a Co-CEO and Managing Member of SLG. Each of the Reporting Persons may be deemed a director by deputization of the Issuer.</w:t>
      </w:r>
    </w:p>
    <w:p>
      <w:pPr>
        <w:spacing w:after="0" w:line="7"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C common Stock held by SLG. Shares held include shares of Class C Common Stock received in connection with the distributions described herein on June 9, 2026.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left="20" w:right="80" w:firstLine="7"/>
        <w:spacing w:after="0" w:line="258"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entities in which Mr. Durban may be deemed to have an indirect pecuniary interest including shares received in connection with the distributions of shares of Class C Common Stock on June 9, 2026. The receipt of such shares of Class C Common Stock indirectly by Mr. Durban was exempt from reporting pursuant to Rule 16a-13 of the Exchange Act.</w:t>
      </w:r>
    </w:p>
    <w:p>
      <w:pPr>
        <w:spacing w:after="0" w:line="171" w:lineRule="exact"/>
        <w:rPr>
          <w:rFonts w:ascii="Times New Roman" w:cs="Times New Roman" w:eastAsia="Times New Roman" w:hAnsi="Times New Roman"/>
          <w:sz w:val="13"/>
          <w:szCs w:val="13"/>
          <w:color w:val="008000"/>
        </w:rPr>
      </w:pPr>
    </w:p>
    <w:p>
      <w:pPr>
        <w:ind w:left="20" w:right="20" w:firstLine="7"/>
        <w:spacing w:after="0" w:line="248"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distributions described in footnote (1) above, distributions of certain shares were initiated to certain employees and managing members of SLG or its affiliates, including Mr. Durban. This amount reflects 24,563, 24,932, 114,663 and 56 shares held by SLTA SPV-2, L.P., Silver Lake Technology Associates V, L.P., SLG and Silver Lake Secondary Holdings L.P., respectively, on behalf of such individuals, including shares distributed in the June 9, 2026 distributions. The receipt of such shares of Class C Common Stock was exempt from reporting pursuant to Rule 16a-13 of the Exchange Act.</w:t>
      </w:r>
    </w:p>
    <w:p>
      <w:pPr>
        <w:spacing w:after="0" w:line="176" w:lineRule="exact"/>
        <w:rPr>
          <w:rFonts w:ascii="Times New Roman" w:cs="Times New Roman" w:eastAsia="Times New Roman" w:hAnsi="Times New Roman"/>
          <w:sz w:val="13"/>
          <w:szCs w:val="13"/>
          <w:color w:val="008000"/>
        </w:rPr>
      </w:pPr>
    </w:p>
    <w:p>
      <w:pPr>
        <w:jc w:val="both"/>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by Mr. Durban including shares received in connection with the distributions of shares of Class C Common Stock on June 9, 2026. The receipt of such shares of Class C Common Stock was exempt from reporting pursuant to Rule 16a-13 of the Exchange Act. Mr. Durban has filed a separate Form 4 reporting transactions in securities of the Issuer on June 9, 2026.</w:t>
      </w:r>
    </w:p>
    <w:p>
      <w:pPr>
        <w:spacing w:after="0" w:line="20" w:lineRule="exact"/>
        <w:rPr>
          <w:rFonts w:ascii="Times New Roman" w:cs="Times New Roman" w:eastAsia="Times New Roman" w:hAnsi="Times New Roman"/>
          <w:sz w:val="13"/>
          <w:szCs w:val="13"/>
          <w:color w:val="008000"/>
        </w:rPr>
      </w:pPr>
    </w:p>
    <w:p>
      <w:pPr>
        <w:ind w:left="20" w:right="14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 including shares received in connection with the distributions of shares of Class C Common Stock on June 9, 2026. The receipt of such shares of Class C Common Stock indirectly by Mr. Durban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$402.8869 to $403.8201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21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$403.9600 to $404.9423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$405.1000 to $406.0000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$406.1500 to $406.4200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20"/>
        <w:spacing w:after="0" w:line="244" w:lineRule="auto"/>
        <w:rPr>
          <w:sz w:val="20"/>
          <w:szCs w:val="20"/>
          <w:color w:val="auto"/>
        </w:rPr>
      </w:pPr>
      <w:r>
        <w:rPr>
          <w:rFonts w:ascii="Times New Roman" w:cs="Times New Roman" w:eastAsia="Times New Roman" w:hAnsi="Times New Roman"/>
          <w:sz w:val="13"/>
          <w:szCs w:val="13"/>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pacing w:after="0" w:line="4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By: /s/ Justin G. Hamill,</w:t>
            </w:r>
          </w:p>
        </w:tc>
        <w:tc>
          <w:tcPr>
            <w:tcW w:w="5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06/11/2026</w:t>
            </w:r>
          </w:p>
        </w:tc>
      </w:tr>
    </w:tbl>
    <w:p>
      <w:pPr>
        <w:spacing w:after="0" w:line="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97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0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50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9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Lake Technology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3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V, L.P.,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83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sectPr>
          <w:pgSz w:w="11900" w:h="16838" w:orient="portrait"/>
          <w:cols w:equalWidth="0" w:num="1">
            <w:col w:w="10900"/>
          </w:cols>
          <w:pgMar w:left="480" w:top="178" w:right="519" w:bottom="0" w:gutter="0" w:footer="0" w:header="0"/>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Silver Lake Partners V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91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946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93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901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261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295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00" w:space="14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13" Type="http://schemas.openxmlformats.org/officeDocument/2006/relationships/hyperlink" Target="http://www.sec.gov/cgi-bin/browse-edgar?action=getcompany&amp;CIK=0001737659" TargetMode="External"/><Relationship Id="rId14" Type="http://schemas.openxmlformats.org/officeDocument/2006/relationships/hyperlink" Target="http://www.sec.gov/cgi-bin/browse-edgar?action=getcompany&amp;CIK=0001571996" TargetMode="External"/><Relationship Id="rId16" Type="http://schemas.openxmlformats.org/officeDocument/2006/relationships/hyperlink" Target="http://www.sec.gov/cgi-bin/browse-edgar?action=getcompany&amp;CIK=0001737657" TargetMode="External"/><Relationship Id="rId17" Type="http://schemas.openxmlformats.org/officeDocument/2006/relationships/hyperlink" Target="http://www.sec.gov/cgi-bin/browse-edgar?action=getcompany&amp;CIK=0001737652" TargetMode="External"/><Relationship Id="rId20" Type="http://schemas.openxmlformats.org/officeDocument/2006/relationships/hyperlink" Target="http://www.sec.gov/cgi-bin/browse-edgar?action=getcompany&amp;CIK=0001418226" TargetMode="External"/><Relationship Id="rId21"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2026-06-11T16:17:30Z</dcterms:created>
  <dcterms:modified xsi:type="dcterms:W3CDTF">2026-06-11T16:17:30Z</dcterms:modified>
</cp:coreProperties>
</file>