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As filed with the Securities and Exchange Commission on November 26, 2018</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S-4</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REGISTRATION STATEMENT</w:t>
      </w:r>
    </w:p>
    <w:p>
      <w:pPr>
        <w:jc w:val="center"/>
        <w:ind w:right="-1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282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3571</w:t>
            </w:r>
          </w:p>
        </w:tc>
        <w:tc>
          <w:tcPr>
            <w:tcW w:w="2440" w:type="dxa"/>
            <w:vAlign w:val="bottom"/>
          </w:tcPr>
          <w:p>
            <w:pPr>
              <w:jc w:val="center"/>
              <w:ind w:left="922"/>
              <w:spacing w:after="0"/>
              <w:rPr>
                <w:sz w:val="20"/>
                <w:szCs w:val="20"/>
                <w:color w:val="auto"/>
              </w:rPr>
            </w:pPr>
            <w:r>
              <w:rPr>
                <w:rFonts w:ascii="Arial" w:cs="Arial" w:eastAsia="Arial" w:hAnsi="Arial"/>
                <w:sz w:val="18"/>
                <w:szCs w:val="18"/>
                <w:b w:val="1"/>
                <w:bCs w:val="1"/>
                <w:color w:val="auto"/>
                <w:w w:val="91"/>
              </w:rPr>
              <w:t>80-0890963</w:t>
            </w:r>
          </w:p>
        </w:tc>
      </w:tr>
      <w:tr>
        <w:trPr>
          <w:trHeight w:val="149"/>
        </w:trPr>
        <w:tc>
          <w:tcPr>
            <w:tcW w:w="2820" w:type="dxa"/>
            <w:vAlign w:val="bottom"/>
          </w:tcPr>
          <w:p>
            <w:pPr>
              <w:jc w:val="center"/>
              <w:ind w:right="8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4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2"/>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40" w:type="dxa"/>
            <w:vAlign w:val="bottom"/>
          </w:tcPr>
          <w:p>
            <w:pPr>
              <w:jc w:val="center"/>
              <w:ind w:left="92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One Dell Way</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Round Rock, Texas 78682</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(800) 289-3355</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Richard J. Rothberg, Esq.</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One Dell Way</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Round Rock, Texas 78682</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(800) 289-3355</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30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3580" w:type="dxa"/>
            <w:vAlign w:val="bottom"/>
          </w:tcPr>
          <w:p>
            <w:pPr>
              <w:ind w:left="1080"/>
              <w:spacing w:after="0"/>
              <w:rPr>
                <w:sz w:val="20"/>
                <w:szCs w:val="20"/>
                <w:color w:val="auto"/>
              </w:rPr>
            </w:pPr>
            <w:r>
              <w:rPr>
                <w:rFonts w:ascii="Arial" w:cs="Arial" w:eastAsia="Arial" w:hAnsi="Arial"/>
                <w:sz w:val="18"/>
                <w:szCs w:val="18"/>
                <w:b w:val="1"/>
                <w:bCs w:val="1"/>
                <w:i w:val="1"/>
                <w:iCs w:val="1"/>
                <w:color w:val="auto"/>
              </w:rPr>
              <w:t>With copies to:</w:t>
            </w:r>
          </w:p>
        </w:tc>
        <w:tc>
          <w:tcPr>
            <w:tcW w:w="3100" w:type="dxa"/>
            <w:vAlign w:val="bottom"/>
          </w:tcPr>
          <w:p>
            <w:pPr>
              <w:spacing w:after="0"/>
              <w:rPr>
                <w:sz w:val="20"/>
                <w:szCs w:val="20"/>
                <w:color w:val="auto"/>
              </w:rPr>
            </w:pPr>
          </w:p>
        </w:tc>
      </w:tr>
      <w:tr>
        <w:trPr>
          <w:trHeight w:val="441"/>
        </w:trPr>
        <w:tc>
          <w:tcPr>
            <w:tcW w:w="3580" w:type="dxa"/>
            <w:vAlign w:val="bottom"/>
          </w:tcPr>
          <w:p>
            <w:pPr>
              <w:jc w:val="center"/>
              <w:ind w:right="350"/>
              <w:spacing w:after="0"/>
              <w:rPr>
                <w:sz w:val="20"/>
                <w:szCs w:val="20"/>
                <w:color w:val="auto"/>
              </w:rPr>
            </w:pPr>
            <w:r>
              <w:rPr>
                <w:rFonts w:ascii="Arial" w:cs="Arial" w:eastAsia="Arial" w:hAnsi="Arial"/>
                <w:sz w:val="18"/>
                <w:szCs w:val="18"/>
                <w:b w:val="1"/>
                <w:bCs w:val="1"/>
                <w:color w:val="auto"/>
                <w:w w:val="88"/>
              </w:rPr>
              <w:t>Janet Bawcom, Esq.</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1"/>
              </w:rPr>
              <w:t>Richard Capelouto, Esq.</w:t>
            </w: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Kenneth B. Wallach, Esq.</w:t>
            </w:r>
          </w:p>
        </w:tc>
      </w:tr>
      <w:tr>
        <w:trPr>
          <w:trHeight w:val="216"/>
        </w:trPr>
        <w:tc>
          <w:tcPr>
            <w:tcW w:w="358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Senior Vice President —</w:t>
            </w:r>
          </w:p>
        </w:tc>
        <w:tc>
          <w:tcPr>
            <w:tcW w:w="35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Daniel N. Webb, Esq.</w:t>
            </w: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4"/>
              </w:rPr>
              <w:t>Xiaohui (Hui) Lin, Esq.</w:t>
            </w:r>
          </w:p>
        </w:tc>
      </w:tr>
      <w:tr>
        <w:trPr>
          <w:trHeight w:val="216"/>
        </w:trPr>
        <w:tc>
          <w:tcPr>
            <w:tcW w:w="358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Corporate, Securities &amp; Finance Counsel</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Simpson Thacher &amp; Bartlett LLP</w:t>
            </w:r>
          </w:p>
        </w:tc>
        <w:tc>
          <w:tcPr>
            <w:tcW w:w="3100" w:type="dxa"/>
            <w:vAlign w:val="bottom"/>
          </w:tcPr>
          <w:p>
            <w:pPr>
              <w:jc w:val="center"/>
              <w:ind w:left="430"/>
              <w:spacing w:after="0"/>
              <w:rPr>
                <w:sz w:val="20"/>
                <w:szCs w:val="20"/>
                <w:color w:val="auto"/>
              </w:rPr>
            </w:pPr>
            <w:r>
              <w:rPr>
                <w:rFonts w:ascii="Arial" w:cs="Arial" w:eastAsia="Arial" w:hAnsi="Arial"/>
                <w:sz w:val="18"/>
                <w:szCs w:val="18"/>
                <w:b w:val="1"/>
                <w:bCs w:val="1"/>
                <w:color w:val="auto"/>
                <w:w w:val="88"/>
              </w:rPr>
              <w:t>Benjamin P. Schaye, Esq.</w:t>
            </w:r>
          </w:p>
        </w:tc>
      </w:tr>
      <w:tr>
        <w:trPr>
          <w:trHeight w:val="216"/>
        </w:trPr>
        <w:tc>
          <w:tcPr>
            <w:tcW w:w="358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Dell Technologies Inc.</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1"/>
              </w:rPr>
              <w:t>2475 Hanover Street</w:t>
            </w: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4"/>
              </w:rPr>
              <w:t>Simpson Thacher &amp; Bartlett LLP</w:t>
            </w:r>
          </w:p>
        </w:tc>
      </w:tr>
      <w:tr>
        <w:trPr>
          <w:trHeight w:val="216"/>
        </w:trPr>
        <w:tc>
          <w:tcPr>
            <w:tcW w:w="358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One Dell Way</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2"/>
              </w:rPr>
              <w:t>Palo Alto, California 94304</w:t>
            </w: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425 Lexington Avenue</w:t>
            </w:r>
          </w:p>
        </w:tc>
      </w:tr>
      <w:tr>
        <w:trPr>
          <w:trHeight w:val="216"/>
        </w:trPr>
        <w:tc>
          <w:tcPr>
            <w:tcW w:w="358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Round Rock, Texas 78682</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2"/>
              </w:rPr>
              <w:t>(650) 251-5000</w:t>
            </w: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New York, New York 10017</w:t>
            </w:r>
          </w:p>
        </w:tc>
      </w:tr>
      <w:tr>
        <w:trPr>
          <w:trHeight w:val="234"/>
        </w:trPr>
        <w:tc>
          <w:tcPr>
            <w:tcW w:w="358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(800) 289-3355</w:t>
            </w:r>
          </w:p>
        </w:tc>
        <w:tc>
          <w:tcPr>
            <w:tcW w:w="3580" w:type="dxa"/>
            <w:vAlign w:val="bottom"/>
          </w:tcPr>
          <w:p>
            <w:pPr>
              <w:spacing w:after="0"/>
              <w:rPr>
                <w:sz w:val="20"/>
                <w:szCs w:val="20"/>
                <w:color w:val="auto"/>
              </w:rPr>
            </w:pP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(212) 455-2000</w:t>
            </w:r>
          </w:p>
        </w:tc>
      </w:tr>
      <w:tr>
        <w:trPr>
          <w:trHeight w:val="427"/>
        </w:trPr>
        <w:tc>
          <w:tcPr>
            <w:tcW w:w="358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Richard J. Parrino, Esq.</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Mark D. Gerstein, Esq.</w:t>
            </w: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Steven A. Rosenblum, Esq.</w:t>
            </w:r>
          </w:p>
        </w:tc>
      </w:tr>
      <w:tr>
        <w:trPr>
          <w:trHeight w:val="216"/>
        </w:trPr>
        <w:tc>
          <w:tcPr>
            <w:tcW w:w="35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Kevin K. Greenslade, Esq.</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1"/>
              </w:rPr>
              <w:t>Bradley C. Faris, Esq.</w:t>
            </w: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Gordon S. Moodie, Esq.</w:t>
            </w:r>
          </w:p>
        </w:tc>
      </w:tr>
      <w:tr>
        <w:trPr>
          <w:trHeight w:val="216"/>
        </w:trPr>
        <w:tc>
          <w:tcPr>
            <w:tcW w:w="358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Hogan Lovells US LLP</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7"/>
              </w:rPr>
              <w:t>Latham &amp; Watkins LLP</w:t>
            </w:r>
          </w:p>
        </w:tc>
        <w:tc>
          <w:tcPr>
            <w:tcW w:w="3100" w:type="dxa"/>
            <w:vAlign w:val="bottom"/>
          </w:tcPr>
          <w:p>
            <w:pPr>
              <w:jc w:val="center"/>
              <w:ind w:left="430"/>
              <w:spacing w:after="0"/>
              <w:rPr>
                <w:sz w:val="20"/>
                <w:szCs w:val="20"/>
                <w:color w:val="auto"/>
              </w:rPr>
            </w:pPr>
            <w:r>
              <w:rPr>
                <w:rFonts w:ascii="Arial" w:cs="Arial" w:eastAsia="Arial" w:hAnsi="Arial"/>
                <w:sz w:val="18"/>
                <w:szCs w:val="18"/>
                <w:b w:val="1"/>
                <w:bCs w:val="1"/>
                <w:color w:val="auto"/>
                <w:w w:val="92"/>
              </w:rPr>
              <w:t>Wachtell, Lipton, Rosen &amp; Katz</w:t>
            </w:r>
          </w:p>
        </w:tc>
      </w:tr>
      <w:tr>
        <w:trPr>
          <w:trHeight w:val="216"/>
        </w:trPr>
        <w:tc>
          <w:tcPr>
            <w:tcW w:w="358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555 Thirteenth Street,</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330 N. Wabash Avenue, Suite 2800</w:t>
            </w: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51 W. 52nd Street</w:t>
            </w:r>
          </w:p>
        </w:tc>
      </w:tr>
      <w:tr>
        <w:trPr>
          <w:trHeight w:val="216"/>
        </w:trPr>
        <w:tc>
          <w:tcPr>
            <w:tcW w:w="3580" w:type="dxa"/>
            <w:vAlign w:val="bottom"/>
          </w:tcPr>
          <w:p>
            <w:pPr>
              <w:jc w:val="center"/>
              <w:ind w:right="350"/>
              <w:spacing w:after="0"/>
              <w:rPr>
                <w:sz w:val="20"/>
                <w:szCs w:val="20"/>
                <w:color w:val="auto"/>
              </w:rPr>
            </w:pPr>
            <w:r>
              <w:rPr>
                <w:rFonts w:ascii="Arial" w:cs="Arial" w:eastAsia="Arial" w:hAnsi="Arial"/>
                <w:sz w:val="18"/>
                <w:szCs w:val="18"/>
                <w:b w:val="1"/>
                <w:bCs w:val="1"/>
                <w:color w:val="auto"/>
                <w:w w:val="94"/>
              </w:rPr>
              <w:t>N.W.</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Chicago, Illinois 60611</w:t>
            </w: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New York, New York 10019</w:t>
            </w:r>
          </w:p>
        </w:tc>
      </w:tr>
      <w:tr>
        <w:trPr>
          <w:trHeight w:val="216"/>
        </w:trPr>
        <w:tc>
          <w:tcPr>
            <w:tcW w:w="35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Washington, D.C. 20004</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2"/>
              </w:rPr>
              <w:t>(312) 876-7700</w:t>
            </w:r>
          </w:p>
        </w:tc>
        <w:tc>
          <w:tcPr>
            <w:tcW w:w="310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(212) 403-1000</w:t>
            </w:r>
          </w:p>
        </w:tc>
      </w:tr>
      <w:tr>
        <w:trPr>
          <w:trHeight w:val="234"/>
        </w:trPr>
        <w:tc>
          <w:tcPr>
            <w:tcW w:w="358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(202) 637-5600</w:t>
            </w:r>
          </w:p>
        </w:tc>
        <w:tc>
          <w:tcPr>
            <w:tcW w:w="3580" w:type="dxa"/>
            <w:vAlign w:val="bottom"/>
          </w:tcPr>
          <w:p>
            <w:pPr>
              <w:spacing w:after="0"/>
              <w:rPr>
                <w:sz w:val="20"/>
                <w:szCs w:val="20"/>
                <w:color w:val="auto"/>
              </w:rPr>
            </w:pPr>
          </w:p>
        </w:tc>
        <w:tc>
          <w:tcPr>
            <w:tcW w:w="31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222885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firstLine="441"/>
        <w:spacing w:after="0" w:line="313" w:lineRule="auto"/>
        <w:rPr>
          <w:sz w:val="20"/>
          <w:szCs w:val="20"/>
          <w:color w:val="auto"/>
        </w:rPr>
      </w:pPr>
      <w:r>
        <w:rPr>
          <w:rFonts w:ascii="Arial" w:cs="Arial" w:eastAsia="Arial" w:hAnsi="Arial"/>
          <w:sz w:val="17"/>
          <w:szCs w:val="17"/>
          <w:b w:val="1"/>
          <w:bCs w:val="1"/>
          <w:color w:val="auto"/>
        </w:rPr>
        <w:t xml:space="preserve">Approximate date of commencement of proposed sale of the securities to the public: </w:t>
      </w:r>
      <w:r>
        <w:rPr>
          <w:rFonts w:ascii="Arial" w:cs="Arial" w:eastAsia="Arial" w:hAnsi="Arial"/>
          <w:sz w:val="17"/>
          <w:szCs w:val="17"/>
          <w:color w:val="auto"/>
        </w:rPr>
        <w:t>As soon as practicable after this Registration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is declared effective and upon the satisfaction or waiver of all other conditions to consummation of the transactions described herein.</w:t>
      </w:r>
    </w:p>
    <w:p>
      <w:pPr>
        <w:spacing w:after="0" w:line="142"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0" w:firstLine="441"/>
        <w:spacing w:after="0" w:line="224"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Registration</w:t>
      </w:r>
    </w:p>
    <w:p>
      <w:pPr>
        <w:spacing w:after="0"/>
        <w:rPr>
          <w:sz w:val="20"/>
          <w:szCs w:val="20"/>
          <w:color w:val="auto"/>
        </w:rPr>
      </w:pPr>
      <w:r>
        <w:rPr>
          <w:rFonts w:ascii="Arial" w:cs="Arial" w:eastAsia="Arial" w:hAnsi="Arial"/>
          <w:sz w:val="18"/>
          <w:szCs w:val="18"/>
          <w:b w:val="1"/>
          <w:bCs w:val="1"/>
          <w:color w:val="auto"/>
        </w:rPr>
        <w:t>No. 333-226618</w:t>
      </w:r>
    </w:p>
    <w:p>
      <w:pPr>
        <w:spacing w:after="0" w:line="209" w:lineRule="exact"/>
        <w:rPr>
          <w:sz w:val="24"/>
          <w:szCs w:val="24"/>
          <w:color w:val="auto"/>
        </w:rPr>
      </w:pPr>
    </w:p>
    <w:p>
      <w:pPr>
        <w:ind w:right="60" w:firstLine="441"/>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917" w:orient="portrait"/>
          <w:cols w:equalWidth="0" w:num="1">
            <w:col w:w="10900"/>
          </w:cols>
          <w:pgMar w:left="440" w:top="229" w:right="559" w:bottom="0" w:gutter="0" w:footer="0" w:header="0"/>
        </w:sectPr>
      </w:pPr>
    </w:p>
    <w:bookmarkStart w:id="1" w:name="page2"/>
    <w:bookmarkEnd w:id="1"/>
    <w:p>
      <w:pPr>
        <w:jc w:val="both"/>
        <w:ind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193"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 xml:space="preserve">Exchange Act Rule 14d-1(d) (Cross-Border Third-Party Tender Offer)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258445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660" w:type="dxa"/>
            <w:vAlign w:val="bottom"/>
            <w:tcBorders>
              <w:top w:val="single" w:sz="8" w:color="auto"/>
              <w:right w:val="single" w:sz="8" w:color="auto"/>
            </w:tcBorders>
          </w:tcPr>
          <w:p>
            <w:pPr>
              <w:spacing w:after="0"/>
              <w:rPr>
                <w:sz w:val="13"/>
                <w:szCs w:val="13"/>
                <w:color w:val="auto"/>
              </w:rPr>
            </w:pP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2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6"/>
              </w:rPr>
              <w:t>Proposed</w:t>
            </w:r>
          </w:p>
        </w:tc>
        <w:tc>
          <w:tcPr>
            <w:tcW w:w="152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Proposed</w:t>
            </w:r>
          </w:p>
        </w:tc>
        <w:tc>
          <w:tcPr>
            <w:tcW w:w="1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8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Borders>
              <w:right w:val="single" w:sz="8" w:color="auto"/>
            </w:tcBorders>
            <w:vMerge w:val="continue"/>
          </w:tcPr>
          <w:p>
            <w:pPr>
              <w:spacing w:after="0"/>
              <w:rPr>
                <w:sz w:val="12"/>
                <w:szCs w:val="12"/>
                <w:color w:val="auto"/>
              </w:rPr>
            </w:pPr>
          </w:p>
        </w:tc>
        <w:tc>
          <w:tcPr>
            <w:tcW w:w="1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(3)</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C Common Stock, par value $0.01 per share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30,000,000 shares</w:t>
            </w:r>
            <w:r>
              <w:rPr>
                <w:rFonts w:ascii="Arial" w:cs="Arial" w:eastAsia="Arial" w:hAnsi="Arial"/>
                <w:sz w:val="15"/>
                <w:szCs w:val="15"/>
                <w:color w:val="auto"/>
                <w:w w:val="89"/>
              </w:rPr>
              <w:t>(1)(2)</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120" w:hanging="436"/>
        <w:spacing w:after="0" w:line="255"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also covers an indeterminate number of additional shares of Class C Common Stock, par value $0.01 per share (“Class C Common Stock”), of Dell Technologies Inc. (the “Company”) as may be issuable as a result of stock splits, stock dividends or similar transactions.</w:t>
      </w:r>
    </w:p>
    <w:p>
      <w:pPr>
        <w:spacing w:after="0" w:line="1" w:lineRule="exact"/>
        <w:rPr>
          <w:rFonts w:ascii="Arial" w:cs="Arial" w:eastAsia="Arial" w:hAnsi="Arial"/>
          <w:sz w:val="18"/>
          <w:szCs w:val="18"/>
          <w:color w:val="auto"/>
        </w:rPr>
      </w:pPr>
    </w:p>
    <w:p>
      <w:pPr>
        <w:ind w:left="440" w:right="20" w:hanging="436"/>
        <w:spacing w:after="0" w:line="265"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the maximum number of additional shares of Class C Common Stock issuable pursuant to the merger described in the proxy statement/prospectus included in the Registration Statement on Form S-4, as amended (File No. 333-226618), which was declared effective on October 19, 2018 (the “Initial Registration Statement”), including the total number of shares of Class C Common Stock issuable under outstanding equity awards covering Class V Common Stock, par value $0.01 per share (“Class V Common Stock”), of the Company. The Company previously registered 275,000,000 shares of Class C Common Stock pursuant to the Initial Registration Statement.</w:t>
      </w:r>
    </w:p>
    <w:p>
      <w:pPr>
        <w:spacing w:after="0" w:line="1" w:lineRule="exact"/>
        <w:rPr>
          <w:rFonts w:ascii="Arial" w:cs="Arial" w:eastAsia="Arial" w:hAnsi="Arial"/>
          <w:sz w:val="17"/>
          <w:szCs w:val="17"/>
          <w:color w:val="auto"/>
        </w:rPr>
      </w:pPr>
    </w:p>
    <w:p>
      <w:pPr>
        <w:ind w:left="440" w:hanging="436"/>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Upon filing the Initial Registration Statement, the maximum aggregate offering price was calculated in accordance with Rule 457(c), Rule 457(f)</w:t>
      </w:r>
    </w:p>
    <w:p>
      <w:pPr>
        <w:spacing w:after="0" w:line="32" w:lineRule="exact"/>
        <w:rPr>
          <w:rFonts w:ascii="Arial" w:cs="Arial" w:eastAsia="Arial" w:hAnsi="Arial"/>
          <w:sz w:val="16"/>
          <w:szCs w:val="16"/>
          <w:color w:val="auto"/>
        </w:rPr>
      </w:pPr>
    </w:p>
    <w:p>
      <w:pPr>
        <w:ind w:left="440" w:right="100"/>
        <w:spacing w:after="0" w:line="265" w:lineRule="auto"/>
        <w:rPr>
          <w:rFonts w:ascii="Arial" w:cs="Arial" w:eastAsia="Arial" w:hAnsi="Arial"/>
          <w:sz w:val="16"/>
          <w:szCs w:val="16"/>
          <w:color w:val="auto"/>
        </w:rPr>
      </w:pPr>
      <w:r>
        <w:rPr>
          <w:rFonts w:ascii="Arial" w:cs="Arial" w:eastAsia="Arial" w:hAnsi="Arial"/>
          <w:sz w:val="17"/>
          <w:szCs w:val="17"/>
          <w:color w:val="auto"/>
        </w:rPr>
        <w:t>(1) and Rule 457(f)(3) under the Securities Act. Solely for the purpose of calculating the registration fee required by Section 6(b) of the Securities Act, the proposed maximum aggregate offering price was calculated by multiplying (A) $92.80, the average of the high and low sales prices per share of Class V Common Stock, as reported on the New York Stock Exchange on July 31, 2018, and (B) 201,244,054, the estimated maximum possible number of shares of Class V Common Stock that may be cancelled and exchanged in the merger, including the total number of shares of Class V Common Stock issuable under outstanding equity awards. The maximum number of shares of Class V Common Stock that may be cancelled and exchanged in the merger has not changed. Accordingly, the maximum aggregate offering price calculated in connection with the filing of the Initial Registration Statement has not changed.</w:t>
      </w:r>
    </w:p>
    <w:p>
      <w:pPr>
        <w:spacing w:after="0" w:line="1" w:lineRule="exact"/>
        <w:rPr>
          <w:rFonts w:ascii="Arial" w:cs="Arial" w:eastAsia="Arial" w:hAnsi="Arial"/>
          <w:sz w:val="16"/>
          <w:szCs w:val="16"/>
          <w:color w:val="auto"/>
        </w:rPr>
      </w:pPr>
    </w:p>
    <w:p>
      <w:pPr>
        <w:ind w:left="440" w:right="160" w:hanging="436"/>
        <w:spacing w:after="0" w:line="255"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Upon filing the Initial Registration Statement, the fee payable was calculated in accordance with Section 6(b) of the Securities Act at a rate equal to $124.50 per $1,000,000 of the proposed maximum aggregate offering amount of $18,675,448,211. Because the maximum aggregate offering price did not change, no additional fee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224155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This registration statement will become effective automatically upon filing with the Commission pursuant to Rule 462(b)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5"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Pursuant to the registration statement on Form S-4, as amended (File No. 333-226618), declared effective on October 19, 2018 (the “Initial Registration Statement”), Dell Technologies Inc. (the “Company”) registered an aggregate of 275,000,000 shares of its Class C Common Stock, par value $0.01 per share (“Class C Common Stock”). The Company is filing this registration statement on Form S-4 (the “462(b) Registration Statement”) with the Securities and Exchange Commission pursuant to General Instruction K of Form S-4 and Rule 462(b) under the Securities Act of 1933, as amended, for the sole purpose of registering an additional 30,000,000 shares of Class C Common Stock for issuance to the holders of Class V Common Stock as part of the merger consideration pursuant to the Agreement and Plan of Merger, dated as of July 1, 2018, between the Company and Teton Merger Sub Inc., a Delaware corporation and a wholly owned subsidiary of the Company, as amended by Amendment No. 1 thereto, dated as of November 14, 2018. The Company has previously registered 275,000,000 shares of Class C Common Stock pursuant to the Initial Registration Statement.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This 462(b) Registration Statement incorporates by reference the contents of the Initial Registration Statement, including all amendments, supplements and exhibits thereto and all information incorporated or deemed to be incorporated by reference therein. Additional opinions and consents required to be filed with this 462(b) Registration Statement are listed on the Exhibit Index attached to and filed with this 462(b) Registration Statement.</w:t>
      </w:r>
    </w:p>
    <w:p>
      <w:pPr>
        <w:sectPr>
          <w:pgSz w:w="11900" w:h="16838" w:orient="portrait"/>
          <w:cols w:equalWidth="0" w:num="1">
            <w:col w:w="11020"/>
          </w:cols>
          <w:pgMar w:left="44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0" w:type="dxa"/>
            <w:vAlign w:val="bottom"/>
            <w:gridSpan w:val="5"/>
          </w:tcPr>
          <w:p>
            <w:pPr>
              <w:ind w:left="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0" w:type="dxa"/>
            <w:vAlign w:val="bottom"/>
            <w:gridSpan w:val="5"/>
            <w:vMerge w:val="restart"/>
          </w:tcPr>
          <w:p>
            <w:pPr>
              <w:ind w:left="1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119"/>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72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Opinion of Simpson Thacher &amp; Bartlett LLP regarding the validity of the securities being registered.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23.1</w:t>
            </w:r>
          </w:p>
        </w:tc>
        <w:tc>
          <w:tcPr>
            <w:tcW w:w="520" w:type="dxa"/>
            <w:vAlign w:val="bottom"/>
          </w:tcPr>
          <w:p>
            <w:pPr>
              <w:spacing w:after="0"/>
              <w:rPr>
                <w:sz w:val="24"/>
                <w:szCs w:val="24"/>
                <w:color w:val="auto"/>
              </w:rPr>
            </w:pPr>
          </w:p>
        </w:tc>
        <w:tc>
          <w:tcPr>
            <w:tcW w:w="82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Consent of PricewaterhouseCoopers LLP, independent registered public accounting firm of Dell Technologies Inc.</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23.2</w:t>
            </w:r>
          </w:p>
        </w:tc>
        <w:tc>
          <w:tcPr>
            <w:tcW w:w="52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0000EE"/>
              </w:rPr>
              <w:t>Consent of Simpson Thacher &amp; Bartlett LLP (included as part of Exhibit 5.1).</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w w:val="90"/>
              </w:rPr>
              <w:t>24.1*</w:t>
            </w:r>
          </w:p>
        </w:tc>
        <w:tc>
          <w:tcPr>
            <w:tcW w:w="520" w:type="dxa"/>
            <w:vAlign w:val="bottom"/>
          </w:tcPr>
          <w:p>
            <w:pPr>
              <w:spacing w:after="0"/>
              <w:rPr>
                <w:sz w:val="24"/>
                <w:szCs w:val="24"/>
                <w:color w:val="auto"/>
              </w:rPr>
            </w:pPr>
          </w:p>
        </w:tc>
        <w:tc>
          <w:tcPr>
            <w:tcW w:w="138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Power of Attorney.</w:t>
              </w:r>
            </w:hyperlink>
          </w:p>
        </w:tc>
        <w:tc>
          <w:tcPr>
            <w:tcW w:w="4240" w:type="dxa"/>
            <w:vAlign w:val="bottom"/>
            <w:tcBorders>
              <w:top w:val="single" w:sz="8" w:color="0000EE"/>
            </w:tcBorders>
            <w:gridSpan w:val="5"/>
          </w:tcPr>
          <w:p>
            <w:pPr>
              <w:spacing w:after="0"/>
              <w:rPr>
                <w:sz w:val="24"/>
                <w:szCs w:val="24"/>
                <w:color w:val="auto"/>
              </w:rPr>
            </w:pPr>
          </w:p>
        </w:tc>
        <w:tc>
          <w:tcPr>
            <w:tcW w:w="2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99.1</w:t>
            </w:r>
          </w:p>
        </w:tc>
        <w:tc>
          <w:tcPr>
            <w:tcW w:w="52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0000EE"/>
              </w:rPr>
              <w:t>Consent of Evercore Group L.L.C.</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99.2</w:t>
            </w:r>
          </w:p>
        </w:tc>
        <w:tc>
          <w:tcPr>
            <w:tcW w:w="520" w:type="dxa"/>
            <w:vAlign w:val="bottom"/>
          </w:tcPr>
          <w:p>
            <w:pPr>
              <w:spacing w:after="0"/>
              <w:rPr>
                <w:sz w:val="24"/>
                <w:szCs w:val="24"/>
                <w:color w:val="auto"/>
              </w:rPr>
            </w:pPr>
          </w:p>
        </w:tc>
        <w:tc>
          <w:tcPr>
            <w:tcW w:w="28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Consent of Goldman Sachs &amp; Co. LLC</w:t>
            </w:r>
          </w:p>
        </w:tc>
        <w:tc>
          <w:tcPr>
            <w:tcW w:w="5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5380" w:right="3659" w:hanging="5376"/>
        <w:spacing w:after="0" w:line="490" w:lineRule="auto"/>
        <w:tabs>
          <w:tab w:leader="none" w:pos="221"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Previously filed with the Registration Statement on Form S-4 (File No. 333-226618). II-1</w:t>
      </w:r>
    </w:p>
    <w:p>
      <w:pPr>
        <w:sectPr>
          <w:pgSz w:w="11900" w:h="16838" w:orient="portrait"/>
          <w:cols w:equalWidth="0" w:num="1">
            <w:col w:w="10019"/>
          </w:cols>
          <w:pgMar w:left="440" w:top="270" w:right="1440"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Round Rock, State of Texas, on November 26, 2018.</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DELL TECHNOLOGIES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Dell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Michael S. Dell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November 26, 2018.</w:t>
      </w:r>
    </w:p>
    <w:p>
      <w:pPr>
        <w:sectPr>
          <w:pgSz w:w="11900" w:h="16838" w:orient="portrait"/>
          <w:cols w:equalWidth="0" w:num="1">
            <w:col w:w="11040"/>
          </w:cols>
          <w:pgMar w:left="440" w:top="270" w:right="419" w:bottom="1440" w:gutter="0" w:footer="0" w:header="0"/>
        </w:sectPr>
      </w:pPr>
    </w:p>
    <w:p>
      <w:pPr>
        <w:spacing w:after="0" w:line="189" w:lineRule="exact"/>
        <w:rPr>
          <w:sz w:val="20"/>
          <w:szCs w:val="20"/>
          <w:color w:val="auto"/>
        </w:rPr>
      </w:pPr>
    </w:p>
    <w:p>
      <w:pPr>
        <w:jc w:val="center"/>
        <w:ind w:left="84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34817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97"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481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Name: Michael S. Dell</w:t>
      </w:r>
    </w:p>
    <w:p>
      <w:pPr>
        <w:spacing w:after="0" w:line="117"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481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jc w:val="center"/>
        <w:ind w:left="840"/>
        <w:spacing w:after="0"/>
        <w:rPr>
          <w:sz w:val="20"/>
          <w:szCs w:val="20"/>
          <w:color w:val="auto"/>
        </w:rPr>
      </w:pPr>
      <w:r>
        <w:rPr>
          <w:rFonts w:ascii="Arial" w:cs="Arial" w:eastAsia="Arial" w:hAnsi="Arial"/>
          <w:sz w:val="16"/>
          <w:szCs w:val="16"/>
          <w:color w:val="auto"/>
        </w:rPr>
        <w:t>Name: Thomas W. Sweet</w:t>
      </w:r>
    </w:p>
    <w:p>
      <w:pPr>
        <w:spacing w:after="0" w:line="329"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 Maya McReynolds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481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jc w:val="center"/>
        <w:ind w:left="840"/>
        <w:spacing w:after="0"/>
        <w:rPr>
          <w:sz w:val="20"/>
          <w:szCs w:val="20"/>
          <w:color w:val="auto"/>
        </w:rPr>
      </w:pPr>
      <w:r>
        <w:rPr>
          <w:rFonts w:ascii="Arial" w:cs="Arial" w:eastAsia="Arial" w:hAnsi="Arial"/>
          <w:sz w:val="16"/>
          <w:szCs w:val="16"/>
          <w:color w:val="auto"/>
        </w:rPr>
        <w:t>Name: Maya McReynolds</w:t>
      </w:r>
    </w:p>
    <w:p>
      <w:pPr>
        <w:spacing w:after="0" w:line="140"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4817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jc w:val="center"/>
        <w:ind w:left="840"/>
        <w:spacing w:after="0"/>
        <w:rPr>
          <w:sz w:val="20"/>
          <w:szCs w:val="20"/>
          <w:color w:val="auto"/>
        </w:rPr>
      </w:pPr>
      <w:r>
        <w:rPr>
          <w:rFonts w:ascii="Arial" w:cs="Arial" w:eastAsia="Arial" w:hAnsi="Arial"/>
          <w:sz w:val="17"/>
          <w:szCs w:val="17"/>
          <w:color w:val="auto"/>
        </w:rPr>
        <w:t>Name: David W. Dorman</w:t>
      </w:r>
    </w:p>
    <w:p>
      <w:pPr>
        <w:spacing w:after="0" w:line="129"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4817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Name: Egon Durban</w:t>
      </w:r>
    </w:p>
    <w:p>
      <w:pPr>
        <w:spacing w:after="0" w:line="117"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4817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jc w:val="center"/>
        <w:ind w:left="840"/>
        <w:spacing w:after="0"/>
        <w:rPr>
          <w:sz w:val="20"/>
          <w:szCs w:val="20"/>
          <w:color w:val="auto"/>
        </w:rPr>
      </w:pPr>
      <w:r>
        <w:rPr>
          <w:rFonts w:ascii="Arial" w:cs="Arial" w:eastAsia="Arial" w:hAnsi="Arial"/>
          <w:sz w:val="17"/>
          <w:szCs w:val="17"/>
          <w:color w:val="auto"/>
        </w:rPr>
        <w:t>Name: William D. Green</w:t>
      </w:r>
    </w:p>
    <w:p>
      <w:pPr>
        <w:spacing w:after="0" w:line="129"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4817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Name: Ellen J. Kullman</w:t>
      </w:r>
    </w:p>
    <w:p>
      <w:pPr>
        <w:spacing w:after="0" w:line="117"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481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jc w:val="center"/>
        <w:ind w:left="840"/>
        <w:spacing w:after="0"/>
        <w:rPr>
          <w:sz w:val="20"/>
          <w:szCs w:val="20"/>
          <w:color w:val="auto"/>
        </w:rPr>
      </w:pPr>
      <w:r>
        <w:rPr>
          <w:rFonts w:ascii="Arial" w:cs="Arial" w:eastAsia="Arial" w:hAnsi="Arial"/>
          <w:sz w:val="17"/>
          <w:szCs w:val="17"/>
          <w:color w:val="auto"/>
        </w:rPr>
        <w:t>Name: Simon Patterson</w:t>
      </w:r>
    </w:p>
    <w:p>
      <w:pPr>
        <w:spacing w:after="0" w:line="264" w:lineRule="exact"/>
        <w:rPr>
          <w:sz w:val="20"/>
          <w:szCs w:val="20"/>
          <w:color w:val="auto"/>
        </w:rPr>
      </w:pPr>
    </w:p>
    <w:p>
      <w:pPr>
        <w:ind w:left="540" w:right="2840" w:hanging="536"/>
        <w:spacing w:after="0" w:line="303" w:lineRule="auto"/>
        <w:tabs>
          <w:tab w:leader="none" w:pos="135" w:val="left"/>
        </w:tabs>
        <w:numPr>
          <w:ilvl w:val="0"/>
          <w:numId w:val="3"/>
        </w:numPr>
        <w:rPr>
          <w:rFonts w:ascii="Arial" w:cs="Arial" w:eastAsia="Arial" w:hAnsi="Arial"/>
          <w:sz w:val="17"/>
          <w:szCs w:val="17"/>
          <w:color w:val="auto"/>
        </w:rPr>
      </w:pPr>
      <w:r>
        <w:rPr>
          <w:rFonts w:ascii="Arial" w:cs="Arial" w:eastAsia="Arial" w:hAnsi="Arial"/>
          <w:sz w:val="17"/>
          <w:szCs w:val="17"/>
          <w:color w:val="auto"/>
        </w:rPr>
        <w:t>By: /s/ Janet Bawcom Janet Bawcom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-323215</wp:posOffset>
            </wp:positionV>
            <wp:extent cx="24523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15240</wp:posOffset>
            </wp:positionV>
            <wp:extent cx="32156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25"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(Principal Executive Officer)</w:t>
      </w:r>
    </w:p>
    <w:p>
      <w:pPr>
        <w:spacing w:after="0" w:line="130"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(Principal Financial Officer)</w:t>
      </w:r>
    </w:p>
    <w:p>
      <w:pPr>
        <w:spacing w:after="0" w:line="103" w:lineRule="exact"/>
        <w:rPr>
          <w:sz w:val="20"/>
          <w:szCs w:val="20"/>
          <w:color w:val="auto"/>
        </w:rPr>
      </w:pPr>
    </w:p>
    <w:p>
      <w:pPr>
        <w:jc w:val="center"/>
        <w:ind w:left="-139"/>
        <w:spacing w:after="0"/>
        <w:rPr>
          <w:sz w:val="20"/>
          <w:szCs w:val="20"/>
          <w:color w:val="auto"/>
        </w:rPr>
      </w:pPr>
      <w:r>
        <w:rPr>
          <w:rFonts w:ascii="Arial" w:cs="Arial" w:eastAsia="Arial" w:hAnsi="Arial"/>
          <w:sz w:val="16"/>
          <w:szCs w:val="16"/>
          <w:color w:val="auto"/>
        </w:rPr>
        <w:t>Senior Vice President, Corporate Finance and Chief Accounting</w:t>
      </w:r>
    </w:p>
    <w:p>
      <w:pPr>
        <w:spacing w:after="0" w:line="46"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(Principal Accounting Officer)</w:t>
      </w:r>
    </w:p>
    <w:p>
      <w:pPr>
        <w:spacing w:after="0" w:line="13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II-2</w:t>
      </w:r>
    </w:p>
    <w:p>
      <w:pPr>
        <w:sectPr>
          <w:pgSz w:w="11900" w:h="16838" w:orient="portrait"/>
          <w:cols w:equalWidth="0" w:num="2">
            <w:col w:w="4660" w:space="720"/>
            <w:col w:w="5660"/>
          </w:cols>
          <w:pgMar w:left="440" w:top="270" w:right="41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Simpson Thacher &amp; Bartlett </w:t>
      </w:r>
      <w:r>
        <w:rPr>
          <w:rFonts w:ascii="Arial" w:cs="Arial" w:eastAsia="Arial" w:hAnsi="Arial"/>
          <w:sz w:val="15"/>
          <w:szCs w:val="15"/>
          <w:color w:val="auto"/>
        </w:rPr>
        <w:t>LLP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5"/>
          <w:szCs w:val="15"/>
          <w:color w:val="auto"/>
        </w:rPr>
        <w:t>LEXINGTON AVENUE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 YORK</w:t>
      </w:r>
      <w:r>
        <w:rPr>
          <w:rFonts w:ascii="Arial" w:cs="Arial" w:eastAsia="Arial" w:hAnsi="Arial"/>
          <w:sz w:val="18"/>
          <w:szCs w:val="18"/>
          <w:color w:val="auto"/>
        </w:rPr>
        <w:t>,</w:t>
      </w:r>
      <w:r>
        <w:rPr>
          <w:rFonts w:ascii="Arial" w:cs="Arial" w:eastAsia="Arial" w:hAnsi="Arial"/>
          <w:sz w:val="15"/>
          <w:szCs w:val="15"/>
          <w:color w:val="auto"/>
        </w:rPr>
        <w:t xml:space="preserve"> NY </w:t>
      </w:r>
      <w:r>
        <w:rPr>
          <w:rFonts w:ascii="Arial" w:cs="Arial" w:eastAsia="Arial" w:hAnsi="Arial"/>
          <w:sz w:val="18"/>
          <w:szCs w:val="18"/>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TELEPHONE</w:t>
      </w:r>
      <w:r>
        <w:rPr>
          <w:rFonts w:ascii="Arial" w:cs="Arial" w:eastAsia="Arial" w:hAnsi="Arial"/>
          <w:sz w:val="18"/>
          <w:szCs w:val="18"/>
          <w:color w:val="auto"/>
        </w:rPr>
        <w:t>: +1-212-455-2000</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FACSIMILE</w:t>
      </w:r>
      <w:r>
        <w:rPr>
          <w:rFonts w:ascii="Arial" w:cs="Arial" w:eastAsia="Arial" w:hAnsi="Arial"/>
          <w:sz w:val="18"/>
          <w:szCs w:val="18"/>
          <w:color w:val="auto"/>
        </w:rPr>
        <w:t>: +1-212-455-2502</w:t>
      </w:r>
    </w:p>
    <w:p>
      <w:pPr>
        <w:spacing w:after="0" w:line="211"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November 26,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We have acted as counsel to Dell Technologies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(i) the Registration Statement on Form S-4 (File No. 333-226618) (the “</w:t>
      </w:r>
      <w:r>
        <w:rPr>
          <w:rFonts w:ascii="Arial" w:cs="Arial" w:eastAsia="Arial" w:hAnsi="Arial"/>
          <w:sz w:val="16"/>
          <w:szCs w:val="16"/>
          <w:u w:val="single" w:color="auto"/>
          <w:color w:val="auto"/>
        </w:rPr>
        <w:t>Initial 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relating to the issuance by the Company of up to 275,000,000 shares of common stock, par value $0.01 per share, designated as Class C Common Stock (the “</w:t>
      </w:r>
      <w:r>
        <w:rPr>
          <w:rFonts w:ascii="Arial" w:cs="Arial" w:eastAsia="Arial" w:hAnsi="Arial"/>
          <w:sz w:val="16"/>
          <w:szCs w:val="16"/>
          <w:u w:val="single" w:color="auto"/>
          <w:color w:val="auto"/>
        </w:rPr>
        <w:t>Class C Common Stock</w:t>
      </w:r>
      <w:r>
        <w:rPr>
          <w:rFonts w:ascii="Arial" w:cs="Arial" w:eastAsia="Arial" w:hAnsi="Arial"/>
          <w:sz w:val="16"/>
          <w:szCs w:val="16"/>
          <w:color w:val="auto"/>
        </w:rPr>
        <w:t>”) and (ii) the related Registration Statement on Form S-4 (the “</w:t>
      </w:r>
      <w:r>
        <w:rPr>
          <w:rFonts w:ascii="Arial" w:cs="Arial" w:eastAsia="Arial" w:hAnsi="Arial"/>
          <w:sz w:val="16"/>
          <w:szCs w:val="16"/>
          <w:u w:val="single" w:color="auto"/>
          <w:color w:val="auto"/>
        </w:rPr>
        <w:t>462(b) Registration Statement</w:t>
      </w:r>
      <w:r>
        <w:rPr>
          <w:rFonts w:ascii="Arial" w:cs="Arial" w:eastAsia="Arial" w:hAnsi="Arial"/>
          <w:sz w:val="16"/>
          <w:szCs w:val="16"/>
          <w:color w:val="auto"/>
        </w:rPr>
        <w:t>” and, together with the Initial Registration Statement,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filed by the Company with the Commission pursuant to Rule 462(b) (as prescribed by the Commission pursuant to the Act) relating to the issuance by the Company of up to an additional 30,000,000 shares (the “</w:t>
      </w:r>
      <w:r>
        <w:rPr>
          <w:rFonts w:ascii="Arial" w:cs="Arial" w:eastAsia="Arial" w:hAnsi="Arial"/>
          <w:sz w:val="16"/>
          <w:szCs w:val="16"/>
          <w:u w:val="single" w:color="auto"/>
          <w:color w:val="auto"/>
        </w:rPr>
        <w:t>Additional Shares</w:t>
      </w:r>
      <w:r>
        <w:rPr>
          <w:rFonts w:ascii="Arial" w:cs="Arial" w:eastAsia="Arial" w:hAnsi="Arial"/>
          <w:sz w:val="16"/>
          <w:szCs w:val="16"/>
          <w:color w:val="auto"/>
        </w:rPr>
        <w:t>”) of Class C Common Stock. The 462(b) Registration Statement incorporates by reference the Initial Registration Statement that was declared effective by the Commission on October 19, 2018. The Additional Shares will be issued in connection with the merger contemplated by the Agreement and Plan of Merger, dated as of July 1, 2018, as</w:t>
      </w:r>
    </w:p>
    <w:p>
      <w:pPr>
        <w:sectPr>
          <w:pgSz w:w="11900" w:h="16838" w:orient="portrait"/>
          <w:cols w:equalWidth="0" w:num="1">
            <w:col w:w="11020"/>
          </w:cols>
          <w:pgMar w:left="440" w:top="121" w:right="439" w:bottom="1440" w:gutter="0" w:footer="0" w:header="0"/>
        </w:sectPr>
      </w:pPr>
    </w:p>
    <w:bookmarkStart w:id="6" w:name="page7"/>
    <w:bookmarkEnd w:id="6"/>
    <w:p>
      <w:pPr>
        <w:ind w:left="8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Simpson Thacher &amp; Bartlett </w:t>
      </w:r>
      <w:r>
        <w:rPr>
          <w:rFonts w:ascii="Arial" w:cs="Arial" w:eastAsia="Arial" w:hAnsi="Arial"/>
          <w:sz w:val="13"/>
          <w:szCs w:val="13"/>
          <w:color w:val="auto"/>
        </w:rPr>
        <w:t>LLP</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amended by Amendment No. 1 to the Agreement and Plan of Merger, dated as of November 14, 2018, between the Company and Teton Merger Sub Inc., a Delaware corporation and a direct wholly-owned subsidiary of the Company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w:t>
      </w:r>
    </w:p>
    <w:p>
      <w:pPr>
        <w:spacing w:after="0" w:line="170"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We have examined the Registration Statements and a form of the share certificate for the Class C Common Stock, the form of Fifth Amended and Restated Certificate of Incorporation of the Company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and the Merger Agreement, each of which has been filed with the Commission as an exhibit to the Registration Statements.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 hereinafter set forth.</w:t>
      </w:r>
    </w:p>
    <w:p>
      <w:pPr>
        <w:spacing w:after="0" w:line="193"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81" w:lineRule="exact"/>
        <w:rPr>
          <w:sz w:val="20"/>
          <w:szCs w:val="20"/>
          <w:color w:val="auto"/>
        </w:rPr>
      </w:pPr>
    </w:p>
    <w:p>
      <w:pPr>
        <w:ind w:right="660" w:firstLine="441"/>
        <w:spacing w:after="0" w:line="264" w:lineRule="auto"/>
        <w:rPr>
          <w:sz w:val="20"/>
          <w:szCs w:val="20"/>
          <w:color w:val="auto"/>
        </w:rPr>
      </w:pPr>
      <w:r>
        <w:rPr>
          <w:rFonts w:ascii="Arial" w:cs="Arial" w:eastAsia="Arial" w:hAnsi="Arial"/>
          <w:sz w:val="18"/>
          <w:szCs w:val="18"/>
          <w:color w:val="auto"/>
        </w:rPr>
        <w:t>In rendering the opinion set forth below, we have assumed that the Certificate of Incorporation in the form reviewed is approved by the stockholders of the Company and is duly filed with the Secretary of State of the State of Delaware prior to the issuance of any shares of Class C Common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7" w:name="page8"/>
    <w:bookmarkEnd w:id="7"/>
    <w:p>
      <w:pPr>
        <w:ind w:left="8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Simpson Thacher &amp; Bartlett </w:t>
      </w:r>
      <w:r>
        <w:rPr>
          <w:rFonts w:ascii="Arial" w:cs="Arial" w:eastAsia="Arial" w:hAnsi="Arial"/>
          <w:sz w:val="13"/>
          <w:szCs w:val="13"/>
          <w:color w:val="auto"/>
        </w:rPr>
        <w:t>LLP</w:t>
      </w:r>
    </w:p>
    <w:p>
      <w:pPr>
        <w:spacing w:after="0" w:line="181"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when the Additional Shares are issued in accordance with the terms and conditions set forth in the Merger Agreement, such Additional Shares will be validly issued, fully paid and nonassessable.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express any opinion herein concerning any law other than the Delaware General Corporation Law.</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We hereby consent to the filing of this opinion letter as Exhibit 5.1 to the 462(b) Registration Statement and to the use of our name under the caption “Legal Matters” in the Proxy Statement/Prospectus included in the Initial Registration Statement.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Simpson Thacher &amp; Bartlett LLP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Simpson Thacher &amp; Bartlett LLP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hereby consent to the incorporation by reference in this Registration Statement on Form S-4MEF of our report dated March 29, 2018, except with respect to our opinion on the consolidated financial statements insofar as it relates to the effects of the change in composition of reportable segments as discussed in Note 22 and the effects of the change in the manner in which the Company accounts for revenue from contracts with customers and the manner in which it accounts for the classification of certain cash receipts and payments and the classification and presentation of restricted cash on the consolidated statement of cash flows as discussed in Note 2, as to which the date is August 6, 2018, relating to the consolidated financial statements and the effectiveness of internal control over financial reporting, from Amendment Number 3 to the Registration Statement on Form S-4 (No. 333-226618) of Dell Technologies Inc. into which such report is incorporated by reference and which appears in Dell Technologies Inc.‘s Current Report on</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Form 8-K dated August 6, 2018. We also consent to the reference to us under the heading “Experts” in Amendment No. 3 to the Registration Statement on Form S-4 (No. 333-226618) incorporated by reference in this Registration Statement.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2018</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EVERCORE GROUP,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of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Special Committee:</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We have previously consented to the inclusion of our opinion letter, dated November 14, 2018, to the Special Committee of the Board of Directors of Dell Technologies Inc. (the “Company”) as Annex S-D to, and the references thereto under the captions “UPDATE TO SUMMARY—Class V Transaction Summary—Opinion of Evercore Group L.L.C.,” “UPDATE TO RISK FACTORS” and “UPDATE TO PROPOSAL 1—ADOPTION OF THE MERGER AGREEMENT—Opinion of Evercore Group L.L.C.” in, the supplement to the proxy statement/prospectus included in the Registration Statement on Form S-4 filed by the Company with the U.S. Securities and Exchange Commission and declared effective as of October 19, 2018, as it may be supplemented (the “Initial Registration Statement”), and relating to the transaction involving the Company’s Class V Common Stock. We hereby consent to the incorporation by reference of the foregoing into the Registration Statement on Form S-4MEF filed on the date hereof (the “462(b) Registration Statement”) for purposes of registering additional shares of the Company’s Class C Common Stock in connection with the transactions contemplated by the Initial Registration Statement. Notwithstanding the foregoing, it is understood that our consent is being delivered solely in connection with the filing of the 462(b) Registration Statement and that our opinion letter is not to be used, circulated, quoted or otherwise referred to for any other purpose, nor is it to be filed with, included in or referred to in whole or in part in any registration statement (including any subsequent amendments to the 462(b) Registration Statement), proxy statement/prospectus or any other document, except in accordance with our prior written consent. By giving such consent, we do not thereby admit that we are experts with respect to any part of the 462(b)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19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EVERCORE GROUP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Courtney McBean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Courtney McBean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Managing Director</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Round Rock, Texas 78682</w:t>
      </w:r>
    </w:p>
    <w:p>
      <w:pPr>
        <w:spacing w:after="0" w:line="238" w:lineRule="exact"/>
        <w:rPr>
          <w:sz w:val="20"/>
          <w:szCs w:val="20"/>
          <w:color w:val="auto"/>
        </w:rPr>
      </w:pPr>
    </w:p>
    <w:p>
      <w:pPr>
        <w:ind w:left="440" w:right="20" w:hanging="439"/>
        <w:spacing w:after="0" w:line="277" w:lineRule="auto"/>
        <w:tabs>
          <w:tab w:leader="none" w:pos="420" w:val="left"/>
        </w:tabs>
        <w:rPr>
          <w:sz w:val="20"/>
          <w:szCs w:val="20"/>
          <w:color w:val="auto"/>
        </w:rPr>
      </w:pPr>
      <w:r>
        <w:rPr>
          <w:rFonts w:ascii="Arial" w:cs="Arial" w:eastAsia="Arial" w:hAnsi="Arial"/>
          <w:sz w:val="18"/>
          <w:szCs w:val="18"/>
          <w:color w:val="auto"/>
        </w:rPr>
        <w:t>Re:</w:t>
        <w:tab/>
        <w:t>Registration Statement on Form S-4MEF of Dell Technologies Inc., to be filed with the Securities and Exchange Commission as of the date hereof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Reference is made to our opinion letter, dated July 1, 2018 (“Opinion Letter”), as to the fairness from a financial point of view to Dell Technologies Inc. (the “Company”) of the Aggregate Consideration (as defined in the Opinion Letter) to be paid by the Company as of the date thereof for all of the outstanding shares of Class V Common Stock, par value $0.01 per share, each representing a portion of the Company’s interest in certain shares of the common stock, par value $0.01 per share, of VMware, Inc., pursuant to the Agreement and Plan of Merger, dated as of July 1, 2018 (the “Agreement”), by and between the Company and Teton Merger Sub Inc., a wholly owned subsidiary of the Company.</w:t>
      </w:r>
    </w:p>
    <w:p>
      <w:pPr>
        <w:spacing w:after="0" w:line="1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Opinion Letter was provided for the information and assistance of the Board of Directors of the Company in connection with its consideration of the transaction contemplated by the Agreement. We understand that the Company has determined to include our opinion in the Proxy Statement/Prospectus that forms a part of the Registration Statement on Form S-4 (File No. 333-226618), filed by the Company and declared effective as of October 19, 2018 (the “Initial Registration Statement”). In that regard, we hereby consent to the reference to our Opinion Letter under the captions “</w:t>
      </w:r>
      <w:r>
        <w:rPr>
          <w:rFonts w:ascii="Arial" w:cs="Arial" w:eastAsia="Arial" w:hAnsi="Arial"/>
          <w:sz w:val="16"/>
          <w:szCs w:val="16"/>
          <w:i w:val="1"/>
          <w:iCs w:val="1"/>
          <w:color w:val="auto"/>
        </w:rPr>
        <w:t>Questions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Answers Regarding the Class V Transaction and the Special Meeting—Questions and Answers Regarding the Class V Transaction</w:t>
      </w:r>
      <w:r>
        <w:rPr>
          <w:rFonts w:ascii="Arial" w:cs="Arial" w:eastAsia="Arial" w:hAnsi="Arial"/>
          <w:sz w:val="16"/>
          <w:szCs w:val="16"/>
          <w:color w:val="auto"/>
        </w:rPr>
        <w:t>,” “</w:t>
      </w:r>
      <w:r>
        <w:rPr>
          <w:rFonts w:ascii="Arial" w:cs="Arial" w:eastAsia="Arial" w:hAnsi="Arial"/>
          <w:sz w:val="16"/>
          <w:szCs w:val="16"/>
          <w:i w:val="1"/>
          <w:iCs w:val="1"/>
          <w:color w:val="auto"/>
        </w:rPr>
        <w:t>Summary— Class V Transaction Summary—The Class V Transaction and the Merger Agreement—Opinion of Goldman Sachs &amp; Co. LLC</w:t>
      </w:r>
      <w:r>
        <w:rPr>
          <w:rFonts w:ascii="Arial" w:cs="Arial" w:eastAsia="Arial" w:hAnsi="Arial"/>
          <w:sz w:val="16"/>
          <w:szCs w:val="16"/>
          <w:color w:val="auto"/>
        </w:rPr>
        <w:t>,” “</w:t>
      </w:r>
      <w:r>
        <w:rPr>
          <w:rFonts w:ascii="Arial" w:cs="Arial" w:eastAsia="Arial" w:hAnsi="Arial"/>
          <w:sz w:val="16"/>
          <w:szCs w:val="16"/>
          <w:i w:val="1"/>
          <w:iCs w:val="1"/>
          <w:color w:val="auto"/>
        </w:rPr>
        <w:t>Risk Factors—Risks Relating to the Class V Transaction—The fairness opinions obtained by the Special Committee and our board of directors from their financial advisors will not reflect changes, circumstances, developments or events that may have occurred or may occur after the date of the opinions</w:t>
      </w:r>
      <w:r>
        <w:rPr>
          <w:rFonts w:ascii="Arial" w:cs="Arial" w:eastAsia="Arial" w:hAnsi="Arial"/>
          <w:sz w:val="16"/>
          <w:szCs w:val="16"/>
          <w:color w:val="auto"/>
        </w:rPr>
        <w:t>,” “</w:t>
      </w:r>
      <w:r>
        <w:rPr>
          <w:rFonts w:ascii="Arial" w:cs="Arial" w:eastAsia="Arial" w:hAnsi="Arial"/>
          <w:sz w:val="16"/>
          <w:szCs w:val="16"/>
          <w:i w:val="1"/>
          <w:iCs w:val="1"/>
          <w:color w:val="auto"/>
        </w:rPr>
        <w:t>Proposal 1 – Adoption of the Merger Agreement—Background of the Class V Transaction</w:t>
      </w:r>
      <w:r>
        <w:rPr>
          <w:rFonts w:ascii="Arial" w:cs="Arial" w:eastAsia="Arial" w:hAnsi="Arial"/>
          <w:sz w:val="16"/>
          <w:szCs w:val="16"/>
          <w:color w:val="auto"/>
        </w:rPr>
        <w:t>,” “</w:t>
      </w:r>
      <w:r>
        <w:rPr>
          <w:rFonts w:ascii="Arial" w:cs="Arial" w:eastAsia="Arial" w:hAnsi="Arial"/>
          <w:sz w:val="16"/>
          <w:szCs w:val="16"/>
          <w:i w:val="1"/>
          <w:iCs w:val="1"/>
          <w:color w:val="auto"/>
        </w:rPr>
        <w:t>Proposal 1 – Adoption of the Merger Agreement—Recommendation of the Board of Directors</w:t>
      </w:r>
      <w:r>
        <w:rPr>
          <w:rFonts w:ascii="Arial" w:cs="Arial" w:eastAsia="Arial" w:hAnsi="Arial"/>
          <w:sz w:val="16"/>
          <w:szCs w:val="16"/>
          <w:color w:val="auto"/>
        </w:rPr>
        <w:t>,” “</w:t>
      </w:r>
      <w:r>
        <w:rPr>
          <w:rFonts w:ascii="Arial" w:cs="Arial" w:eastAsia="Arial" w:hAnsi="Arial"/>
          <w:sz w:val="16"/>
          <w:szCs w:val="16"/>
          <w:i w:val="1"/>
          <w:iCs w:val="1"/>
          <w:color w:val="auto"/>
        </w:rPr>
        <w:t>Proposal 1 – Adoption of the Merger Agreement—Opinion of Goldman Sachs &amp; Co. LLC</w:t>
      </w:r>
      <w:r>
        <w:rPr>
          <w:rFonts w:ascii="Arial" w:cs="Arial" w:eastAsia="Arial" w:hAnsi="Arial"/>
          <w:sz w:val="16"/>
          <w:szCs w:val="16"/>
          <w:color w:val="auto"/>
        </w:rPr>
        <w:t>,” “</w:t>
      </w:r>
      <w:r>
        <w:rPr>
          <w:rFonts w:ascii="Arial" w:cs="Arial" w:eastAsia="Arial" w:hAnsi="Arial"/>
          <w:sz w:val="16"/>
          <w:szCs w:val="16"/>
          <w:i w:val="1"/>
          <w:iCs w:val="1"/>
          <w:color w:val="auto"/>
        </w:rPr>
        <w:t>Proposal 1 – Adoption of the Merger Agreement—Certain Financial Projections</w:t>
      </w:r>
      <w:r>
        <w:rPr>
          <w:rFonts w:ascii="Arial" w:cs="Arial" w:eastAsia="Arial" w:hAnsi="Arial"/>
          <w:sz w:val="16"/>
          <w:szCs w:val="16"/>
          <w:color w:val="auto"/>
        </w:rPr>
        <w:t>,” and to the inclusion of the Opinion Letter as an Annex to the Proxy Statement/Prospectus that</w:t>
      </w:r>
      <w:r>
        <w:rPr>
          <w:rFonts w:ascii="Arial" w:cs="Arial" w:eastAsia="Arial" w:hAnsi="Arial"/>
          <w:sz w:val="16"/>
          <w:szCs w:val="16"/>
          <w:i w:val="1"/>
          <w:iCs w:val="1"/>
          <w:color w:val="auto"/>
        </w:rPr>
        <w:t xml:space="preserve"> </w:t>
      </w:r>
      <w:r>
        <w:rPr>
          <w:rFonts w:ascii="Arial" w:cs="Arial" w:eastAsia="Arial" w:hAnsi="Arial"/>
          <w:sz w:val="16"/>
          <w:szCs w:val="16"/>
          <w:color w:val="auto"/>
        </w:rPr>
        <w:t>forms a part of the Initial Registration Statement, which is incorporated by reference into the Registration Statement. Notwithstanding the foregoing, it is understood that our consent is being delivered solely in connection with the filing of the Registration Statement and that our Opinion Letter is not to be used, circulated, quoted or otherwise referred to for any other purpose, nor is it to be filed with, included in or referred to, in whole or in part in any registration statement (including any subsequent amendments to the Registration Statement), proxy statement or any other document, except in accordance with our prior written consent.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21" Type="http://schemas.openxmlformats.org/officeDocument/2006/relationships/hyperlink" Target="http://www.sec.gov/Archives/edgar/data/1571996/000119312518239738/d681091ds4.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2019-12-08T06:37:41Z</dcterms:created>
  <dcterms:modified xsi:type="dcterms:W3CDTF">2019-12-08T06:37:41Z</dcterms:modified>
</cp:coreProperties>
</file>