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-609600</wp:posOffset>
            </wp:positionV>
            <wp:extent cx="57150" cy="622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641350</wp:posOffset>
            </wp:positionV>
            <wp:extent cx="6997065" cy="8809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809355"/>
                    </a:xfrm>
                    <a:prstGeom prst="rect">
                      <a:avLst/>
                    </a:prstGeom>
                    <a:noFill/>
                  </pic:spPr>
                </pic:pic>
              </a:graphicData>
            </a:graphic>
          </wp:anchor>
        </w:drawing>
      </w:r>
    </w:p>
    <w:p>
      <w:pPr>
        <w:spacing w:after="0" w:line="1025" w:lineRule="exact"/>
        <w:rPr>
          <w:sz w:val="24"/>
          <w:szCs w:val="24"/>
          <w:color w:val="auto"/>
        </w:rPr>
      </w:pPr>
    </w:p>
    <w:p>
      <w:pPr>
        <w:sectPr>
          <w:pgSz w:w="11900" w:h="16838" w:orient="portrait"/>
          <w:cols w:equalWidth="0" w:num="2">
            <w:col w:w="2320" w:space="340"/>
            <w:col w:w="8320"/>
          </w:cols>
          <w:pgMar w:left="460" w:top="215" w:right="459" w:bottom="134"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8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2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Technology Investors IV, L.P.</w:t>
              </w:r>
            </w:hyperlink>
          </w:p>
        </w:tc>
        <w:tc>
          <w:tcPr>
            <w:tcW w:w="60" w:type="dxa"/>
            <w:vAlign w:val="bottom"/>
          </w:tcPr>
          <w:p>
            <w:pPr>
              <w:spacing w:after="0"/>
              <w:rPr>
                <w:sz w:val="15"/>
                <w:szCs w:val="15"/>
                <w:color w:val="auto"/>
              </w:rPr>
            </w:pPr>
          </w:p>
        </w:tc>
        <w:tc>
          <w:tcPr>
            <w:tcW w:w="2780" w:type="dxa"/>
            <w:vAlign w:val="bottom"/>
            <w:gridSpan w:val="5"/>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Dell Technologies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72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60" w:type="dxa"/>
            <w:vAlign w:val="bottom"/>
            <w:vMerge w:val="restart"/>
          </w:tcPr>
          <w:p>
            <w:pPr>
              <w:ind w:left="220"/>
              <w:spacing w:after="0" w:line="146" w:lineRule="exact"/>
              <w:rPr>
                <w:sz w:val="20"/>
                <w:szCs w:val="20"/>
                <w:color w:val="auto"/>
              </w:rPr>
            </w:pPr>
            <w:r>
              <w:rPr>
                <w:rFonts w:ascii="Arial" w:cs="Arial" w:eastAsia="Arial" w:hAnsi="Arial"/>
                <w:sz w:val="13"/>
                <w:szCs w:val="13"/>
                <w:color w:val="auto"/>
              </w:rPr>
              <w:t>Director</w:t>
            </w:r>
          </w:p>
        </w:tc>
        <w:tc>
          <w:tcPr>
            <w:tcW w:w="1780" w:type="dxa"/>
            <w:vAlign w:val="bottom"/>
            <w:gridSpan w:val="3"/>
            <w:vMerge w:val="restart"/>
          </w:tcPr>
          <w:p>
            <w:pPr>
              <w:ind w:left="6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7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vMerge w:val="restart"/>
          </w:tcPr>
          <w:p>
            <w:pPr>
              <w:ind w:left="220"/>
              <w:spacing w:after="0"/>
              <w:rPr>
                <w:sz w:val="20"/>
                <w:szCs w:val="20"/>
                <w:color w:val="auto"/>
              </w:rPr>
            </w:pPr>
            <w:r>
              <w:rPr>
                <w:rFonts w:ascii="Arial" w:cs="Arial" w:eastAsia="Arial" w:hAnsi="Arial"/>
                <w:sz w:val="13"/>
                <w:szCs w:val="13"/>
                <w:color w:val="auto"/>
                <w:w w:val="97"/>
              </w:rPr>
              <w:t>Officer (give title</w:t>
            </w:r>
          </w:p>
        </w:tc>
        <w:tc>
          <w:tcPr>
            <w:tcW w:w="1780" w:type="dxa"/>
            <w:vAlign w:val="bottom"/>
            <w:gridSpan w:val="3"/>
            <w:vMerge w:val="restart"/>
          </w:tcPr>
          <w:p>
            <w:pPr>
              <w:ind w:left="6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00"/>
              <w:spacing w:after="0"/>
              <w:rPr>
                <w:sz w:val="20"/>
                <w:szCs w:val="20"/>
                <w:color w:val="auto"/>
              </w:rPr>
            </w:pPr>
            <w:r>
              <w:rPr>
                <w:rFonts w:ascii="Arial" w:cs="Arial" w:eastAsia="Arial" w:hAnsi="Arial"/>
                <w:sz w:val="13"/>
                <w:szCs w:val="13"/>
                <w:color w:val="auto"/>
              </w:rPr>
              <w:t>(First)</w:t>
            </w:r>
          </w:p>
        </w:tc>
        <w:tc>
          <w:tcPr>
            <w:tcW w:w="520" w:type="dxa"/>
            <w:vAlign w:val="bottom"/>
          </w:tcPr>
          <w:p>
            <w:pPr>
              <w:ind w:left="40"/>
              <w:spacing w:after="0"/>
              <w:rPr>
                <w:sz w:val="20"/>
                <w:szCs w:val="20"/>
                <w:color w:val="auto"/>
              </w:rPr>
            </w:pPr>
            <w:r>
              <w:rPr>
                <w:rFonts w:ascii="Arial" w:cs="Arial" w:eastAsia="Arial" w:hAnsi="Arial"/>
                <w:sz w:val="13"/>
                <w:szCs w:val="13"/>
                <w:color w:val="auto"/>
                <w:w w:val="97"/>
              </w:rPr>
              <w:t>(Middle)</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80" w:type="dxa"/>
            <w:vAlign w:val="bottom"/>
            <w:gridSpan w:val="5"/>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ind w:left="220"/>
              <w:spacing w:after="0"/>
              <w:rPr>
                <w:sz w:val="20"/>
                <w:szCs w:val="20"/>
                <w:color w:val="auto"/>
              </w:rPr>
            </w:pPr>
            <w:r>
              <w:rPr>
                <w:rFonts w:ascii="Arial" w:cs="Arial" w:eastAsia="Arial" w:hAnsi="Arial"/>
                <w:sz w:val="13"/>
                <w:szCs w:val="13"/>
                <w:color w:val="auto"/>
              </w:rPr>
              <w:t>below)</w:t>
            </w:r>
          </w:p>
        </w:tc>
        <w:tc>
          <w:tcPr>
            <w:tcW w:w="1780" w:type="dxa"/>
            <w:vAlign w:val="bottom"/>
            <w:gridSpan w:val="3"/>
          </w:tcPr>
          <w:p>
            <w:pPr>
              <w:ind w:left="6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06/10/2026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9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92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60" w:type="dxa"/>
            <w:vAlign w:val="bottom"/>
            <w:gridSpan w:val="6"/>
            <w:vMerge w:val="restart"/>
          </w:tcPr>
          <w:p>
            <w:pPr>
              <w:spacing w:after="0"/>
              <w:rPr>
                <w:sz w:val="20"/>
                <w:szCs w:val="20"/>
                <w:color w:val="auto"/>
              </w:rPr>
            </w:pPr>
            <w:r>
              <w:rPr>
                <w:rFonts w:ascii="Arial" w:cs="Arial" w:eastAsia="Arial" w:hAnsi="Arial"/>
                <w:sz w:val="13"/>
                <w:szCs w:val="13"/>
                <w:color w:val="auto"/>
                <w:w w:val="97"/>
              </w:rPr>
              <w:t>4. If Amendment, Date of Original Filed (Month/Day/Year)</w:t>
            </w:r>
          </w:p>
        </w:tc>
        <w:tc>
          <w:tcPr>
            <w:tcW w:w="500" w:type="dxa"/>
            <w:vAlign w:val="bottom"/>
          </w:tcPr>
          <w:p>
            <w:pPr>
              <w:spacing w:after="0"/>
              <w:rPr>
                <w:sz w:val="6"/>
                <w:szCs w:val="6"/>
                <w:color w:val="auto"/>
              </w:rPr>
            </w:pPr>
          </w:p>
        </w:tc>
        <w:tc>
          <w:tcPr>
            <w:tcW w:w="3320" w:type="dxa"/>
            <w:vAlign w:val="bottom"/>
            <w:gridSpan w:val="5"/>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60" w:type="dxa"/>
            <w:vAlign w:val="bottom"/>
            <w:gridSpan w:val="6"/>
            <w:vMerge w:val="continue"/>
          </w:tcPr>
          <w:p>
            <w:pPr>
              <w:spacing w:after="0"/>
              <w:rPr>
                <w:sz w:val="8"/>
                <w:szCs w:val="8"/>
                <w:color w:val="auto"/>
              </w:rPr>
            </w:pPr>
          </w:p>
        </w:tc>
        <w:tc>
          <w:tcPr>
            <w:tcW w:w="500" w:type="dxa"/>
            <w:vAlign w:val="bottom"/>
          </w:tcPr>
          <w:p>
            <w:pPr>
              <w:spacing w:after="0"/>
              <w:rPr>
                <w:sz w:val="8"/>
                <w:szCs w:val="8"/>
                <w:color w:val="auto"/>
              </w:rPr>
            </w:pPr>
          </w:p>
        </w:tc>
        <w:tc>
          <w:tcPr>
            <w:tcW w:w="33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vMerge w:val="restart"/>
          </w:tcPr>
          <w:p>
            <w:pPr>
              <w:spacing w:after="0"/>
              <w:rPr>
                <w:sz w:val="3"/>
                <w:szCs w:val="3"/>
                <w:color w:val="auto"/>
              </w:rPr>
            </w:pPr>
          </w:p>
        </w:tc>
        <w:tc>
          <w:tcPr>
            <w:tcW w:w="38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0000FF"/>
              </w:rPr>
              <w:t>MENLO PARK</w:t>
            </w:r>
          </w:p>
        </w:tc>
        <w:tc>
          <w:tcPr>
            <w:tcW w:w="1280" w:type="dxa"/>
            <w:vAlign w:val="bottom"/>
          </w:tcPr>
          <w:p>
            <w:pPr>
              <w:ind w:left="100"/>
              <w:spacing w:after="0" w:line="176" w:lineRule="exact"/>
              <w:rPr>
                <w:sz w:val="20"/>
                <w:szCs w:val="20"/>
                <w:color w:val="auto"/>
              </w:rPr>
            </w:pPr>
            <w:r>
              <w:rPr>
                <w:rFonts w:ascii="Times New Roman" w:cs="Times New Roman" w:eastAsia="Times New Roman" w:hAnsi="Times New Roman"/>
                <w:sz w:val="16"/>
                <w:szCs w:val="16"/>
                <w:color w:val="0000FF"/>
              </w:rPr>
              <w:t>CA</w:t>
            </w:r>
          </w:p>
        </w:tc>
        <w:tc>
          <w:tcPr>
            <w:tcW w:w="52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94025</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ind w:left="220"/>
              <w:spacing w:after="0"/>
              <w:rPr>
                <w:sz w:val="20"/>
                <w:szCs w:val="20"/>
                <w:color w:val="auto"/>
              </w:rPr>
            </w:pPr>
            <w:r>
              <w:rPr>
                <w:rFonts w:ascii="Arial" w:cs="Arial" w:eastAsia="Arial" w:hAnsi="Arial"/>
                <w:sz w:val="13"/>
                <w:szCs w:val="13"/>
                <w:color w:val="auto"/>
              </w:rPr>
              <w:t>Person</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00"/>
              <w:spacing w:after="0"/>
              <w:rPr>
                <w:sz w:val="20"/>
                <w:szCs w:val="20"/>
                <w:color w:val="auto"/>
              </w:rPr>
            </w:pPr>
            <w:r>
              <w:rPr>
                <w:rFonts w:ascii="Arial" w:cs="Arial" w:eastAsia="Arial" w:hAnsi="Arial"/>
                <w:sz w:val="13"/>
                <w:szCs w:val="13"/>
                <w:color w:val="auto"/>
              </w:rPr>
              <w:t>(State)</w:t>
            </w:r>
          </w:p>
        </w:tc>
        <w:tc>
          <w:tcPr>
            <w:tcW w:w="520" w:type="dxa"/>
            <w:vAlign w:val="bottom"/>
          </w:tcPr>
          <w:p>
            <w:pPr>
              <w:ind w:left="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1940" w:type="dxa"/>
            <w:vAlign w:val="bottom"/>
            <w:tcBorders>
              <w:bottom w:val="single" w:sz="8" w:color="2C2C2C"/>
            </w:tcBorders>
            <w:gridSpan w:val="4"/>
          </w:tcPr>
          <w:p>
            <w:pPr>
              <w:spacing w:after="0"/>
              <w:rPr>
                <w:sz w:val="10"/>
                <w:szCs w:val="10"/>
                <w:color w:val="auto"/>
              </w:rPr>
            </w:pPr>
          </w:p>
        </w:tc>
        <w:tc>
          <w:tcPr>
            <w:tcW w:w="1540" w:type="dxa"/>
            <w:vAlign w:val="bottom"/>
            <w:tcBorders>
              <w:bottom w:val="single" w:sz="8" w:color="2C2C2C"/>
            </w:tcBorders>
            <w:gridSpan w:val="2"/>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7960" w:type="dxa"/>
            <w:vAlign w:val="bottom"/>
            <w:tcBorders>
              <w:top w:val="single" w:sz="8" w:color="2C2C2C"/>
            </w:tcBorders>
            <w:gridSpan w:val="15"/>
          </w:tcPr>
          <w:p>
            <w:pPr>
              <w:jc w:val="right"/>
              <w:ind w:right="553"/>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1"/>
                <w:szCs w:val="11"/>
                <w:b w:val="1"/>
                <w:bCs w:val="1"/>
                <w:color w:val="auto"/>
                <w:w w:val="99"/>
              </w:rPr>
              <w:t>2. Transaction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0" w:type="dxa"/>
            <w:vAlign w:val="bottom"/>
          </w:tcPr>
          <w:p>
            <w:pPr>
              <w:spacing w:after="0"/>
              <w:rPr>
                <w:sz w:val="14"/>
                <w:szCs w:val="14"/>
                <w:color w:val="auto"/>
              </w:rPr>
            </w:pPr>
          </w:p>
        </w:tc>
        <w:tc>
          <w:tcPr>
            <w:tcW w:w="21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4"/>
          </w:tcPr>
          <w:p>
            <w:pPr>
              <w:ind w:left="100"/>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11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84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Form: Direct</w:t>
            </w:r>
          </w:p>
        </w:tc>
        <w:tc>
          <w:tcPr>
            <w:tcW w:w="94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5"/>
          </w:tcPr>
          <w:p>
            <w:pPr>
              <w:jc w:val="center"/>
              <w:spacing w:after="0" w:line="126"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84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(D) or Indirect</w:t>
            </w:r>
          </w:p>
        </w:tc>
        <w:tc>
          <w:tcPr>
            <w:tcW w:w="94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84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(I) (Instr. 4)</w:t>
            </w:r>
          </w:p>
        </w:tc>
        <w:tc>
          <w:tcPr>
            <w:tcW w:w="94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6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840" w:type="dxa"/>
            <w:vAlign w:val="bottom"/>
          </w:tcPr>
          <w:p>
            <w:pPr>
              <w:spacing w:after="0"/>
              <w:rPr>
                <w:sz w:val="5"/>
                <w:szCs w:val="5"/>
                <w:color w:val="auto"/>
              </w:rPr>
            </w:pPr>
          </w:p>
        </w:tc>
        <w:tc>
          <w:tcPr>
            <w:tcW w:w="940" w:type="dxa"/>
            <w:vAlign w:val="bottom"/>
            <w:gridSpan w:val="2"/>
            <w:vMerge w:val="restart"/>
          </w:tcPr>
          <w:p>
            <w:pPr>
              <w:ind w:left="8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(A) or</w:t>
            </w:r>
          </w:p>
        </w:tc>
        <w:tc>
          <w:tcPr>
            <w:tcW w:w="8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(1)(2)</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2,298</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16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color w:val="0000FF"/>
              </w:rPr>
              <w:t>2,298</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gridSpan w:val="4"/>
            <w:vMerge w:val="continue"/>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5"/>
            <w:vMerge w:val="continue"/>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63</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371.39</w:t>
            </w:r>
            <w:r>
              <w:rPr>
                <w:rFonts w:ascii="Times New Roman" w:cs="Times New Roman" w:eastAsia="Times New Roman" w:hAnsi="Times New Roman"/>
                <w:sz w:val="20"/>
                <w:szCs w:val="20"/>
                <w:color w:val="008000"/>
                <w:w w:val="93"/>
                <w:vertAlign w:val="superscript"/>
              </w:rPr>
              <w:t>(10)</w:t>
            </w:r>
          </w:p>
        </w:tc>
        <w:tc>
          <w:tcPr>
            <w:tcW w:w="116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color w:val="0000FF"/>
              </w:rPr>
              <w:t>2,235</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109</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372.5</w:t>
            </w:r>
            <w:r>
              <w:rPr>
                <w:rFonts w:ascii="Times New Roman" w:cs="Times New Roman" w:eastAsia="Times New Roman" w:hAnsi="Times New Roman"/>
                <w:sz w:val="20"/>
                <w:szCs w:val="20"/>
                <w:color w:val="008000"/>
                <w:w w:val="92"/>
                <w:vertAlign w:val="superscript"/>
              </w:rPr>
              <w:t>(11)</w:t>
            </w:r>
          </w:p>
        </w:tc>
        <w:tc>
          <w:tcPr>
            <w:tcW w:w="116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color w:val="0000FF"/>
              </w:rPr>
              <w:t>2,126</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57</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373.38</w:t>
            </w:r>
            <w:r>
              <w:rPr>
                <w:rFonts w:ascii="Times New Roman" w:cs="Times New Roman" w:eastAsia="Times New Roman" w:hAnsi="Times New Roman"/>
                <w:sz w:val="20"/>
                <w:szCs w:val="20"/>
                <w:color w:val="008000"/>
                <w:w w:val="93"/>
                <w:vertAlign w:val="superscript"/>
              </w:rPr>
              <w:t>(12)</w:t>
            </w:r>
          </w:p>
        </w:tc>
        <w:tc>
          <w:tcPr>
            <w:tcW w:w="116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color w:val="0000FF"/>
              </w:rPr>
              <w:t>2,069</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30</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374.26</w:t>
            </w:r>
            <w:r>
              <w:rPr>
                <w:rFonts w:ascii="Times New Roman" w:cs="Times New Roman" w:eastAsia="Times New Roman" w:hAnsi="Times New Roman"/>
                <w:sz w:val="20"/>
                <w:szCs w:val="20"/>
                <w:color w:val="008000"/>
                <w:w w:val="93"/>
                <w:vertAlign w:val="superscript"/>
              </w:rPr>
              <w:t>(13)</w:t>
            </w:r>
          </w:p>
        </w:tc>
        <w:tc>
          <w:tcPr>
            <w:tcW w:w="116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color w:val="0000FF"/>
              </w:rPr>
              <w:t>2,039</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70</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375.51</w:t>
            </w:r>
            <w:r>
              <w:rPr>
                <w:rFonts w:ascii="Times New Roman" w:cs="Times New Roman" w:eastAsia="Times New Roman" w:hAnsi="Times New Roman"/>
                <w:sz w:val="20"/>
                <w:szCs w:val="20"/>
                <w:color w:val="008000"/>
                <w:w w:val="93"/>
                <w:vertAlign w:val="superscript"/>
              </w:rPr>
              <w:t>(14)</w:t>
            </w:r>
          </w:p>
        </w:tc>
        <w:tc>
          <w:tcPr>
            <w:tcW w:w="116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color w:val="0000FF"/>
              </w:rPr>
              <w:t>1,968</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9"/>
                <w:szCs w:val="19"/>
                <w:color w:val="auto"/>
              </w:rPr>
            </w:pPr>
          </w:p>
        </w:tc>
        <w:tc>
          <w:tcPr>
            <w:tcW w:w="102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9"/>
                <w:szCs w:val="19"/>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53</w:t>
            </w: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tcPr>
          <w:p>
            <w:pPr>
              <w:jc w:val="center"/>
              <w:spacing w:after="0" w:line="219" w:lineRule="exact"/>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376.56</w:t>
            </w:r>
            <w:r>
              <w:rPr>
                <w:rFonts w:ascii="Times New Roman" w:cs="Times New Roman" w:eastAsia="Times New Roman" w:hAnsi="Times New Roman"/>
                <w:sz w:val="20"/>
                <w:szCs w:val="20"/>
                <w:color w:val="008000"/>
                <w:w w:val="93"/>
                <w:vertAlign w:val="superscript"/>
              </w:rPr>
              <w:t>(15)</w:t>
            </w:r>
          </w:p>
        </w:tc>
        <w:tc>
          <w:tcPr>
            <w:tcW w:w="1160" w:type="dxa"/>
            <w:vAlign w:val="bottom"/>
          </w:tcPr>
          <w:p>
            <w:pPr>
              <w:jc w:val="right"/>
              <w:ind w:right="353"/>
              <w:spacing w:after="0"/>
              <w:rPr>
                <w:sz w:val="20"/>
                <w:szCs w:val="20"/>
                <w:color w:val="auto"/>
              </w:rPr>
            </w:pPr>
            <w:r>
              <w:rPr>
                <w:rFonts w:ascii="Times New Roman" w:cs="Times New Roman" w:eastAsia="Times New Roman" w:hAnsi="Times New Roman"/>
                <w:sz w:val="16"/>
                <w:szCs w:val="16"/>
                <w:color w:val="0000FF"/>
              </w:rPr>
              <w:t>1,916</w:t>
            </w:r>
          </w:p>
        </w:tc>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6"/>
          <w:szCs w:val="16"/>
          <w:color w:val="0000FF"/>
        </w:rPr>
        <w:t>Technology</w:t>
      </w:r>
    </w:p>
    <w:p>
      <w:pPr>
        <w:spacing w:after="0" w:line="9"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Investors</w:t>
      </w:r>
    </w:p>
    <w:p>
      <w:pPr>
        <w:spacing w:after="0" w:line="1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(3)(4)</w:t>
      </w:r>
    </w:p>
    <w:p>
      <w:pPr>
        <w:sectPr>
          <w:pgSz w:w="11900" w:h="16838" w:orient="portrait"/>
          <w:cols w:equalWidth="0" w:num="1">
            <w:col w:w="10980"/>
          </w:cols>
          <w:pgMar w:left="460" w:top="215" w:right="459" w:bottom="134"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065" cy="10525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065" cy="10525760"/>
                    </a:xfrm>
                    <a:prstGeom prst="rect">
                      <a:avLst/>
                    </a:prstGeom>
                    <a:noFill/>
                  </pic:spPr>
                </pic:pic>
              </a:graphicData>
            </a:graphic>
          </wp:anchor>
        </w:drawing>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ind w:left="700"/>
              <w:spacing w:after="0" w:line="126"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100"/>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Form: Direct</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jc w:val="center"/>
              <w:ind w:left="564"/>
              <w:spacing w:after="0" w:line="126"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(D) or Indirect</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(I) (Instr. 4)</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20" w:type="dxa"/>
            <w:vAlign w:val="bottom"/>
            <w:vMerge w:val="restart"/>
          </w:tcPr>
          <w:p>
            <w:pPr>
              <w:ind w:left="8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60"/>
              <w:spacing w:after="0" w:line="126" w:lineRule="exact"/>
              <w:rPr>
                <w:sz w:val="20"/>
                <w:szCs w:val="20"/>
                <w:color w:val="auto"/>
              </w:rPr>
            </w:pPr>
            <w:r>
              <w:rPr>
                <w:rFonts w:ascii="Arial" w:cs="Arial" w:eastAsia="Arial" w:hAnsi="Arial"/>
                <w:sz w:val="11"/>
                <w:szCs w:val="11"/>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88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4"/>
              <w:spacing w:after="0"/>
              <w:rPr>
                <w:sz w:val="20"/>
                <w:szCs w:val="20"/>
                <w:color w:val="auto"/>
              </w:rPr>
            </w:pPr>
            <w:r>
              <w:rPr>
                <w:rFonts w:ascii="Times New Roman" w:cs="Times New Roman" w:eastAsia="Times New Roman" w:hAnsi="Times New Roman"/>
                <w:sz w:val="16"/>
                <w:szCs w:val="16"/>
                <w:color w:val="0000FF"/>
                <w:w w:val="99"/>
              </w:rPr>
              <w:t>54</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377.63</w:t>
            </w:r>
            <w:r>
              <w:rPr>
                <w:rFonts w:ascii="Times New Roman" w:cs="Times New Roman" w:eastAsia="Times New Roman" w:hAnsi="Times New Roman"/>
                <w:sz w:val="20"/>
                <w:szCs w:val="20"/>
                <w:color w:val="008000"/>
                <w:w w:val="93"/>
                <w:vertAlign w:val="superscript"/>
              </w:rPr>
              <w:t>(16)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1,862</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4"/>
              <w:spacing w:after="0"/>
              <w:rPr>
                <w:sz w:val="20"/>
                <w:szCs w:val="20"/>
                <w:color w:val="auto"/>
              </w:rPr>
            </w:pPr>
            <w:r>
              <w:rPr>
                <w:rFonts w:ascii="Times New Roman" w:cs="Times New Roman" w:eastAsia="Times New Roman" w:hAnsi="Times New Roman"/>
                <w:sz w:val="16"/>
                <w:szCs w:val="16"/>
                <w:color w:val="0000FF"/>
                <w:w w:val="99"/>
              </w:rPr>
              <w:t>112</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378.81</w:t>
            </w:r>
            <w:r>
              <w:rPr>
                <w:rFonts w:ascii="Times New Roman" w:cs="Times New Roman" w:eastAsia="Times New Roman" w:hAnsi="Times New Roman"/>
                <w:sz w:val="20"/>
                <w:szCs w:val="20"/>
                <w:color w:val="008000"/>
                <w:w w:val="93"/>
                <w:vertAlign w:val="superscript"/>
              </w:rPr>
              <w:t>(17)</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1,750</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4"/>
              <w:spacing w:after="0"/>
              <w:rPr>
                <w:sz w:val="20"/>
                <w:szCs w:val="20"/>
                <w:color w:val="auto"/>
              </w:rPr>
            </w:pPr>
            <w:r>
              <w:rPr>
                <w:rFonts w:ascii="Times New Roman" w:cs="Times New Roman" w:eastAsia="Times New Roman" w:hAnsi="Times New Roman"/>
                <w:sz w:val="16"/>
                <w:szCs w:val="16"/>
                <w:color w:val="0000FF"/>
                <w:w w:val="99"/>
              </w:rPr>
              <w:t>83</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379.46</w:t>
            </w:r>
            <w:r>
              <w:rPr>
                <w:rFonts w:ascii="Times New Roman" w:cs="Times New Roman" w:eastAsia="Times New Roman" w:hAnsi="Times New Roman"/>
                <w:sz w:val="20"/>
                <w:szCs w:val="20"/>
                <w:color w:val="008000"/>
                <w:w w:val="93"/>
                <w:vertAlign w:val="superscript"/>
              </w:rPr>
              <w:t>(18)</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1,667</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4"/>
              <w:spacing w:after="0"/>
              <w:rPr>
                <w:sz w:val="20"/>
                <w:szCs w:val="20"/>
                <w:color w:val="auto"/>
              </w:rPr>
            </w:pPr>
            <w:r>
              <w:rPr>
                <w:rFonts w:ascii="Times New Roman" w:cs="Times New Roman" w:eastAsia="Times New Roman" w:hAnsi="Times New Roman"/>
                <w:sz w:val="16"/>
                <w:szCs w:val="16"/>
                <w:color w:val="0000FF"/>
                <w:w w:val="99"/>
              </w:rPr>
              <w:t>48</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380.5</w:t>
            </w:r>
            <w:r>
              <w:rPr>
                <w:rFonts w:ascii="Times New Roman" w:cs="Times New Roman" w:eastAsia="Times New Roman" w:hAnsi="Times New Roman"/>
                <w:sz w:val="20"/>
                <w:szCs w:val="20"/>
                <w:color w:val="008000"/>
                <w:w w:val="92"/>
                <w:vertAlign w:val="superscript"/>
              </w:rPr>
              <w:t>(19)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1,619</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4"/>
              <w:spacing w:after="0"/>
              <w:rPr>
                <w:sz w:val="20"/>
                <w:szCs w:val="20"/>
                <w:color w:val="auto"/>
              </w:rPr>
            </w:pPr>
            <w:r>
              <w:rPr>
                <w:rFonts w:ascii="Times New Roman" w:cs="Times New Roman" w:eastAsia="Times New Roman" w:hAnsi="Times New Roman"/>
                <w:sz w:val="16"/>
                <w:szCs w:val="16"/>
                <w:color w:val="0000FF"/>
                <w:w w:val="99"/>
              </w:rPr>
              <w:t>102</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381.8</w:t>
            </w:r>
            <w:r>
              <w:rPr>
                <w:rFonts w:ascii="Times New Roman" w:cs="Times New Roman" w:eastAsia="Times New Roman" w:hAnsi="Times New Roman"/>
                <w:sz w:val="20"/>
                <w:szCs w:val="20"/>
                <w:color w:val="008000"/>
                <w:w w:val="92"/>
                <w:vertAlign w:val="superscript"/>
              </w:rPr>
              <w:t>(20)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1,518</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4"/>
              <w:spacing w:after="0"/>
              <w:rPr>
                <w:sz w:val="20"/>
                <w:szCs w:val="20"/>
                <w:color w:val="auto"/>
              </w:rPr>
            </w:pPr>
            <w:r>
              <w:rPr>
                <w:rFonts w:ascii="Times New Roman" w:cs="Times New Roman" w:eastAsia="Times New Roman" w:hAnsi="Times New Roman"/>
                <w:sz w:val="16"/>
                <w:szCs w:val="16"/>
                <w:color w:val="0000FF"/>
                <w:w w:val="99"/>
              </w:rPr>
              <w:t>82</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382.82</w:t>
            </w:r>
            <w:r>
              <w:rPr>
                <w:rFonts w:ascii="Times New Roman" w:cs="Times New Roman" w:eastAsia="Times New Roman" w:hAnsi="Times New Roman"/>
                <w:sz w:val="20"/>
                <w:szCs w:val="20"/>
                <w:color w:val="008000"/>
                <w:w w:val="93"/>
                <w:vertAlign w:val="superscript"/>
              </w:rPr>
              <w:t>(21)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1,436</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4"/>
              <w:spacing w:after="0"/>
              <w:rPr>
                <w:sz w:val="20"/>
                <w:szCs w:val="20"/>
                <w:color w:val="auto"/>
              </w:rPr>
            </w:pPr>
            <w:r>
              <w:rPr>
                <w:rFonts w:ascii="Times New Roman" w:cs="Times New Roman" w:eastAsia="Times New Roman" w:hAnsi="Times New Roman"/>
                <w:sz w:val="16"/>
                <w:szCs w:val="16"/>
                <w:color w:val="0000FF"/>
                <w:w w:val="99"/>
              </w:rPr>
              <w:t>125</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383.73</w:t>
            </w:r>
            <w:r>
              <w:rPr>
                <w:rFonts w:ascii="Times New Roman" w:cs="Times New Roman" w:eastAsia="Times New Roman" w:hAnsi="Times New Roman"/>
                <w:sz w:val="20"/>
                <w:szCs w:val="20"/>
                <w:color w:val="008000"/>
                <w:w w:val="93"/>
                <w:vertAlign w:val="superscript"/>
              </w:rPr>
              <w:t>(22)</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1,311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4"/>
              <w:spacing w:after="0"/>
              <w:rPr>
                <w:sz w:val="20"/>
                <w:szCs w:val="20"/>
                <w:color w:val="auto"/>
              </w:rPr>
            </w:pPr>
            <w:r>
              <w:rPr>
                <w:rFonts w:ascii="Times New Roman" w:cs="Times New Roman" w:eastAsia="Times New Roman" w:hAnsi="Times New Roman"/>
                <w:sz w:val="16"/>
                <w:szCs w:val="16"/>
                <w:color w:val="0000FF"/>
                <w:w w:val="99"/>
              </w:rPr>
              <w:t>150</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384.71</w:t>
            </w:r>
            <w:r>
              <w:rPr>
                <w:rFonts w:ascii="Times New Roman" w:cs="Times New Roman" w:eastAsia="Times New Roman" w:hAnsi="Times New Roman"/>
                <w:sz w:val="20"/>
                <w:szCs w:val="20"/>
                <w:color w:val="008000"/>
                <w:w w:val="93"/>
                <w:vertAlign w:val="superscript"/>
              </w:rPr>
              <w:t>(23)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1,161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4"/>
              <w:spacing w:after="0"/>
              <w:rPr>
                <w:sz w:val="20"/>
                <w:szCs w:val="20"/>
                <w:color w:val="auto"/>
              </w:rPr>
            </w:pPr>
            <w:r>
              <w:rPr>
                <w:rFonts w:ascii="Times New Roman" w:cs="Times New Roman" w:eastAsia="Times New Roman" w:hAnsi="Times New Roman"/>
                <w:sz w:val="16"/>
                <w:szCs w:val="16"/>
                <w:color w:val="0000FF"/>
                <w:w w:val="99"/>
              </w:rPr>
              <w:t>125</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385.57</w:t>
            </w:r>
            <w:r>
              <w:rPr>
                <w:rFonts w:ascii="Times New Roman" w:cs="Times New Roman" w:eastAsia="Times New Roman" w:hAnsi="Times New Roman"/>
                <w:sz w:val="20"/>
                <w:szCs w:val="20"/>
                <w:color w:val="008000"/>
                <w:w w:val="93"/>
                <w:vertAlign w:val="superscript"/>
              </w:rPr>
              <w:t>(24)</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1,036</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4"/>
              <w:spacing w:after="0"/>
              <w:rPr>
                <w:sz w:val="20"/>
                <w:szCs w:val="20"/>
                <w:color w:val="auto"/>
              </w:rPr>
            </w:pPr>
            <w:r>
              <w:rPr>
                <w:rFonts w:ascii="Times New Roman" w:cs="Times New Roman" w:eastAsia="Times New Roman" w:hAnsi="Times New Roman"/>
                <w:sz w:val="16"/>
                <w:szCs w:val="16"/>
                <w:color w:val="0000FF"/>
                <w:w w:val="99"/>
              </w:rPr>
              <w:t>38</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386.65</w:t>
            </w:r>
            <w:r>
              <w:rPr>
                <w:rFonts w:ascii="Times New Roman" w:cs="Times New Roman" w:eastAsia="Times New Roman" w:hAnsi="Times New Roman"/>
                <w:sz w:val="20"/>
                <w:szCs w:val="20"/>
                <w:color w:val="008000"/>
                <w:w w:val="93"/>
                <w:vertAlign w:val="superscript"/>
              </w:rPr>
              <w:t>(25)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999</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8"/>
                <w:szCs w:val="18"/>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4"/>
              <w:spacing w:after="0"/>
              <w:rPr>
                <w:sz w:val="20"/>
                <w:szCs w:val="20"/>
                <w:color w:val="auto"/>
              </w:rPr>
            </w:pPr>
            <w:r>
              <w:rPr>
                <w:rFonts w:ascii="Times New Roman" w:cs="Times New Roman" w:eastAsia="Times New Roman" w:hAnsi="Times New Roman"/>
                <w:sz w:val="16"/>
                <w:szCs w:val="16"/>
                <w:color w:val="0000FF"/>
                <w:w w:val="99"/>
              </w:rPr>
              <w:t>5</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387.35</w:t>
            </w:r>
            <w:r>
              <w:rPr>
                <w:rFonts w:ascii="Times New Roman" w:cs="Times New Roman" w:eastAsia="Times New Roman" w:hAnsi="Times New Roman"/>
                <w:sz w:val="20"/>
                <w:szCs w:val="20"/>
                <w:color w:val="008000"/>
                <w:w w:val="93"/>
                <w:vertAlign w:val="superscript"/>
              </w:rPr>
              <w:t>(26)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994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72"/>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40"/>
          </w:cols>
          <w:pgMar w:left="480" w:top="189" w:right="479" w:bottom="652" w:gutter="0" w:footer="0" w:header="0"/>
        </w:sectPr>
      </w:pPr>
    </w:p>
    <w:p>
      <w:pPr>
        <w:ind w:left="10100"/>
        <w:spacing w:after="0" w:line="200" w:lineRule="auto"/>
        <w:rPr>
          <w:sz w:val="20"/>
          <w:szCs w:val="20"/>
          <w:color w:val="auto"/>
        </w:rPr>
      </w:pPr>
      <w:r>
        <w:rPr>
          <w:rFonts w:ascii="Times New Roman" w:cs="Times New Roman" w:eastAsia="Times New Roman" w:hAnsi="Times New Roman"/>
          <w:sz w:val="3"/>
          <w:szCs w:val="3"/>
          <w:color w:val="0000FF"/>
        </w:rPr>
        <w:t>Technology</w:t>
      </w:r>
    </w:p>
    <w:p>
      <w:pPr>
        <w:sectPr>
          <w:pgSz w:w="11900" w:h="16838" w:orient="portrait"/>
          <w:cols w:equalWidth="0" w:num="1">
            <w:col w:w="10940"/>
          </w:cols>
          <w:pgMar w:left="480" w:top="189" w:right="479" w:bottom="652" w:gutter="0" w:footer="0" w:header="0"/>
          <w:type w:val="continuous"/>
        </w:sectPr>
      </w:pPr>
    </w:p>
    <w:bookmarkStart w:id="2" w:name="page3"/>
    <w:bookmarkEnd w:id="2"/>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065" cy="10525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065" cy="10525760"/>
                    </a:xfrm>
                    <a:prstGeom prst="rect">
                      <a:avLst/>
                    </a:prstGeom>
                    <a:noFill/>
                  </pic:spPr>
                </pic:pic>
              </a:graphicData>
            </a:graphic>
          </wp:anchor>
        </w:drawing>
        <w:t>Table I - Non-Derivative Securities Acquired, Disposed of, or Beneficially Owned</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ind w:left="700"/>
              <w:spacing w:after="0" w:line="126"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100"/>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Form: Direct</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ind w:left="700"/>
              <w:spacing w:after="0" w:line="126"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(D) or Indirect</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(I) (Instr. 4)</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20" w:type="dxa"/>
            <w:vAlign w:val="bottom"/>
            <w:vMerge w:val="restart"/>
          </w:tcPr>
          <w:p>
            <w:pPr>
              <w:ind w:left="8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80"/>
              <w:spacing w:after="0" w:line="126" w:lineRule="exact"/>
              <w:rPr>
                <w:sz w:val="20"/>
                <w:szCs w:val="20"/>
                <w:color w:val="auto"/>
              </w:rPr>
            </w:pPr>
            <w:r>
              <w:rPr>
                <w:rFonts w:ascii="Arial" w:cs="Arial" w:eastAsia="Arial" w:hAnsi="Arial"/>
                <w:sz w:val="11"/>
                <w:szCs w:val="11"/>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88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color w:val="0000FF"/>
              </w:rPr>
              <w:t>50</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388.61</w:t>
            </w:r>
            <w:r>
              <w:rPr>
                <w:rFonts w:ascii="Times New Roman" w:cs="Times New Roman" w:eastAsia="Times New Roman" w:hAnsi="Times New Roman"/>
                <w:sz w:val="20"/>
                <w:szCs w:val="20"/>
                <w:color w:val="008000"/>
                <w:vertAlign w:val="superscript"/>
              </w:rPr>
              <w:t>(27)</w:t>
            </w:r>
          </w:p>
        </w:tc>
        <w:tc>
          <w:tcPr>
            <w:tcW w:w="10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944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8"/>
                <w:szCs w:val="18"/>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color w:val="0000FF"/>
              </w:rPr>
              <w:t>34</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390.02</w:t>
            </w:r>
            <w:r>
              <w:rPr>
                <w:rFonts w:ascii="Times New Roman" w:cs="Times New Roman" w:eastAsia="Times New Roman" w:hAnsi="Times New Roman"/>
                <w:sz w:val="20"/>
                <w:szCs w:val="20"/>
                <w:color w:val="008000"/>
                <w:vertAlign w:val="superscript"/>
              </w:rPr>
              <w:t>(28)</w:t>
            </w:r>
          </w:p>
        </w:tc>
        <w:tc>
          <w:tcPr>
            <w:tcW w:w="10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910</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72"/>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189" w:right="359" w:bottom="0" w:gutter="0" w:footer="0" w:header="0"/>
        </w:sectPr>
      </w:pPr>
    </w:p>
    <w:p>
      <w:pPr>
        <w:ind w:left="10120"/>
        <w:spacing w:after="0" w:line="200" w:lineRule="auto"/>
        <w:rPr>
          <w:sz w:val="20"/>
          <w:szCs w:val="20"/>
          <w:color w:val="auto"/>
        </w:rPr>
      </w:pPr>
      <w:r>
        <w:rPr>
          <w:rFonts w:ascii="Times New Roman" w:cs="Times New Roman" w:eastAsia="Times New Roman" w:hAnsi="Times New Roman"/>
          <w:sz w:val="3"/>
          <w:szCs w:val="3"/>
          <w:color w:val="0000FF"/>
        </w:rPr>
        <w:t>Technology</w:t>
      </w:r>
    </w:p>
    <w:p>
      <w:pPr>
        <w:sectPr>
          <w:pgSz w:w="11900" w:h="16838" w:orient="portrait"/>
          <w:cols w:equalWidth="0" w:num="1">
            <w:col w:w="11080"/>
          </w:cols>
          <w:pgMar w:left="460" w:top="189" w:right="359" w:bottom="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Held</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through</w:t>
      </w:r>
    </w:p>
    <w:p>
      <w:pPr>
        <w:spacing w:after="0" w:line="17" w:lineRule="exact"/>
        <w:rPr>
          <w:sz w:val="20"/>
          <w:szCs w:val="20"/>
          <w:color w:val="auto"/>
        </w:rPr>
      </w:pPr>
    </w:p>
    <w:p>
      <w:pPr>
        <w:ind w:left="80"/>
        <w:spacing w:after="0"/>
        <w:tabs>
          <w:tab w:leader="none" w:pos="8400" w:val="left"/>
          <w:tab w:leader="none" w:pos="9560" w:val="left"/>
          <w:tab w:leader="none" w:pos="10100" w:val="left"/>
        </w:tabs>
        <w:rPr>
          <w:sz w:val="20"/>
          <w:szCs w:val="20"/>
          <w:color w:val="auto"/>
        </w:rPr>
      </w:pPr>
      <w:r>
        <w:rPr>
          <w:rFonts w:ascii="Times New Roman" w:cs="Times New Roman" w:eastAsia="Times New Roman" w:hAnsi="Times New Roman"/>
          <w:sz w:val="16"/>
          <w:szCs w:val="16"/>
          <w:color w:val="0000FF"/>
        </w:rPr>
        <w:t>Class C Common Stock</w:t>
      </w:r>
      <w:r>
        <w:rPr>
          <w:sz w:val="20"/>
          <w:szCs w:val="20"/>
          <w:color w:val="auto"/>
        </w:rPr>
        <w:tab/>
      </w:r>
      <w:r>
        <w:rPr>
          <w:rFonts w:ascii="Times New Roman" w:cs="Times New Roman" w:eastAsia="Times New Roman" w:hAnsi="Times New Roman"/>
          <w:sz w:val="16"/>
          <w:szCs w:val="16"/>
          <w:color w:val="0000FF"/>
        </w:rPr>
        <w:t>9,359</w:t>
      </w:r>
      <w:r>
        <w:rPr>
          <w:sz w:val="20"/>
          <w:szCs w:val="20"/>
          <w:color w:val="auto"/>
        </w:rPr>
        <w:tab/>
      </w:r>
      <w:r>
        <w:rPr>
          <w:rFonts w:ascii="Times New Roman" w:cs="Times New Roman" w:eastAsia="Times New Roman" w:hAnsi="Times New Roman"/>
          <w:sz w:val="16"/>
          <w:szCs w:val="16"/>
          <w:color w:val="0000FF"/>
        </w:rPr>
        <w:t>I</w:t>
      </w:r>
      <w:r>
        <w:rPr>
          <w:sz w:val="20"/>
          <w:szCs w:val="20"/>
          <w:color w:val="auto"/>
        </w:rPr>
        <w:tab/>
      </w:r>
      <w:r>
        <w:rPr>
          <w:rFonts w:ascii="Times New Roman" w:cs="Times New Roman" w:eastAsia="Times New Roman" w:hAnsi="Times New Roman"/>
          <w:sz w:val="16"/>
          <w:szCs w:val="16"/>
          <w:color w:val="0000FF"/>
        </w:rPr>
        <w:t>Silver Lake</w:t>
      </w:r>
    </w:p>
    <w:p>
      <w:pPr>
        <w:spacing w:after="0" w:line="1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Group,</w:t>
      </w:r>
    </w:p>
    <w:p>
      <w:pPr>
        <w:spacing w:after="0" w:line="1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(4)(5)</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vMerge w:val="restart"/>
          </w:tcPr>
          <w:p>
            <w:pPr>
              <w:jc w:val="center"/>
              <w:ind w:left="311"/>
              <w:spacing w:after="0"/>
              <w:rPr>
                <w:sz w:val="20"/>
                <w:szCs w:val="20"/>
                <w:color w:val="auto"/>
              </w:rPr>
            </w:pPr>
            <w:r>
              <w:rPr>
                <w:rFonts w:ascii="Times New Roman" w:cs="Times New Roman" w:eastAsia="Times New Roman" w:hAnsi="Times New Roman"/>
                <w:sz w:val="16"/>
                <w:szCs w:val="16"/>
                <w:color w:val="0000FF"/>
                <w:w w:val="99"/>
              </w:rPr>
              <w:t>4,845</w:t>
            </w:r>
          </w:p>
        </w:tc>
        <w:tc>
          <w:tcPr>
            <w:tcW w:w="700" w:type="dxa"/>
            <w:vAlign w:val="bottom"/>
          </w:tcPr>
          <w:p>
            <w:pPr>
              <w:spacing w:after="0"/>
              <w:rPr>
                <w:sz w:val="17"/>
                <w:szCs w:val="17"/>
                <w:color w:val="auto"/>
              </w:rPr>
            </w:pPr>
          </w:p>
        </w:tc>
        <w:tc>
          <w:tcPr>
            <w:tcW w:w="18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1440" w:type="dxa"/>
            <w:vAlign w:val="bottom"/>
            <w:tcBorders>
              <w:top w:val="single" w:sz="8" w:color="2C2C2C"/>
            </w:tcBorders>
            <w:gridSpan w:val="2"/>
            <w:vMerge w:val="restart"/>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164,214</w:t>
            </w:r>
          </w:p>
        </w:tc>
        <w:tc>
          <w:tcPr>
            <w:tcW w:w="18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Borders>
              <w:top w:val="single" w:sz="8" w:color="2C2C2C"/>
            </w:tcBorders>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1440" w:type="dxa"/>
            <w:vAlign w:val="bottom"/>
            <w:tcBorders>
              <w:top w:val="single" w:sz="8" w:color="2C2C2C"/>
              <w:bottom w:val="single" w:sz="8" w:color="2C2C2C"/>
            </w:tcBorders>
            <w:gridSpan w:val="2"/>
          </w:tcPr>
          <w:p>
            <w:pPr>
              <w:jc w:val="center"/>
              <w:ind w:right="283"/>
              <w:spacing w:after="0"/>
              <w:rPr>
                <w:sz w:val="20"/>
                <w:szCs w:val="20"/>
                <w:color w:val="auto"/>
              </w:rPr>
            </w:pPr>
            <w:r>
              <w:rPr>
                <w:rFonts w:ascii="Times New Roman" w:cs="Times New Roman" w:eastAsia="Times New Roman" w:hAnsi="Times New Roman"/>
                <w:sz w:val="16"/>
                <w:szCs w:val="16"/>
                <w:color w:val="0000FF"/>
              </w:rPr>
              <w:t>1,317,963</w:t>
            </w:r>
          </w:p>
        </w:tc>
        <w:tc>
          <w:tcPr>
            <w:tcW w:w="900" w:type="dxa"/>
            <w:vAlign w:val="bottom"/>
            <w:tcBorders>
              <w:top w:val="single" w:sz="8" w:color="2C2C2C"/>
              <w:bottom w:val="single" w:sz="8" w:color="2C2C2C"/>
            </w:tcBorders>
            <w:gridSpan w:val="2"/>
          </w:tcPr>
          <w:p>
            <w:pPr>
              <w:jc w:val="center"/>
              <w:ind w:right="551"/>
              <w:spacing w:after="0" w:line="301"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(8)</w:t>
            </w: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gridSpan w:val="2"/>
            <w:vMerge w:val="restart"/>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47,234</w:t>
            </w:r>
          </w:p>
        </w:tc>
        <w:tc>
          <w:tcPr>
            <w:tcW w:w="18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1440" w:type="dxa"/>
            <w:vAlign w:val="bottom"/>
            <w:tcBorders>
              <w:top w:val="single" w:sz="8" w:color="2C2C2C"/>
            </w:tcBorders>
            <w:gridSpan w:val="2"/>
            <w:vMerge w:val="restart"/>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116,509</w:t>
            </w:r>
          </w:p>
        </w:tc>
        <w:tc>
          <w:tcPr>
            <w:tcW w:w="18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Borders>
              <w:top w:val="single" w:sz="8" w:color="2C2C2C"/>
            </w:tcBorders>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(29)</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14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60" w:type="dxa"/>
            <w:vAlign w:val="bottom"/>
            <w:gridSpan w:val="12"/>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18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Expiration Date</w:t>
            </w:r>
          </w:p>
        </w:tc>
        <w:tc>
          <w:tcPr>
            <w:tcW w:w="148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Securities Underlying</w:t>
            </w:r>
          </w:p>
        </w:tc>
        <w:tc>
          <w:tcPr>
            <w:tcW w:w="7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line="126"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72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20"/>
              <w:spacing w:after="0" w:line="126"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148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Derivative Security</w:t>
            </w:r>
          </w:p>
        </w:tc>
        <w:tc>
          <w:tcPr>
            <w:tcW w:w="7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spacing w:after="0" w:line="126" w:lineRule="exact"/>
              <w:rPr>
                <w:sz w:val="20"/>
                <w:szCs w:val="20"/>
                <w:color w:val="auto"/>
              </w:rPr>
            </w:pPr>
            <w:r>
              <w:rPr>
                <w:rFonts w:ascii="Arial" w:cs="Arial" w:eastAsia="Arial" w:hAnsi="Arial"/>
                <w:sz w:val="11"/>
                <w:szCs w:val="11"/>
                <w:b w:val="1"/>
                <w:bCs w:val="1"/>
                <w:color w:val="auto"/>
              </w:rPr>
              <w:t>Securities</w:t>
            </w:r>
          </w:p>
        </w:tc>
        <w:tc>
          <w:tcPr>
            <w:tcW w:w="180" w:type="dxa"/>
            <w:vAlign w:val="bottom"/>
          </w:tcPr>
          <w:p>
            <w:pPr>
              <w:spacing w:after="0"/>
              <w:rPr>
                <w:sz w:val="10"/>
                <w:szCs w:val="10"/>
                <w:color w:val="auto"/>
              </w:rPr>
            </w:pPr>
          </w:p>
        </w:tc>
        <w:tc>
          <w:tcPr>
            <w:tcW w:w="72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Form:</w:t>
            </w:r>
          </w:p>
        </w:tc>
        <w:tc>
          <w:tcPr>
            <w:tcW w:w="700" w:type="dxa"/>
            <w:vAlign w:val="bottom"/>
            <w:tcBorders>
              <w:right w:val="single" w:sz="8" w:color="2C2C2C"/>
            </w:tcBorders>
            <w:gridSpan w:val="3"/>
          </w:tcPr>
          <w:p>
            <w:pPr>
              <w:ind w:left="2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8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8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(Instr. 3 and 4)</w:t>
            </w:r>
          </w:p>
        </w:tc>
        <w:tc>
          <w:tcPr>
            <w:tcW w:w="7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5)</w:t>
            </w:r>
          </w:p>
        </w:tc>
        <w:tc>
          <w:tcPr>
            <w:tcW w:w="700" w:type="dxa"/>
            <w:vAlign w:val="bottom"/>
          </w:tcPr>
          <w:p>
            <w:pPr>
              <w:spacing w:after="0" w:line="126" w:lineRule="exact"/>
              <w:rPr>
                <w:sz w:val="20"/>
                <w:szCs w:val="20"/>
                <w:color w:val="auto"/>
              </w:rPr>
            </w:pPr>
            <w:r>
              <w:rPr>
                <w:rFonts w:ascii="Arial" w:cs="Arial" w:eastAsia="Arial" w:hAnsi="Arial"/>
                <w:sz w:val="11"/>
                <w:szCs w:val="11"/>
                <w:b w:val="1"/>
                <w:bCs w:val="1"/>
                <w:color w:val="auto"/>
              </w:rPr>
              <w:t>Beneficially</w:t>
            </w:r>
          </w:p>
        </w:tc>
        <w:tc>
          <w:tcPr>
            <w:tcW w:w="180" w:type="dxa"/>
            <w:vAlign w:val="bottom"/>
          </w:tcPr>
          <w:p>
            <w:pPr>
              <w:spacing w:after="0"/>
              <w:rPr>
                <w:sz w:val="10"/>
                <w:szCs w:val="10"/>
                <w:color w:val="auto"/>
              </w:rPr>
            </w:pPr>
          </w:p>
        </w:tc>
        <w:tc>
          <w:tcPr>
            <w:tcW w:w="72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Direct (D)</w:t>
            </w:r>
          </w:p>
        </w:tc>
        <w:tc>
          <w:tcPr>
            <w:tcW w:w="700" w:type="dxa"/>
            <w:vAlign w:val="bottom"/>
            <w:tcBorders>
              <w:right w:val="single" w:sz="8" w:color="2C2C2C"/>
            </w:tcBorders>
            <w:gridSpan w:val="3"/>
          </w:tcPr>
          <w:p>
            <w:pPr>
              <w:ind w:left="2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6" w:lineRule="exact"/>
              <w:rPr>
                <w:sz w:val="20"/>
                <w:szCs w:val="20"/>
                <w:color w:val="auto"/>
              </w:rPr>
            </w:pPr>
            <w:r>
              <w:rPr>
                <w:rFonts w:ascii="Arial" w:cs="Arial" w:eastAsia="Arial" w:hAnsi="Arial"/>
                <w:sz w:val="11"/>
                <w:szCs w:val="11"/>
                <w:b w:val="1"/>
                <w:bCs w:val="1"/>
                <w:color w:val="auto"/>
              </w:rPr>
              <w:t>Owned</w:t>
            </w:r>
          </w:p>
        </w:tc>
        <w:tc>
          <w:tcPr>
            <w:tcW w:w="180" w:type="dxa"/>
            <w:vAlign w:val="bottom"/>
          </w:tcPr>
          <w:p>
            <w:pPr>
              <w:spacing w:after="0"/>
              <w:rPr>
                <w:sz w:val="10"/>
                <w:szCs w:val="10"/>
                <w:color w:val="auto"/>
              </w:rPr>
            </w:pPr>
          </w:p>
        </w:tc>
        <w:tc>
          <w:tcPr>
            <w:tcW w:w="72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2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6" w:lineRule="exact"/>
              <w:rPr>
                <w:sz w:val="20"/>
                <w:szCs w:val="20"/>
                <w:color w:val="auto"/>
              </w:rPr>
            </w:pPr>
            <w:r>
              <w:rPr>
                <w:rFonts w:ascii="Arial" w:cs="Arial" w:eastAsia="Arial" w:hAnsi="Arial"/>
                <w:sz w:val="11"/>
                <w:szCs w:val="11"/>
                <w:b w:val="1"/>
                <w:bCs w:val="1"/>
                <w:color w:val="auto"/>
              </w:rPr>
              <w:t>Following</w:t>
            </w:r>
          </w:p>
        </w:tc>
        <w:tc>
          <w:tcPr>
            <w:tcW w:w="180" w:type="dxa"/>
            <w:vAlign w:val="bottom"/>
          </w:tcPr>
          <w:p>
            <w:pPr>
              <w:spacing w:after="0"/>
              <w:rPr>
                <w:sz w:val="10"/>
                <w:szCs w:val="10"/>
                <w:color w:val="auto"/>
              </w:rPr>
            </w:pPr>
          </w:p>
        </w:tc>
        <w:tc>
          <w:tcPr>
            <w:tcW w:w="72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6" w:lineRule="exact"/>
              <w:rPr>
                <w:sz w:val="20"/>
                <w:szCs w:val="20"/>
                <w:color w:val="auto"/>
              </w:rPr>
            </w:pPr>
            <w:r>
              <w:rPr>
                <w:rFonts w:ascii="Arial" w:cs="Arial" w:eastAsia="Arial" w:hAnsi="Arial"/>
                <w:sz w:val="11"/>
                <w:szCs w:val="11"/>
                <w:b w:val="1"/>
                <w:bCs w:val="1"/>
                <w:color w:val="auto"/>
              </w:rPr>
              <w:t>Reported</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6" w:lineRule="exact"/>
              <w:rPr>
                <w:sz w:val="20"/>
                <w:szCs w:val="20"/>
                <w:color w:val="auto"/>
              </w:rPr>
            </w:pPr>
            <w:r>
              <w:rPr>
                <w:rFonts w:ascii="Arial" w:cs="Arial" w:eastAsia="Arial" w:hAnsi="Arial"/>
                <w:sz w:val="11"/>
                <w:szCs w:val="11"/>
                <w:b w:val="1"/>
                <w:bCs w:val="1"/>
                <w:color w:val="auto"/>
              </w:rPr>
              <w:t>(Instr. 4)</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6"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8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Number of</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Held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right w:val="single" w:sz="8" w:color="2C2C2C"/>
            </w:tcBorders>
            <w:gridSpan w:val="3"/>
          </w:tcPr>
          <w:p>
            <w:pPr>
              <w:ind w:left="20"/>
              <w:spacing w:after="0" w:line="138" w:lineRule="exact"/>
              <w:rPr>
                <w:sz w:val="20"/>
                <w:szCs w:val="20"/>
                <w:color w:val="auto"/>
              </w:rPr>
            </w:pPr>
            <w:r>
              <w:rPr>
                <w:rFonts w:ascii="Times New Roman" w:cs="Times New Roman" w:eastAsia="Times New Roman" w:hAnsi="Times New Roman"/>
                <w:sz w:val="13"/>
                <w:szCs w:val="13"/>
                <w:color w:val="0000FF"/>
              </w:rPr>
              <w:t>through</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Class B</w:t>
            </w: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(1)(2)</w:t>
            </w: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Class C</w:t>
            </w:r>
          </w:p>
        </w:tc>
        <w:tc>
          <w:tcPr>
            <w:tcW w:w="860" w:type="dxa"/>
            <w:vAlign w:val="bottom"/>
            <w:vMerge w:val="restart"/>
          </w:tcPr>
          <w:p>
            <w:pPr>
              <w:jc w:val="right"/>
              <w:ind w:right="173"/>
              <w:spacing w:after="0"/>
              <w:rPr>
                <w:sz w:val="20"/>
                <w:szCs w:val="20"/>
                <w:color w:val="auto"/>
              </w:rPr>
            </w:pPr>
            <w:r>
              <w:rPr>
                <w:rFonts w:ascii="Times New Roman" w:cs="Times New Roman" w:eastAsia="Times New Roman" w:hAnsi="Times New Roman"/>
                <w:sz w:val="16"/>
                <w:szCs w:val="16"/>
                <w:color w:val="0000FF"/>
              </w:rPr>
              <w:t>2,298</w:t>
            </w: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right w:val="single" w:sz="8" w:color="2C2C2C"/>
            </w:tcBorders>
            <w:gridSpan w:val="3"/>
          </w:tcPr>
          <w:p>
            <w:pPr>
              <w:ind w:left="20"/>
              <w:spacing w:after="0" w:line="139" w:lineRule="exact"/>
              <w:rPr>
                <w:sz w:val="20"/>
                <w:szCs w:val="20"/>
                <w:color w:val="auto"/>
              </w:rPr>
            </w:pPr>
            <w:r>
              <w:rPr>
                <w:rFonts w:ascii="Times New Roman" w:cs="Times New Roman" w:eastAsia="Times New Roman" w:hAnsi="Times New Roman"/>
                <w:sz w:val="13"/>
                <w:szCs w:val="13"/>
                <w:color w:val="0000FF"/>
              </w:rPr>
              <w:t>Silver Lake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0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06/10/2026</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7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2,298</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860" w:type="dxa"/>
            <w:vAlign w:val="bottom"/>
            <w:vMerge w:val="continue"/>
          </w:tcPr>
          <w:p>
            <w:pPr>
              <w:spacing w:after="0"/>
              <w:rPr>
                <w:sz w:val="13"/>
                <w:szCs w:val="13"/>
                <w:color w:val="auto"/>
              </w:rPr>
            </w:pPr>
          </w:p>
        </w:tc>
        <w:tc>
          <w:tcPr>
            <w:tcW w:w="74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3"/>
                <w:szCs w:val="13"/>
                <w:color w:val="0000FF"/>
              </w:rPr>
              <w:t>259,212</w:t>
            </w:r>
          </w:p>
        </w:tc>
        <w:tc>
          <w:tcPr>
            <w:tcW w:w="180" w:type="dxa"/>
            <w:vAlign w:val="bottom"/>
          </w:tcPr>
          <w:p>
            <w:pPr>
              <w:spacing w:after="0"/>
              <w:rPr>
                <w:sz w:val="13"/>
                <w:szCs w:val="1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I</w:t>
            </w:r>
          </w:p>
        </w:tc>
        <w:tc>
          <w:tcPr>
            <w:tcW w:w="70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Technology</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4"/>
              </w:rPr>
              <w:t>Stock</w:t>
            </w: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Borders>
              <w:right w:val="single" w:sz="8" w:color="2C2C2C"/>
            </w:tcBorders>
            <w:gridSpan w:val="3"/>
          </w:tcPr>
          <w:p>
            <w:pPr>
              <w:ind w:left="20"/>
              <w:spacing w:after="0" w:line="126" w:lineRule="exact"/>
              <w:rPr>
                <w:sz w:val="20"/>
                <w:szCs w:val="20"/>
                <w:color w:val="auto"/>
              </w:rPr>
            </w:pPr>
            <w:r>
              <w:rPr>
                <w:rFonts w:ascii="Times New Roman" w:cs="Times New Roman" w:eastAsia="Times New Roman" w:hAnsi="Times New Roman"/>
                <w:sz w:val="13"/>
                <w:szCs w:val="13"/>
                <w:color w:val="0000FF"/>
              </w:rPr>
              <w:t>Investors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Borders>
              <w:right w:val="single" w:sz="8" w:color="2C2C2C"/>
            </w:tcBorders>
            <w:gridSpan w:val="3"/>
          </w:tcPr>
          <w:p>
            <w:pPr>
              <w:ind w:left="20"/>
              <w:spacing w:after="0" w:line="158" w:lineRule="exact"/>
              <w:rPr>
                <w:sz w:val="20"/>
                <w:szCs w:val="20"/>
                <w:color w:val="auto"/>
              </w:rPr>
            </w:pPr>
            <w:r>
              <w:rPr>
                <w:rFonts w:ascii="Times New Roman" w:cs="Times New Roman" w:eastAsia="Times New Roman" w:hAnsi="Times New Roman"/>
                <w:sz w:val="11"/>
                <w:szCs w:val="11"/>
                <w:color w:val="0000FF"/>
              </w:rPr>
              <w:t>IV, L.P.</w:t>
            </w:r>
            <w:r>
              <w:rPr>
                <w:rFonts w:ascii="Times New Roman" w:cs="Times New Roman" w:eastAsia="Times New Roman" w:hAnsi="Times New Roman"/>
                <w:sz w:val="18"/>
                <w:szCs w:val="18"/>
                <w:color w:val="008000"/>
                <w:vertAlign w:val="superscript"/>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 C</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44,432,779</w:t>
            </w: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0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vMerge w:val="restart"/>
          </w:tcPr>
          <w:p>
            <w:pPr>
              <w:ind w:left="8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vMerge w:val="restart"/>
          </w:tcPr>
          <w:p>
            <w:pPr>
              <w:jc w:val="right"/>
              <w:spacing w:after="0" w:line="101" w:lineRule="exact"/>
              <w:rPr>
                <w:sz w:val="20"/>
                <w:szCs w:val="20"/>
                <w:color w:val="auto"/>
              </w:rPr>
            </w:pPr>
            <w:r>
              <w:rPr>
                <w:rFonts w:ascii="Times New Roman" w:cs="Times New Roman" w:eastAsia="Times New Roman" w:hAnsi="Times New Roman"/>
                <w:sz w:val="10"/>
                <w:szCs w:val="10"/>
                <w:color w:val="0000FF"/>
              </w:rPr>
              <w:t>44,432,779</w:t>
            </w:r>
          </w:p>
        </w:tc>
        <w:tc>
          <w:tcPr>
            <w:tcW w:w="180" w:type="dxa"/>
            <w:vAlign w:val="bottom"/>
          </w:tcPr>
          <w:p>
            <w:pPr>
              <w:spacing w:after="0"/>
              <w:rPr>
                <w:sz w:val="3"/>
                <w:szCs w:val="3"/>
                <w:color w:val="auto"/>
              </w:rPr>
            </w:pPr>
          </w:p>
        </w:tc>
        <w:tc>
          <w:tcPr>
            <w:tcW w:w="720" w:type="dxa"/>
            <w:vAlign w:val="bottom"/>
            <w:vMerge w:val="restart"/>
          </w:tcPr>
          <w:p>
            <w:pPr>
              <w:ind w:left="30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70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00" w:type="dxa"/>
            <w:vAlign w:val="bottom"/>
            <w:tcBorders>
              <w:right w:val="single" w:sz="8" w:color="2C2C2C"/>
            </w:tcBorders>
            <w:gridSpan w:val="3"/>
          </w:tcPr>
          <w:p>
            <w:pPr>
              <w:ind w:left="2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9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80" w:type="dxa"/>
            <w:vAlign w:val="bottom"/>
            <w:gridSpan w:val="6"/>
          </w:tcPr>
          <w:p>
            <w:pPr>
              <w:spacing w:after="0" w:line="21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Technology Investors IV, L.P.</w:t>
              </w:r>
            </w:hyperlink>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1040" w:type="dxa"/>
            <w:vAlign w:val="bottom"/>
            <w:tcBorders>
              <w:top w:val="single" w:sz="8" w:color="0000EE"/>
              <w:bottom w:val="single" w:sz="8" w:color="9A9A9A"/>
            </w:tcBorders>
          </w:tcPr>
          <w:p>
            <w:pPr>
              <w:spacing w:after="0"/>
              <w:rPr>
                <w:sz w:val="13"/>
                <w:szCs w:val="13"/>
                <w:color w:val="auto"/>
              </w:rPr>
            </w:pPr>
          </w:p>
        </w:tc>
        <w:tc>
          <w:tcPr>
            <w:tcW w:w="96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10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9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gridSpan w:val="2"/>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(State)</w:t>
            </w:r>
          </w:p>
        </w:tc>
        <w:tc>
          <w:tcPr>
            <w:tcW w:w="108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80" w:type="dxa"/>
            <w:vAlign w:val="bottom"/>
            <w:tcBorders>
              <w:bottom w:val="single" w:sz="8" w:color="0000EE"/>
            </w:tcBorders>
            <w:gridSpan w:val="6"/>
          </w:tcPr>
          <w:p>
            <w:pPr>
              <w:spacing w:after="0" w:line="213" w:lineRule="exact"/>
              <w:rPr>
                <w:rFonts w:ascii="Times New Roman" w:cs="Times New Roman" w:eastAsia="Times New Roman" w:hAnsi="Times New Roman"/>
                <w:sz w:val="20"/>
                <w:szCs w:val="20"/>
                <w:color w:val="0000EE"/>
                <w:w w:val="97"/>
              </w:rPr>
            </w:pPr>
            <w:hyperlink r:id="rId17">
              <w:r>
                <w:rPr>
                  <w:rFonts w:ascii="Times New Roman" w:cs="Times New Roman" w:eastAsia="Times New Roman" w:hAnsi="Times New Roman"/>
                  <w:sz w:val="20"/>
                  <w:szCs w:val="20"/>
                  <w:color w:val="0000EE"/>
                  <w:w w:val="97"/>
                </w:rPr>
                <w:t>Silver Lake Technology Associates IV, L.P.</w:t>
              </w:r>
            </w:hyperlink>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10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9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-5612130</wp:posOffset>
            </wp:positionV>
            <wp:extent cx="28575" cy="259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575" cy="2590800"/>
                    </a:xfrm>
                    <a:prstGeom prst="rect">
                      <a:avLst/>
                    </a:prstGeom>
                    <a:noFill/>
                  </pic:spPr>
                </pic:pic>
              </a:graphicData>
            </a:graphic>
          </wp:anchor>
        </w:drawing>
      </w:r>
    </w:p>
    <w:p>
      <w:pPr>
        <w:sectPr>
          <w:pgSz w:w="11900" w:h="16838" w:orient="portrait"/>
          <w:cols w:equalWidth="0" w:num="1">
            <w:col w:w="11080"/>
          </w:cols>
          <w:pgMar w:left="460" w:top="189" w:right="359" w:bottom="0" w:gutter="0" w:footer="0" w:header="0"/>
          <w:type w:val="continuous"/>
        </w:sectPr>
      </w:pPr>
    </w:p>
    <w:bookmarkStart w:id="3" w:name="page4"/>
    <w:bookmarkEnd w:id="3"/>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4320" cy="5239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814320" cy="52393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8"/>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5"/>
          </w:tcPr>
          <w:p>
            <w:pPr>
              <w:spacing w:after="0" w:line="213"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SLTA IV (GP), L.L.C.</w:t>
              </w:r>
            </w:hyperlink>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1"/>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3"/>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5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8"/>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5"/>
          </w:tcPr>
          <w:p>
            <w:pPr>
              <w:spacing w:after="0" w:line="213"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Silver Lake Group, L.L.C.</w:t>
              </w:r>
            </w:hyperlink>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1"/>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3"/>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5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8"/>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spacing w:after="0" w:line="213"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Durban Egon</w:t>
              </w:r>
            </w:hyperlink>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1"/>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3"/>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5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20" w:hanging="2"/>
        <w:spacing w:after="0" w:line="244"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10, 2026.</w:t>
      </w:r>
    </w:p>
    <w:p>
      <w:pPr>
        <w:spacing w:after="0" w:line="22" w:lineRule="exact"/>
        <w:rPr>
          <w:rFonts w:ascii="Times New Roman" w:cs="Times New Roman" w:eastAsia="Times New Roman" w:hAnsi="Times New Roman"/>
          <w:sz w:val="13"/>
          <w:szCs w:val="13"/>
          <w:color w:val="008000"/>
        </w:rPr>
      </w:pPr>
    </w:p>
    <w:p>
      <w:pPr>
        <w:ind w:left="20" w:right="220" w:hanging="2"/>
        <w:spacing w:after="0" w:line="23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10, 2026, certain of the Reporting Persons converted shares of Class B Common Stock into an equal number of shares of Class C Common Stock in connection with the sales described in footnote (1) above.</w:t>
      </w:r>
    </w:p>
    <w:p>
      <w:pPr>
        <w:spacing w:after="0" w:line="25" w:lineRule="exact"/>
        <w:rPr>
          <w:rFonts w:ascii="Times New Roman" w:cs="Times New Roman" w:eastAsia="Times New Roman" w:hAnsi="Times New Roman"/>
          <w:sz w:val="13"/>
          <w:szCs w:val="13"/>
          <w:color w:val="008000"/>
        </w:rPr>
      </w:pPr>
    </w:p>
    <w:p>
      <w:pPr>
        <w:ind w:left="20" w:right="40" w:hanging="2"/>
        <w:spacing w:after="0" w:line="244"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Silver Lake Technology Investors IV, L.P. The general partner of Silver Lake Technology Investors IV, L.P. is Silver Lake Technology Associates IV, L.P. and the general partner of Silver Lake Technology Associates IV, L.P. is SLTA IV (GP), L.L.C.</w:t>
      </w:r>
    </w:p>
    <w:p>
      <w:pPr>
        <w:spacing w:after="0" w:line="22" w:lineRule="exact"/>
        <w:rPr>
          <w:rFonts w:ascii="Times New Roman" w:cs="Times New Roman" w:eastAsia="Times New Roman" w:hAnsi="Times New Roman"/>
          <w:sz w:val="13"/>
          <w:szCs w:val="13"/>
          <w:color w:val="008000"/>
        </w:rPr>
      </w:pPr>
    </w:p>
    <w:p>
      <w:pPr>
        <w:ind w:left="20" w:right="260" w:hanging="2"/>
        <w:spacing w:after="0" w:line="244"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Group, L.L.C. ("SLG") is the managing member of SLTA IV (GP), L.L.C. Egon Durban, who serves as a director of the Issuer, also serves as a Co-CEO and Managing Member of SLG. Each of the Reporting Persons may be deemed a director by deputization of the Issuer.</w:t>
      </w:r>
    </w:p>
    <w:p>
      <w:pPr>
        <w:spacing w:after="0" w:line="22"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C Common Stock held by SLG.</w:t>
      </w:r>
    </w:p>
    <w:p>
      <w:pPr>
        <w:spacing w:after="0" w:line="38"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C Common Stock are held by entities in which Mr. Durban may be deemed to have an indirect pecuniary interest.</w:t>
      </w:r>
    </w:p>
    <w:p>
      <w:pPr>
        <w:spacing w:after="0" w:line="38" w:lineRule="exact"/>
        <w:rPr>
          <w:rFonts w:ascii="Times New Roman" w:cs="Times New Roman" w:eastAsia="Times New Roman" w:hAnsi="Times New Roman"/>
          <w:sz w:val="13"/>
          <w:szCs w:val="13"/>
          <w:color w:val="008000"/>
        </w:rPr>
      </w:pPr>
    </w:p>
    <w:p>
      <w:pPr>
        <w:ind w:left="20" w:right="140" w:hanging="2"/>
        <w:spacing w:after="0" w:line="244"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reflects 24,563, 24,932, 114,663 and 56 shares held by SLTA SPV-2, L.P., Silver Lake Technology Associates V, L.P., SLG and Silver Lake Secondary Holdings L.P., respectively, on behalf of certain employees and managing members of SLG or its affiliates.</w:t>
      </w:r>
    </w:p>
    <w:p>
      <w:pPr>
        <w:spacing w:after="0" w:line="22"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held directly by Mr. Durban.</w:t>
      </w:r>
    </w:p>
    <w:p>
      <w:pPr>
        <w:spacing w:after="0" w:line="38"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beneficially owned indirectly by Mr. Durban through a trust for the benefit of certain family members.</w:t>
      </w:r>
    </w:p>
    <w:p>
      <w:pPr>
        <w:spacing w:after="0" w:line="38" w:lineRule="exact"/>
        <w:rPr>
          <w:rFonts w:ascii="Times New Roman" w:cs="Times New Roman" w:eastAsia="Times New Roman" w:hAnsi="Times New Roman"/>
          <w:sz w:val="13"/>
          <w:szCs w:val="13"/>
          <w:color w:val="008000"/>
        </w:rPr>
      </w:pP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$370.9774 to $371.9640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40" w:hanging="2"/>
        <w:spacing w:after="0" w:line="283" w:lineRule="auto"/>
        <w:tabs>
          <w:tab w:leader="none" w:pos="20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$371.9900 to $372.9890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$372.9901 to $373.9740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$374.0051 to $374.9580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$375.0298 to $376.0138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$376.0441 to $377.0399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$377.0419 to $378.0300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$378.0700 to $379.0685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$379.0800 to $380.0500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$380.0955 to $381.0800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$381.1254 to $382.1001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$382.1400 to $383.1300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$383.2000 to $384.1900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$384.2000 to $385.1900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$385.2000 to $386.1900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3"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$386.2200 to $387.1700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2"/>
        <w:spacing w:after="0" w:line="284" w:lineRule="auto"/>
        <w:tabs>
          <w:tab w:leader="none" w:pos="20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$387.3000 to $387.3800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ectPr>
          <w:pgSz w:w="11900" w:h="16853" w:orient="portrait"/>
          <w:cols w:equalWidth="0" w:num="1">
            <w:col w:w="10920"/>
          </w:cols>
          <w:pgMar w:left="480" w:top="165" w:right="499" w:bottom="0" w:gutter="0" w:footer="0" w:header="0"/>
        </w:sectPr>
      </w:pPr>
    </w:p>
    <w:bookmarkStart w:id="4" w:name="page5"/>
    <w:bookmarkEnd w:id="4"/>
    <w:p>
      <w:pPr>
        <w:ind w:left="2" w:hanging="2"/>
        <w:spacing w:after="0" w:line="283"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$388.3100 to $389.0500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3"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$389.3900 to $390.3800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jc w:val="both"/>
        <w:ind w:left="2" w:right="140" w:hanging="2"/>
        <w:spacing w:after="0" w:line="235"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described in footnote (1), SL SPV-2, L.P. directly holds 49,369 shares of Class C Common Stock, Silver Lake Partners IV L.P. directly holds 37,592 shares of Class C Common Stock, Silver Lake Partners V DE (AIV), L.P. directly holds 29,548 shares of Class C Common Stock, and Silver Lake Technology Investors V, L.P. directly holds 0 shares of Class C Common Stock, which securities and transactions are reported on separate Form 4 filings.</w:t>
      </w:r>
    </w:p>
    <w:p>
      <w:pPr>
        <w:spacing w:after="0" w:line="25" w:lineRule="exact"/>
        <w:rPr>
          <w:rFonts w:ascii="Times New Roman" w:cs="Times New Roman" w:eastAsia="Times New Roman" w:hAnsi="Times New Roman"/>
          <w:sz w:val="13"/>
          <w:szCs w:val="13"/>
          <w:color w:val="008000"/>
        </w:rPr>
      </w:pPr>
    </w:p>
    <w:p>
      <w:pPr>
        <w:jc w:val="both"/>
        <w:ind w:left="2" w:right="60" w:hanging="2"/>
        <w:spacing w:after="0" w:line="235"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described in footnote (1), SL SPV-2, L.P. directly holds 17,161,930 shares of Class B Common Stock, Silver Lake Partners IV L.P. directly holds 17,617,582 shares of Class B Common Stock, Silver Lake Partners V DE (AIV), L.P. directly holds 9,536,376 shares of Class B Common Stock, and Silver Lake Technology Investors V, L.P. directly holds 116,891 shares of Class B Common Stock, which securities and transactions are reported on separate Form 4 filings.</w:t>
      </w:r>
    </w:p>
    <w:p>
      <w:pPr>
        <w:spacing w:after="0" w:line="2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55" w:lineRule="exact"/>
        <w:rPr>
          <w:sz w:val="20"/>
          <w:szCs w:val="20"/>
          <w:color w:val="auto"/>
        </w:rPr>
      </w:pPr>
    </w:p>
    <w:p>
      <w:pPr>
        <w:ind w:left="2"/>
        <w:spacing w:after="0" w:line="255"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38" w:orient="portrait"/>
          <w:cols w:equalWidth="0" w:num="1">
            <w:col w:w="10882"/>
          </w:cols>
          <w:pgMar w:left="498" w:top="127" w:right="519" w:bottom="1440" w:gutter="0" w:footer="0" w:header="0"/>
        </w:sectPr>
      </w:pPr>
    </w:p>
    <w:p>
      <w:pPr>
        <w:spacing w:after="0" w:line="41"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-4445</wp:posOffset>
            </wp:positionV>
            <wp:extent cx="10071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2223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1772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0502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1068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2052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Lake Technology Associates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3366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L.P., gen. partner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3258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Technology Investors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2134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13485" cy="8255"/>
                    </a:xfrm>
                    <a:prstGeom prst="rect">
                      <a:avLst/>
                    </a:prstGeom>
                    <a:noFill/>
                  </pic:spPr>
                </pic:pic>
              </a:graphicData>
            </a:graphic>
          </wp:anchor>
        </w:drawing>
      </w:r>
    </w:p>
    <w:p>
      <w:pPr>
        <w:spacing w:after="0" w:line="36"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-4445</wp:posOffset>
            </wp:positionV>
            <wp:extent cx="10071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2223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1772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0502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1068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3347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Lake Technology Associates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3366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612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61290" cy="8255"/>
                    </a:xfrm>
                    <a:prstGeom prst="rect">
                      <a:avLst/>
                    </a:prstGeom>
                    <a:noFill/>
                  </pic:spPr>
                </pic:pic>
              </a:graphicData>
            </a:graphic>
          </wp:anchor>
        </w:drawing>
      </w:r>
    </w:p>
    <w:p>
      <w:pPr>
        <w:spacing w:after="0" w:line="36"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-4445</wp:posOffset>
            </wp:positionV>
            <wp:extent cx="10071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2223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1772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0502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1068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2730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273050" cy="8255"/>
                    </a:xfrm>
                    <a:prstGeom prst="rect">
                      <a:avLst/>
                    </a:prstGeom>
                    <a:noFill/>
                  </pic:spPr>
                </pic:pic>
              </a:graphicData>
            </a:graphic>
          </wp:anchor>
        </w:drawing>
      </w:r>
    </w:p>
    <w:p>
      <w:pPr>
        <w:spacing w:after="0" w:line="36"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-4445</wp:posOffset>
            </wp:positionV>
            <wp:extent cx="10071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2223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1772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5899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89915" cy="8255"/>
                    </a:xfrm>
                    <a:prstGeom prst="rect">
                      <a:avLst/>
                    </a:prstGeom>
                    <a:noFill/>
                  </pic:spPr>
                </pic:pic>
              </a:graphicData>
            </a:graphic>
          </wp:anchor>
        </w:drawing>
      </w:r>
    </w:p>
    <w:p>
      <w:pPr>
        <w:spacing w:after="0" w:line="36"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-4445</wp:posOffset>
            </wp:positionV>
            <wp:extent cx="10071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0642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3105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105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4718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4718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4718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4718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4718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662" w:space="100"/>
            <w:col w:w="2120"/>
          </w:cols>
          <w:pgMar w:left="498" w:top="127" w:right="519" w:bottom="1440" w:gutter="0" w:footer="0" w:header="0"/>
          <w:type w:val="continuous"/>
        </w:sectPr>
      </w:pPr>
    </w:p>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640" w:hanging="2"/>
        <w:spacing w:after="0" w:line="327"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2"/>
      </w:cols>
      <w:pgMar w:left="498"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13" Type="http://schemas.openxmlformats.org/officeDocument/2006/relationships/hyperlink" Target="http://www.sec.gov/cgi-bin/browse-edgar?action=getcompany&amp;CIK=0001672565" TargetMode="External"/><Relationship Id="rId14" Type="http://schemas.openxmlformats.org/officeDocument/2006/relationships/hyperlink" Target="http://www.sec.gov/cgi-bin/browse-edgar?action=getcompany&amp;CIK=0001571996" TargetMode="External"/><Relationship Id="rId17" Type="http://schemas.openxmlformats.org/officeDocument/2006/relationships/hyperlink" Target="http://www.sec.gov/cgi-bin/browse-edgar?action=getcompany&amp;CIK=0001672566" TargetMode="External"/><Relationship Id="rId20" Type="http://schemas.openxmlformats.org/officeDocument/2006/relationships/hyperlink" Target="http://www.sec.gov/cgi-bin/browse-edgar?action=getcompany&amp;CIK=0001672568" TargetMode="External"/><Relationship Id="rId21" Type="http://schemas.openxmlformats.org/officeDocument/2006/relationships/hyperlink" Target="http://www.sec.gov/cgi-bin/browse-edgar?action=getcompany&amp;CIK=0001418226" TargetMode="External"/><Relationship Id="rId22"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2026-06-12T17:16:17Z</dcterms:created>
  <dcterms:modified xsi:type="dcterms:W3CDTF">2026-06-12T17:16:17Z</dcterms:modified>
</cp:coreProperties>
</file>