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872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724900"/>
                    </a:xfrm>
                    <a:prstGeom prst="rect">
                      <a:avLst/>
                    </a:prstGeom>
                    <a:noFill/>
                  </pic:spPr>
                </pic:pic>
              </a:graphicData>
            </a:graphic>
          </wp:anchor>
        </w:drawing>
      </w:r>
    </w:p>
    <w:p>
      <w:pPr>
        <w:spacing w:after="0" w:line="1154" w:lineRule="exact"/>
        <w:rPr>
          <w:sz w:val="24"/>
          <w:szCs w:val="24"/>
          <w:color w:val="auto"/>
        </w:rPr>
      </w:pPr>
    </w:p>
    <w:p>
      <w:pPr>
        <w:sectPr>
          <w:pgSz w:w="11900" w:h="16838" w:orient="portrait"/>
          <w:cols w:equalWidth="0" w:num="2">
            <w:col w:w="2260" w:space="380"/>
            <w:col w:w="8340"/>
          </w:cols>
          <w:pgMar w:left="460" w:top="215" w:right="4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2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20" w:type="dxa"/>
            <w:vAlign w:val="bottom"/>
            <w:gridSpan w:val="6"/>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Silver Lake Technology Investors V, L.P.</w:t>
              </w:r>
            </w:hyperlink>
          </w:p>
        </w:tc>
        <w:tc>
          <w:tcPr>
            <w:tcW w:w="60" w:type="dxa"/>
            <w:vAlign w:val="bottom"/>
          </w:tcPr>
          <w:p>
            <w:pPr>
              <w:spacing w:after="0"/>
              <w:rPr>
                <w:sz w:val="15"/>
                <w:szCs w:val="15"/>
                <w:color w:val="auto"/>
              </w:rPr>
            </w:pPr>
          </w:p>
        </w:tc>
        <w:tc>
          <w:tcPr>
            <w:tcW w:w="2800" w:type="dxa"/>
            <w:vAlign w:val="bottom"/>
            <w:gridSpan w:val="5"/>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Dell Technologies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DELL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720" w:type="dxa"/>
            <w:vAlign w:val="bottom"/>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vMerge w:val="restart"/>
          </w:tcPr>
          <w:p>
            <w:pPr>
              <w:ind w:left="220"/>
              <w:spacing w:after="0" w:line="146" w:lineRule="exact"/>
              <w:rPr>
                <w:sz w:val="20"/>
                <w:szCs w:val="20"/>
                <w:color w:val="auto"/>
              </w:rPr>
            </w:pPr>
            <w:r>
              <w:rPr>
                <w:rFonts w:ascii="Arial" w:cs="Arial" w:eastAsia="Arial" w:hAnsi="Arial"/>
                <w:sz w:val="13"/>
                <w:szCs w:val="13"/>
                <w:color w:val="auto"/>
              </w:rPr>
              <w:t>Director</w:t>
            </w:r>
          </w:p>
        </w:tc>
        <w:tc>
          <w:tcPr>
            <w:tcW w:w="1800" w:type="dxa"/>
            <w:vAlign w:val="bottom"/>
            <w:gridSpan w:val="3"/>
            <w:vMerge w:val="restart"/>
          </w:tcPr>
          <w:p>
            <w:pPr>
              <w:ind w:left="6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8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vMerge w:val="restart"/>
          </w:tcPr>
          <w:p>
            <w:pPr>
              <w:ind w:left="220"/>
              <w:spacing w:after="0"/>
              <w:rPr>
                <w:sz w:val="20"/>
                <w:szCs w:val="20"/>
                <w:color w:val="auto"/>
              </w:rPr>
            </w:pPr>
            <w:r>
              <w:rPr>
                <w:rFonts w:ascii="Arial" w:cs="Arial" w:eastAsia="Arial" w:hAnsi="Arial"/>
                <w:sz w:val="13"/>
                <w:szCs w:val="13"/>
                <w:color w:val="auto"/>
                <w:w w:val="95"/>
              </w:rPr>
              <w:t>Officer (give title</w:t>
            </w:r>
          </w:p>
        </w:tc>
        <w:tc>
          <w:tcPr>
            <w:tcW w:w="1800" w:type="dxa"/>
            <w:vAlign w:val="bottom"/>
            <w:gridSpan w:val="3"/>
            <w:vMerge w:val="restart"/>
          </w:tcPr>
          <w:p>
            <w:pPr>
              <w:ind w:left="6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28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8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8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100"/>
              <w:spacing w:after="0"/>
              <w:rPr>
                <w:sz w:val="20"/>
                <w:szCs w:val="20"/>
                <w:color w:val="auto"/>
              </w:rPr>
            </w:pPr>
            <w:r>
              <w:rPr>
                <w:rFonts w:ascii="Arial" w:cs="Arial" w:eastAsia="Arial" w:hAnsi="Arial"/>
                <w:sz w:val="13"/>
                <w:szCs w:val="13"/>
                <w:color w:val="auto"/>
              </w:rPr>
              <w:t>(First)</w:t>
            </w:r>
          </w:p>
        </w:tc>
        <w:tc>
          <w:tcPr>
            <w:tcW w:w="520" w:type="dxa"/>
            <w:vAlign w:val="bottom"/>
          </w:tcPr>
          <w:p>
            <w:pPr>
              <w:ind w:left="40"/>
              <w:spacing w:after="0"/>
              <w:rPr>
                <w:sz w:val="20"/>
                <w:szCs w:val="20"/>
                <w:color w:val="auto"/>
              </w:rPr>
            </w:pPr>
            <w:r>
              <w:rPr>
                <w:rFonts w:ascii="Arial" w:cs="Arial" w:eastAsia="Arial" w:hAnsi="Arial"/>
                <w:sz w:val="13"/>
                <w:szCs w:val="13"/>
                <w:color w:val="auto"/>
                <w:w w:val="97"/>
              </w:rPr>
              <w:t>(Middle)</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5"/>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ind w:left="220"/>
              <w:spacing w:after="0"/>
              <w:rPr>
                <w:sz w:val="20"/>
                <w:szCs w:val="20"/>
                <w:color w:val="auto"/>
              </w:rPr>
            </w:pPr>
            <w:r>
              <w:rPr>
                <w:rFonts w:ascii="Arial" w:cs="Arial" w:eastAsia="Arial" w:hAnsi="Arial"/>
                <w:sz w:val="13"/>
                <w:szCs w:val="13"/>
                <w:color w:val="auto"/>
              </w:rPr>
              <w:t>below)</w:t>
            </w:r>
          </w:p>
        </w:tc>
        <w:tc>
          <w:tcPr>
            <w:tcW w:w="1800" w:type="dxa"/>
            <w:vAlign w:val="bottom"/>
            <w:gridSpan w:val="3"/>
          </w:tcPr>
          <w:p>
            <w:pPr>
              <w:ind w:left="6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06/09/2026</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9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92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80" w:type="dxa"/>
            <w:vAlign w:val="bottom"/>
            <w:gridSpan w:val="6"/>
            <w:vMerge w:val="restart"/>
          </w:tcPr>
          <w:p>
            <w:pPr>
              <w:spacing w:after="0"/>
              <w:rPr>
                <w:sz w:val="20"/>
                <w:szCs w:val="20"/>
                <w:color w:val="auto"/>
              </w:rPr>
            </w:pPr>
            <w:r>
              <w:rPr>
                <w:rFonts w:ascii="Arial" w:cs="Arial" w:eastAsia="Arial" w:hAnsi="Arial"/>
                <w:sz w:val="13"/>
                <w:szCs w:val="13"/>
                <w:color w:val="auto"/>
                <w:w w:val="98"/>
              </w:rPr>
              <w:t>4. If Amendment, Date of Original Filed (Month/Day/Year)</w:t>
            </w:r>
          </w:p>
        </w:tc>
        <w:tc>
          <w:tcPr>
            <w:tcW w:w="480" w:type="dxa"/>
            <w:vAlign w:val="bottom"/>
          </w:tcPr>
          <w:p>
            <w:pPr>
              <w:spacing w:after="0"/>
              <w:rPr>
                <w:sz w:val="6"/>
                <w:szCs w:val="6"/>
                <w:color w:val="auto"/>
              </w:rPr>
            </w:pPr>
          </w:p>
        </w:tc>
        <w:tc>
          <w:tcPr>
            <w:tcW w:w="3320" w:type="dxa"/>
            <w:vAlign w:val="bottom"/>
            <w:gridSpan w:val="5"/>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80" w:type="dxa"/>
            <w:vAlign w:val="bottom"/>
            <w:gridSpan w:val="6"/>
            <w:vMerge w:val="continue"/>
          </w:tcPr>
          <w:p>
            <w:pPr>
              <w:spacing w:after="0"/>
              <w:rPr>
                <w:sz w:val="8"/>
                <w:szCs w:val="8"/>
                <w:color w:val="auto"/>
              </w:rPr>
            </w:pPr>
          </w:p>
        </w:tc>
        <w:tc>
          <w:tcPr>
            <w:tcW w:w="480" w:type="dxa"/>
            <w:vAlign w:val="bottom"/>
          </w:tcPr>
          <w:p>
            <w:pPr>
              <w:spacing w:after="0"/>
              <w:rPr>
                <w:sz w:val="8"/>
                <w:szCs w:val="8"/>
                <w:color w:val="auto"/>
              </w:rPr>
            </w:pPr>
          </w:p>
        </w:tc>
        <w:tc>
          <w:tcPr>
            <w:tcW w:w="33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28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38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vMerge w:val="restart"/>
          </w:tcPr>
          <w:p>
            <w:pPr>
              <w:spacing w:after="0"/>
              <w:rPr>
                <w:sz w:val="3"/>
                <w:szCs w:val="3"/>
                <w:color w:val="auto"/>
              </w:rPr>
            </w:pPr>
          </w:p>
        </w:tc>
        <w:tc>
          <w:tcPr>
            <w:tcW w:w="380" w:type="dxa"/>
            <w:vAlign w:val="bottom"/>
            <w:vMerge w:val="restart"/>
          </w:tcPr>
          <w:p>
            <w:pPr>
              <w:ind w:left="6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0000FF"/>
              </w:rPr>
              <w:t>MENLO PARK</w:t>
            </w:r>
          </w:p>
        </w:tc>
        <w:tc>
          <w:tcPr>
            <w:tcW w:w="1280" w:type="dxa"/>
            <w:vAlign w:val="bottom"/>
          </w:tcPr>
          <w:p>
            <w:pPr>
              <w:ind w:left="100"/>
              <w:spacing w:after="0" w:line="176" w:lineRule="exact"/>
              <w:rPr>
                <w:sz w:val="20"/>
                <w:szCs w:val="20"/>
                <w:color w:val="auto"/>
              </w:rPr>
            </w:pPr>
            <w:r>
              <w:rPr>
                <w:rFonts w:ascii="Times New Roman" w:cs="Times New Roman" w:eastAsia="Times New Roman" w:hAnsi="Times New Roman"/>
                <w:sz w:val="16"/>
                <w:szCs w:val="16"/>
                <w:color w:val="0000FF"/>
              </w:rPr>
              <w:t>CA</w:t>
            </w:r>
          </w:p>
        </w:tc>
        <w:tc>
          <w:tcPr>
            <w:tcW w:w="52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0000FF"/>
              </w:rPr>
              <w:t>94025</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ind w:left="220"/>
              <w:spacing w:after="0"/>
              <w:rPr>
                <w:sz w:val="20"/>
                <w:szCs w:val="20"/>
                <w:color w:val="auto"/>
              </w:rPr>
            </w:pPr>
            <w:r>
              <w:rPr>
                <w:rFonts w:ascii="Arial" w:cs="Arial" w:eastAsia="Arial" w:hAnsi="Arial"/>
                <w:sz w:val="13"/>
                <w:szCs w:val="13"/>
                <w:color w:val="auto"/>
              </w:rPr>
              <w:t>Person</w:t>
            </w: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100"/>
              <w:spacing w:after="0"/>
              <w:rPr>
                <w:sz w:val="20"/>
                <w:szCs w:val="20"/>
                <w:color w:val="auto"/>
              </w:rPr>
            </w:pPr>
            <w:r>
              <w:rPr>
                <w:rFonts w:ascii="Arial" w:cs="Arial" w:eastAsia="Arial" w:hAnsi="Arial"/>
                <w:sz w:val="13"/>
                <w:szCs w:val="13"/>
                <w:color w:val="auto"/>
              </w:rPr>
              <w:t>(State)</w:t>
            </w:r>
          </w:p>
        </w:tc>
        <w:tc>
          <w:tcPr>
            <w:tcW w:w="520" w:type="dxa"/>
            <w:vAlign w:val="bottom"/>
          </w:tcPr>
          <w:p>
            <w:pPr>
              <w:ind w:left="4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1940" w:type="dxa"/>
            <w:vAlign w:val="bottom"/>
            <w:tcBorders>
              <w:bottom w:val="single" w:sz="8" w:color="2C2C2C"/>
            </w:tcBorders>
            <w:gridSpan w:val="4"/>
          </w:tcPr>
          <w:p>
            <w:pPr>
              <w:spacing w:after="0"/>
              <w:rPr>
                <w:sz w:val="10"/>
                <w:szCs w:val="10"/>
                <w:color w:val="auto"/>
              </w:rPr>
            </w:pPr>
          </w:p>
        </w:tc>
        <w:tc>
          <w:tcPr>
            <w:tcW w:w="1520" w:type="dxa"/>
            <w:vAlign w:val="bottom"/>
            <w:tcBorders>
              <w:bottom w:val="single" w:sz="8" w:color="2C2C2C"/>
            </w:tcBorders>
            <w:gridSpan w:val="2"/>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7940" w:type="dxa"/>
            <w:vAlign w:val="bottom"/>
            <w:tcBorders>
              <w:top w:val="single" w:sz="8" w:color="2C2C2C"/>
            </w:tcBorders>
            <w:gridSpan w:val="15"/>
          </w:tcPr>
          <w:p>
            <w:pPr>
              <w:jc w:val="right"/>
              <w:ind w:right="513"/>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6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4"/>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2. Transaction</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0" w:type="dxa"/>
            <w:vAlign w:val="bottom"/>
          </w:tcPr>
          <w:p>
            <w:pPr>
              <w:spacing w:after="0"/>
              <w:rPr>
                <w:sz w:val="14"/>
                <w:szCs w:val="14"/>
                <w:color w:val="auto"/>
              </w:rPr>
            </w:pPr>
          </w:p>
        </w:tc>
        <w:tc>
          <w:tcPr>
            <w:tcW w:w="214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6. Ownership</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214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Form: Direct</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5"/>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(D) or Indirect</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(I) (Instr. 4)</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860" w:type="dxa"/>
            <w:vAlign w:val="bottom"/>
          </w:tcPr>
          <w:p>
            <w:pPr>
              <w:spacing w:after="0"/>
              <w:rPr>
                <w:sz w:val="5"/>
                <w:szCs w:val="5"/>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8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(1)(2)</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227</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color w:val="0000FF"/>
              </w:rPr>
              <w:t>227</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00" w:type="dxa"/>
            <w:vAlign w:val="bottom"/>
            <w:gridSpan w:val="4"/>
            <w:vMerge w:val="continue"/>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5"/>
            <w:vMerge w:val="continue"/>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380.49</w:t>
            </w:r>
            <w:r>
              <w:rPr>
                <w:rFonts w:ascii="Times New Roman" w:cs="Times New Roman" w:eastAsia="Times New Roman" w:hAnsi="Times New Roman"/>
                <w:sz w:val="20"/>
                <w:szCs w:val="20"/>
                <w:color w:val="008000"/>
                <w:w w:val="95"/>
                <w:vertAlign w:val="superscript"/>
              </w:rPr>
              <w:t>(10)</w:t>
            </w: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color w:val="0000FF"/>
              </w:rPr>
              <w:t>210</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39</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381.74</w:t>
            </w:r>
            <w:r>
              <w:rPr>
                <w:rFonts w:ascii="Times New Roman" w:cs="Times New Roman" w:eastAsia="Times New Roman" w:hAnsi="Times New Roman"/>
                <w:sz w:val="20"/>
                <w:szCs w:val="20"/>
                <w:color w:val="008000"/>
                <w:w w:val="95"/>
                <w:vertAlign w:val="superscript"/>
              </w:rPr>
              <w:t>(11)</w:t>
            </w: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color w:val="0000FF"/>
              </w:rPr>
              <w:t>171</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382.63</w:t>
            </w:r>
            <w:r>
              <w:rPr>
                <w:rFonts w:ascii="Times New Roman" w:cs="Times New Roman" w:eastAsia="Times New Roman" w:hAnsi="Times New Roman"/>
                <w:sz w:val="20"/>
                <w:szCs w:val="20"/>
                <w:color w:val="008000"/>
                <w:w w:val="95"/>
                <w:vertAlign w:val="superscript"/>
              </w:rPr>
              <w:t>(12)</w:t>
            </w: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color w:val="0000FF"/>
              </w:rPr>
              <w:t>167</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383.02</w:t>
            </w:r>
            <w:r>
              <w:rPr>
                <w:rFonts w:ascii="Times New Roman" w:cs="Times New Roman" w:eastAsia="Times New Roman" w:hAnsi="Times New Roman"/>
                <w:sz w:val="20"/>
                <w:szCs w:val="20"/>
                <w:color w:val="008000"/>
                <w:w w:val="95"/>
                <w:vertAlign w:val="superscript"/>
              </w:rPr>
              <w:t>(13)</w:t>
            </w: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color w:val="0000FF"/>
              </w:rPr>
              <w:t>166</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384.15</w:t>
            </w:r>
            <w:r>
              <w:rPr>
                <w:rFonts w:ascii="Times New Roman" w:cs="Times New Roman" w:eastAsia="Times New Roman" w:hAnsi="Times New Roman"/>
                <w:sz w:val="20"/>
                <w:szCs w:val="20"/>
                <w:color w:val="008000"/>
                <w:w w:val="95"/>
                <w:vertAlign w:val="superscript"/>
              </w:rPr>
              <w:t>(14)</w:t>
            </w: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color w:val="0000FF"/>
              </w:rPr>
              <w:t>165</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9"/>
                <w:szCs w:val="19"/>
                <w:color w:val="auto"/>
              </w:rPr>
            </w:pPr>
          </w:p>
        </w:tc>
        <w:tc>
          <w:tcPr>
            <w:tcW w:w="102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9"/>
                <w:szCs w:val="19"/>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4</w:t>
            </w:r>
          </w:p>
        </w:tc>
        <w:tc>
          <w:tcPr>
            <w:tcW w:w="4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tcPr>
          <w:p>
            <w:pPr>
              <w:jc w:val="center"/>
              <w:spacing w:after="0" w:line="219" w:lineRule="exact"/>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386.25</w:t>
            </w:r>
            <w:r>
              <w:rPr>
                <w:rFonts w:ascii="Times New Roman" w:cs="Times New Roman" w:eastAsia="Times New Roman" w:hAnsi="Times New Roman"/>
                <w:sz w:val="20"/>
                <w:szCs w:val="20"/>
                <w:color w:val="008000"/>
                <w:w w:val="95"/>
                <w:vertAlign w:val="superscript"/>
              </w:rPr>
              <w:t>(15)</w:t>
            </w: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color w:val="0000FF"/>
              </w:rPr>
              <w:t>161</w:t>
            </w:r>
          </w:p>
        </w:tc>
        <w:tc>
          <w:tcPr>
            <w:tcW w:w="86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bl>
    <w:p>
      <w:pPr>
        <w:ind w:left="10120"/>
        <w:spacing w:after="0"/>
        <w:rPr>
          <w:sz w:val="20"/>
          <w:szCs w:val="20"/>
          <w:color w:val="auto"/>
        </w:rPr>
      </w:pPr>
      <w:r>
        <w:rPr>
          <w:rFonts w:ascii="Times New Roman" w:cs="Times New Roman" w:eastAsia="Times New Roman" w:hAnsi="Times New Roman"/>
          <w:sz w:val="16"/>
          <w:szCs w:val="16"/>
          <w:color w:val="0000FF"/>
        </w:rPr>
        <w:t>Technology</w:t>
      </w:r>
    </w:p>
    <w:p>
      <w:pPr>
        <w:spacing w:after="0" w:line="12"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Investors V,</w:t>
      </w:r>
    </w:p>
    <w:p>
      <w:pPr>
        <w:ind w:left="10120"/>
        <w:spacing w:after="0" w:line="182" w:lineRule="auto"/>
        <w:rPr>
          <w:sz w:val="20"/>
          <w:szCs w:val="20"/>
          <w:color w:val="auto"/>
        </w:rPr>
      </w:pPr>
      <w:r>
        <w:rPr>
          <w:rFonts w:ascii="Times New Roman" w:cs="Times New Roman" w:eastAsia="Times New Roman" w:hAnsi="Times New Roman"/>
          <w:sz w:val="25"/>
          <w:szCs w:val="25"/>
          <w:color w:val="0000FF"/>
          <w:vertAlign w:val="subscript"/>
        </w:rPr>
        <w:t>L.P.</w:t>
      </w:r>
      <w:r>
        <w:rPr>
          <w:rFonts w:ascii="Times New Roman" w:cs="Times New Roman" w:eastAsia="Times New Roman" w:hAnsi="Times New Roman"/>
          <w:sz w:val="9"/>
          <w:szCs w:val="9"/>
          <w:color w:val="008000"/>
        </w:rPr>
        <w:t>(3)(4)</w:t>
      </w:r>
    </w:p>
    <w:p>
      <w:pPr>
        <w:sectPr>
          <w:pgSz w:w="11900" w:h="16838" w:orient="portrait"/>
          <w:cols w:equalWidth="0" w:num="1">
            <w:col w:w="10980"/>
          </w:cols>
          <w:pgMar w:left="460" w:top="215" w:right="4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6997065" cy="105251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065" cy="10525125"/>
                    </a:xfrm>
                    <a:prstGeom prst="rect">
                      <a:avLst/>
                    </a:prstGeom>
                    <a:noFill/>
                  </pic:spPr>
                </pic:pic>
              </a:graphicData>
            </a:graphic>
          </wp:anchor>
        </w:drawing>
        <w:t>Table I - Non-Derivative Securities Acquired, Disposed of, or Beneficially Owned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jc w:val="center"/>
              <w:ind w:left="544"/>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3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88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3</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387.41</w:t>
            </w:r>
            <w:r>
              <w:rPr>
                <w:rFonts w:ascii="Times New Roman" w:cs="Times New Roman" w:eastAsia="Times New Roman" w:hAnsi="Times New Roman"/>
                <w:sz w:val="20"/>
                <w:szCs w:val="20"/>
                <w:color w:val="008000"/>
                <w:vertAlign w:val="superscript"/>
              </w:rPr>
              <w:t>(16)</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158</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4</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388.67</w:t>
            </w:r>
            <w:r>
              <w:rPr>
                <w:rFonts w:ascii="Times New Roman" w:cs="Times New Roman" w:eastAsia="Times New Roman" w:hAnsi="Times New Roman"/>
                <w:sz w:val="20"/>
                <w:szCs w:val="20"/>
                <w:color w:val="008000"/>
                <w:vertAlign w:val="superscript"/>
              </w:rPr>
              <w:t>(17)</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29</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390.54</w:t>
            </w:r>
            <w:r>
              <w:rPr>
                <w:rFonts w:ascii="Times New Roman" w:cs="Times New Roman" w:eastAsia="Times New Roman" w:hAnsi="Times New Roman"/>
                <w:sz w:val="20"/>
                <w:szCs w:val="20"/>
                <w:color w:val="008000"/>
                <w:vertAlign w:val="superscript"/>
              </w:rPr>
              <w:t>(18)</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125</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19</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391.43</w:t>
            </w:r>
            <w:r>
              <w:rPr>
                <w:rFonts w:ascii="Times New Roman" w:cs="Times New Roman" w:eastAsia="Times New Roman" w:hAnsi="Times New Roman"/>
                <w:sz w:val="20"/>
                <w:szCs w:val="20"/>
                <w:color w:val="008000"/>
                <w:vertAlign w:val="superscript"/>
              </w:rPr>
              <w:t>(19)</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107</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1</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392.04</w:t>
            </w:r>
            <w:r>
              <w:rPr>
                <w:rFonts w:ascii="Times New Roman" w:cs="Times New Roman" w:eastAsia="Times New Roman" w:hAnsi="Times New Roman"/>
                <w:sz w:val="20"/>
                <w:szCs w:val="20"/>
                <w:color w:val="008000"/>
                <w:vertAlign w:val="superscript"/>
              </w:rPr>
              <w:t>(20)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106</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3</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395.11</w:t>
            </w:r>
            <w:r>
              <w:rPr>
                <w:rFonts w:ascii="Times New Roman" w:cs="Times New Roman" w:eastAsia="Times New Roman" w:hAnsi="Times New Roman"/>
                <w:sz w:val="20"/>
                <w:szCs w:val="20"/>
                <w:color w:val="008000"/>
                <w:vertAlign w:val="superscript"/>
              </w:rPr>
              <w:t>(21)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103</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10</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396.18</w:t>
            </w:r>
            <w:r>
              <w:rPr>
                <w:rFonts w:ascii="Times New Roman" w:cs="Times New Roman" w:eastAsia="Times New Roman" w:hAnsi="Times New Roman"/>
                <w:sz w:val="20"/>
                <w:szCs w:val="20"/>
                <w:color w:val="008000"/>
                <w:vertAlign w:val="superscript"/>
              </w:rPr>
              <w:t>(22)</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93</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18</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396.99</w:t>
            </w:r>
            <w:r>
              <w:rPr>
                <w:rFonts w:ascii="Times New Roman" w:cs="Times New Roman" w:eastAsia="Times New Roman" w:hAnsi="Times New Roman"/>
                <w:sz w:val="20"/>
                <w:szCs w:val="20"/>
                <w:color w:val="008000"/>
                <w:vertAlign w:val="superscript"/>
              </w:rPr>
              <w:t>(23)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75</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14</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398.17</w:t>
            </w:r>
            <w:r>
              <w:rPr>
                <w:rFonts w:ascii="Times New Roman" w:cs="Times New Roman" w:eastAsia="Times New Roman" w:hAnsi="Times New Roman"/>
                <w:sz w:val="20"/>
                <w:szCs w:val="20"/>
                <w:color w:val="008000"/>
                <w:vertAlign w:val="superscript"/>
              </w:rPr>
              <w:t>(24)</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61</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6</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399.01</w:t>
            </w:r>
            <w:r>
              <w:rPr>
                <w:rFonts w:ascii="Times New Roman" w:cs="Times New Roman" w:eastAsia="Times New Roman" w:hAnsi="Times New Roman"/>
                <w:sz w:val="20"/>
                <w:szCs w:val="20"/>
                <w:color w:val="008000"/>
                <w:vertAlign w:val="superscript"/>
              </w:rPr>
              <w:t>(25)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56</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4"/>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8"/>
                <w:szCs w:val="18"/>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9</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400.07</w:t>
            </w:r>
            <w:r>
              <w:rPr>
                <w:rFonts w:ascii="Times New Roman" w:cs="Times New Roman" w:eastAsia="Times New Roman" w:hAnsi="Times New Roman"/>
                <w:sz w:val="20"/>
                <w:szCs w:val="20"/>
                <w:color w:val="008000"/>
                <w:vertAlign w:val="superscript"/>
              </w:rPr>
              <w:t>(26)</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46</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72"/>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40"/>
          </w:cols>
          <w:pgMar w:left="480" w:top="189" w:right="479" w:bottom="317" w:gutter="0" w:footer="0" w:header="0"/>
        </w:sectPr>
      </w:pPr>
    </w:p>
    <w:p>
      <w:pPr>
        <w:ind w:left="10100"/>
        <w:spacing w:after="0" w:line="201" w:lineRule="auto"/>
        <w:rPr>
          <w:sz w:val="20"/>
          <w:szCs w:val="20"/>
          <w:color w:val="auto"/>
        </w:rPr>
      </w:pPr>
      <w:r>
        <w:rPr>
          <w:rFonts w:ascii="Times New Roman" w:cs="Times New Roman" w:eastAsia="Times New Roman" w:hAnsi="Times New Roman"/>
          <w:sz w:val="3"/>
          <w:szCs w:val="3"/>
          <w:color w:val="0000FF"/>
        </w:rPr>
        <w:t>Technology</w:t>
      </w:r>
    </w:p>
    <w:p>
      <w:pPr>
        <w:sectPr>
          <w:pgSz w:w="11900" w:h="16838" w:orient="portrait"/>
          <w:cols w:equalWidth="0" w:num="1">
            <w:col w:w="10940"/>
          </w:cols>
          <w:pgMar w:left="480" w:top="189" w:right="479" w:bottom="317" w:gutter="0" w:footer="0" w:header="0"/>
          <w:type w:val="continuous"/>
        </w:sectPr>
      </w:pPr>
    </w:p>
    <w:p>
      <w:pPr>
        <w:ind w:left="10100"/>
        <w:spacing w:after="0"/>
        <w:rPr>
          <w:sz w:val="20"/>
          <w:szCs w:val="20"/>
          <w:color w:val="auto"/>
        </w:rPr>
      </w:pPr>
      <w:r>
        <w:rPr>
          <w:rFonts w:ascii="Times New Roman" w:cs="Times New Roman" w:eastAsia="Times New Roman" w:hAnsi="Times New Roman"/>
          <w:sz w:val="26"/>
          <w:szCs w:val="26"/>
          <w:color w:val="0000FF"/>
          <w:vertAlign w:val="subscript"/>
        </w:rPr>
        <w:t>L.P.</w:t>
      </w:r>
      <w:r>
        <w:rPr>
          <w:rFonts w:ascii="Times New Roman" w:cs="Times New Roman" w:eastAsia="Times New Roman" w:hAnsi="Times New Roman"/>
          <w:sz w:val="9"/>
          <w:szCs w:val="9"/>
          <w:color w:val="008000"/>
        </w:rPr>
        <w:t>(3)(4)</w:t>
      </w:r>
    </w:p>
    <w:p>
      <w:pPr>
        <w:sectPr>
          <w:pgSz w:w="11900" w:h="16838" w:orient="portrait"/>
          <w:cols w:equalWidth="0" w:num="1">
            <w:col w:w="10940"/>
          </w:cols>
          <w:pgMar w:left="480" w:top="189" w:right="479" w:bottom="317" w:gutter="0" w:footer="0" w:header="0"/>
          <w:type w:val="continuous"/>
        </w:sectPr>
      </w:pPr>
    </w:p>
    <w:bookmarkStart w:id="2" w:name="page3"/>
    <w:bookmarkEnd w:id="2"/>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6997065" cy="105251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065" cy="10525125"/>
                    </a:xfrm>
                    <a:prstGeom prst="rect">
                      <a:avLst/>
                    </a:prstGeom>
                    <a:noFill/>
                  </pic:spPr>
                </pic:pic>
              </a:graphicData>
            </a:graphic>
          </wp:anchor>
        </w:drawing>
        <w:t>Table I - Non-Derivative Securities Acquired, Disposed of, or Beneficially Owned</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ind w:left="6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3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88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right"/>
              <w:ind w:right="93"/>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ind w:right="173"/>
              <w:spacing w:after="0"/>
              <w:rPr>
                <w:sz w:val="20"/>
                <w:szCs w:val="20"/>
                <w:color w:val="auto"/>
              </w:rPr>
            </w:pPr>
            <w:r>
              <w:rPr>
                <w:rFonts w:ascii="Times New Roman" w:cs="Times New Roman" w:eastAsia="Times New Roman" w:hAnsi="Times New Roman"/>
                <w:sz w:val="16"/>
                <w:szCs w:val="16"/>
                <w:color w:val="0000FF"/>
              </w:rPr>
              <w:t>4</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401.09</w:t>
            </w:r>
            <w:r>
              <w:rPr>
                <w:rFonts w:ascii="Times New Roman" w:cs="Times New Roman" w:eastAsia="Times New Roman" w:hAnsi="Times New Roman"/>
                <w:sz w:val="20"/>
                <w:szCs w:val="20"/>
                <w:color w:val="008000"/>
                <w:vertAlign w:val="superscript"/>
              </w:rPr>
              <w:t>(27)</w:t>
            </w:r>
          </w:p>
        </w:tc>
        <w:tc>
          <w:tcPr>
            <w:tcW w:w="108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42</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4"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4"/>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right"/>
              <w:ind w:right="93"/>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8"/>
                <w:szCs w:val="18"/>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ind w:right="173"/>
              <w:spacing w:after="0"/>
              <w:rPr>
                <w:sz w:val="20"/>
                <w:szCs w:val="20"/>
                <w:color w:val="auto"/>
              </w:rPr>
            </w:pPr>
            <w:r>
              <w:rPr>
                <w:rFonts w:ascii="Times New Roman" w:cs="Times New Roman" w:eastAsia="Times New Roman" w:hAnsi="Times New Roman"/>
                <w:sz w:val="16"/>
                <w:szCs w:val="16"/>
                <w:color w:val="0000FF"/>
              </w:rPr>
              <w:t>6</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402.24</w:t>
            </w:r>
            <w:r>
              <w:rPr>
                <w:rFonts w:ascii="Times New Roman" w:cs="Times New Roman" w:eastAsia="Times New Roman" w:hAnsi="Times New Roman"/>
                <w:sz w:val="20"/>
                <w:szCs w:val="20"/>
                <w:color w:val="008000"/>
                <w:vertAlign w:val="superscript"/>
              </w:rPr>
              <w:t>(28)</w:t>
            </w:r>
          </w:p>
        </w:tc>
        <w:tc>
          <w:tcPr>
            <w:tcW w:w="108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37</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72"/>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189" w:right="359" w:bottom="0" w:gutter="0" w:footer="0" w:header="0"/>
        </w:sectPr>
      </w:pPr>
    </w:p>
    <w:p>
      <w:pPr>
        <w:ind w:left="10120"/>
        <w:spacing w:after="0" w:line="201" w:lineRule="auto"/>
        <w:rPr>
          <w:sz w:val="20"/>
          <w:szCs w:val="20"/>
          <w:color w:val="auto"/>
        </w:rPr>
      </w:pPr>
      <w:r>
        <w:rPr>
          <w:rFonts w:ascii="Times New Roman" w:cs="Times New Roman" w:eastAsia="Times New Roman" w:hAnsi="Times New Roman"/>
          <w:sz w:val="3"/>
          <w:szCs w:val="3"/>
          <w:color w:val="0000FF"/>
        </w:rPr>
        <w:t>Technology</w:t>
      </w:r>
    </w:p>
    <w:p>
      <w:pPr>
        <w:sectPr>
          <w:pgSz w:w="11900" w:h="16838" w:orient="portrait"/>
          <w:cols w:equalWidth="0" w:num="1">
            <w:col w:w="11080"/>
          </w:cols>
          <w:pgMar w:left="460" w:top="189" w:right="359" w:bottom="0" w:gutter="0" w:footer="0" w:header="0"/>
          <w:type w:val="continuous"/>
        </w:sectPr>
      </w:pPr>
    </w:p>
    <w:p>
      <w:pPr>
        <w:ind w:left="10120"/>
        <w:spacing w:after="0"/>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0"/>
          <w:szCs w:val="10"/>
          <w:color w:val="008000"/>
        </w:rPr>
        <w:t>(3)(4)</w:t>
      </w:r>
    </w:p>
    <w:p>
      <w:pPr>
        <w:spacing w:after="0" w:line="148"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Held</w:t>
      </w:r>
    </w:p>
    <w:p>
      <w:pPr>
        <w:spacing w:after="0" w:line="30"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through</w:t>
      </w:r>
    </w:p>
    <w:p>
      <w:pPr>
        <w:spacing w:after="0" w:line="17" w:lineRule="exact"/>
        <w:rPr>
          <w:sz w:val="20"/>
          <w:szCs w:val="20"/>
          <w:color w:val="auto"/>
        </w:rPr>
      </w:pPr>
    </w:p>
    <w:p>
      <w:pPr>
        <w:ind w:left="80"/>
        <w:spacing w:after="0"/>
        <w:tabs>
          <w:tab w:leader="none" w:pos="8400" w:val="left"/>
          <w:tab w:leader="none" w:pos="9560" w:val="left"/>
          <w:tab w:leader="none" w:pos="10100" w:val="left"/>
        </w:tabs>
        <w:rPr>
          <w:sz w:val="20"/>
          <w:szCs w:val="20"/>
          <w:color w:val="auto"/>
        </w:rPr>
      </w:pPr>
      <w:r>
        <w:rPr>
          <w:rFonts w:ascii="Times New Roman" w:cs="Times New Roman" w:eastAsia="Times New Roman" w:hAnsi="Times New Roman"/>
          <w:sz w:val="16"/>
          <w:szCs w:val="16"/>
          <w:color w:val="0000FF"/>
        </w:rPr>
        <w:t>Class C Common Stock</w:t>
      </w:r>
      <w:r>
        <w:rPr>
          <w:sz w:val="20"/>
          <w:szCs w:val="20"/>
          <w:color w:val="auto"/>
        </w:rPr>
        <w:tab/>
      </w:r>
      <w:r>
        <w:rPr>
          <w:rFonts w:ascii="Times New Roman" w:cs="Times New Roman" w:eastAsia="Times New Roman" w:hAnsi="Times New Roman"/>
          <w:sz w:val="16"/>
          <w:szCs w:val="16"/>
          <w:color w:val="0000FF"/>
        </w:rPr>
        <w:t>9,359</w:t>
      </w:r>
      <w:r>
        <w:rPr>
          <w:sz w:val="20"/>
          <w:szCs w:val="20"/>
          <w:color w:val="auto"/>
        </w:rPr>
        <w:tab/>
      </w:r>
      <w:r>
        <w:rPr>
          <w:rFonts w:ascii="Times New Roman" w:cs="Times New Roman" w:eastAsia="Times New Roman" w:hAnsi="Times New Roman"/>
          <w:sz w:val="16"/>
          <w:szCs w:val="16"/>
          <w:color w:val="0000FF"/>
        </w:rPr>
        <w:t>I</w:t>
      </w:r>
      <w:r>
        <w:rPr>
          <w:sz w:val="20"/>
          <w:szCs w:val="20"/>
          <w:color w:val="auto"/>
        </w:rPr>
        <w:tab/>
      </w:r>
      <w:r>
        <w:rPr>
          <w:rFonts w:ascii="Times New Roman" w:cs="Times New Roman" w:eastAsia="Times New Roman" w:hAnsi="Times New Roman"/>
          <w:sz w:val="16"/>
          <w:szCs w:val="16"/>
          <w:color w:val="0000FF"/>
        </w:rPr>
        <w:t>Silver Lake</w:t>
      </w:r>
    </w:p>
    <w:p>
      <w:pPr>
        <w:spacing w:after="0" w:line="1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Group,</w:t>
      </w:r>
    </w:p>
    <w:p>
      <w:pPr>
        <w:spacing w:after="0" w:line="1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(4)(5)</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vMerge w:val="restart"/>
          </w:tcPr>
          <w:p>
            <w:pPr>
              <w:jc w:val="center"/>
              <w:ind w:left="311"/>
              <w:spacing w:after="0"/>
              <w:rPr>
                <w:sz w:val="20"/>
                <w:szCs w:val="20"/>
                <w:color w:val="auto"/>
              </w:rPr>
            </w:pPr>
            <w:r>
              <w:rPr>
                <w:rFonts w:ascii="Times New Roman" w:cs="Times New Roman" w:eastAsia="Times New Roman" w:hAnsi="Times New Roman"/>
                <w:sz w:val="16"/>
                <w:szCs w:val="16"/>
                <w:color w:val="0000FF"/>
                <w:w w:val="99"/>
              </w:rPr>
              <w:t>4,845</w:t>
            </w:r>
          </w:p>
        </w:tc>
        <w:tc>
          <w:tcPr>
            <w:tcW w:w="700" w:type="dxa"/>
            <w:vAlign w:val="bottom"/>
          </w:tcPr>
          <w:p>
            <w:pPr>
              <w:spacing w:after="0"/>
              <w:rPr>
                <w:sz w:val="17"/>
                <w:szCs w:val="17"/>
                <w:color w:val="auto"/>
              </w:rPr>
            </w:pPr>
          </w:p>
        </w:tc>
        <w:tc>
          <w:tcPr>
            <w:tcW w:w="180" w:type="dxa"/>
            <w:vAlign w:val="bottom"/>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0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880" w:type="dxa"/>
            <w:vAlign w:val="bottom"/>
            <w:tcBorders>
              <w:top w:val="single" w:sz="8" w:color="2C2C2C"/>
            </w:tcBorders>
          </w:tcPr>
          <w:p>
            <w:pPr>
              <w:spacing w:after="0"/>
              <w:rPr>
                <w:sz w:val="20"/>
                <w:szCs w:val="20"/>
                <w:color w:val="auto"/>
              </w:rPr>
            </w:pPr>
          </w:p>
        </w:tc>
        <w:tc>
          <w:tcPr>
            <w:tcW w:w="1440" w:type="dxa"/>
            <w:vAlign w:val="bottom"/>
            <w:tcBorders>
              <w:top w:val="single" w:sz="8" w:color="2C2C2C"/>
            </w:tcBorders>
            <w:gridSpan w:val="2"/>
            <w:vMerge w:val="restart"/>
          </w:tcPr>
          <w:p>
            <w:pPr>
              <w:jc w:val="center"/>
              <w:ind w:right="263"/>
              <w:spacing w:after="0"/>
              <w:rPr>
                <w:sz w:val="20"/>
                <w:szCs w:val="20"/>
                <w:color w:val="auto"/>
              </w:rPr>
            </w:pPr>
            <w:r>
              <w:rPr>
                <w:rFonts w:ascii="Times New Roman" w:cs="Times New Roman" w:eastAsia="Times New Roman" w:hAnsi="Times New Roman"/>
                <w:sz w:val="16"/>
                <w:szCs w:val="16"/>
                <w:color w:val="0000FF"/>
                <w:w w:val="99"/>
              </w:rPr>
              <w:t>164,214</w:t>
            </w:r>
          </w:p>
        </w:tc>
        <w:tc>
          <w:tcPr>
            <w:tcW w:w="18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Borders>
              <w:top w:val="single" w:sz="8" w:color="2C2C2C"/>
            </w:tcBorders>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0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80" w:type="dxa"/>
            <w:vAlign w:val="bottom"/>
            <w:tcBorders>
              <w:top w:val="single" w:sz="8" w:color="2C2C2C"/>
              <w:bottom w:val="single" w:sz="8" w:color="2C2C2C"/>
            </w:tcBorders>
          </w:tcPr>
          <w:p>
            <w:pPr>
              <w:spacing w:after="0"/>
              <w:rPr>
                <w:sz w:val="24"/>
                <w:szCs w:val="24"/>
                <w:color w:val="auto"/>
              </w:rPr>
            </w:pPr>
          </w:p>
        </w:tc>
        <w:tc>
          <w:tcPr>
            <w:tcW w:w="1440" w:type="dxa"/>
            <w:vAlign w:val="bottom"/>
            <w:tcBorders>
              <w:top w:val="single" w:sz="8" w:color="2C2C2C"/>
              <w:bottom w:val="single" w:sz="8" w:color="2C2C2C"/>
            </w:tcBorders>
            <w:gridSpan w:val="2"/>
          </w:tcPr>
          <w:p>
            <w:pPr>
              <w:jc w:val="center"/>
              <w:ind w:right="283"/>
              <w:spacing w:after="0"/>
              <w:rPr>
                <w:sz w:val="20"/>
                <w:szCs w:val="20"/>
                <w:color w:val="auto"/>
              </w:rPr>
            </w:pPr>
            <w:r>
              <w:rPr>
                <w:rFonts w:ascii="Times New Roman" w:cs="Times New Roman" w:eastAsia="Times New Roman" w:hAnsi="Times New Roman"/>
                <w:sz w:val="16"/>
                <w:szCs w:val="16"/>
                <w:color w:val="0000FF"/>
              </w:rPr>
              <w:t>1,317,963</w:t>
            </w:r>
          </w:p>
        </w:tc>
        <w:tc>
          <w:tcPr>
            <w:tcW w:w="900" w:type="dxa"/>
            <w:vAlign w:val="bottom"/>
            <w:tcBorders>
              <w:top w:val="single" w:sz="8" w:color="2C2C2C"/>
              <w:bottom w:val="single" w:sz="8" w:color="2C2C2C"/>
            </w:tcBorders>
            <w:gridSpan w:val="2"/>
          </w:tcPr>
          <w:p>
            <w:pPr>
              <w:jc w:val="center"/>
              <w:ind w:right="591"/>
              <w:spacing w:after="0" w:line="301"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(8)</w:t>
            </w: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gridSpan w:val="2"/>
            <w:vMerge w:val="restart"/>
          </w:tcPr>
          <w:p>
            <w:pPr>
              <w:jc w:val="center"/>
              <w:ind w:right="263"/>
              <w:spacing w:after="0"/>
              <w:rPr>
                <w:sz w:val="20"/>
                <w:szCs w:val="20"/>
                <w:color w:val="auto"/>
              </w:rPr>
            </w:pPr>
            <w:r>
              <w:rPr>
                <w:rFonts w:ascii="Times New Roman" w:cs="Times New Roman" w:eastAsia="Times New Roman" w:hAnsi="Times New Roman"/>
                <w:sz w:val="16"/>
                <w:szCs w:val="16"/>
                <w:color w:val="0000FF"/>
                <w:w w:val="99"/>
              </w:rPr>
              <w:t>47,234</w:t>
            </w:r>
          </w:p>
        </w:tc>
        <w:tc>
          <w:tcPr>
            <w:tcW w:w="180" w:type="dxa"/>
            <w:vAlign w:val="bottom"/>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0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8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jc w:val="center"/>
              <w:ind w:left="311"/>
              <w:spacing w:after="0"/>
              <w:rPr>
                <w:sz w:val="20"/>
                <w:szCs w:val="20"/>
                <w:color w:val="auto"/>
              </w:rPr>
            </w:pPr>
            <w:r>
              <w:rPr>
                <w:rFonts w:ascii="Times New Roman" w:cs="Times New Roman" w:eastAsia="Times New Roman" w:hAnsi="Times New Roman"/>
                <w:sz w:val="16"/>
                <w:szCs w:val="16"/>
                <w:color w:val="0000FF"/>
                <w:w w:val="99"/>
              </w:rPr>
              <w:t>5,322</w:t>
            </w:r>
          </w:p>
        </w:tc>
        <w:tc>
          <w:tcPr>
            <w:tcW w:w="70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Borders>
              <w:top w:val="single" w:sz="8" w:color="2C2C2C"/>
            </w:tcBorders>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(29)</w:t>
            </w:r>
          </w:p>
        </w:tc>
        <w:tc>
          <w:tcPr>
            <w:tcW w:w="0" w:type="dxa"/>
            <w:vAlign w:val="bottom"/>
          </w:tcPr>
          <w:p>
            <w:pPr>
              <w:spacing w:after="0"/>
              <w:rPr>
                <w:sz w:val="1"/>
                <w:szCs w:val="1"/>
                <w:color w:val="auto"/>
              </w:rPr>
            </w:pPr>
          </w:p>
        </w:tc>
      </w:tr>
      <w:tr>
        <w:trPr>
          <w:trHeight w:val="196"/>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14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60" w:type="dxa"/>
            <w:vAlign w:val="bottom"/>
            <w:gridSpan w:val="11"/>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18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0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180" w:type="dxa"/>
            <w:vAlign w:val="bottom"/>
          </w:tcPr>
          <w:p>
            <w:pPr>
              <w:spacing w:after="0"/>
              <w:rPr>
                <w:sz w:val="10"/>
                <w:szCs w:val="10"/>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Form:</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70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180" w:type="dxa"/>
            <w:vAlign w:val="bottom"/>
          </w:tcPr>
          <w:p>
            <w:pPr>
              <w:spacing w:after="0"/>
              <w:rPr>
                <w:sz w:val="10"/>
                <w:szCs w:val="10"/>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Direct (D)</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180" w:type="dxa"/>
            <w:vAlign w:val="bottom"/>
          </w:tcPr>
          <w:p>
            <w:pPr>
              <w:spacing w:after="0"/>
              <w:rPr>
                <w:sz w:val="10"/>
                <w:szCs w:val="10"/>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180" w:type="dxa"/>
            <w:vAlign w:val="bottom"/>
          </w:tcPr>
          <w:p>
            <w:pPr>
              <w:spacing w:after="0"/>
              <w:rPr>
                <w:sz w:val="10"/>
                <w:szCs w:val="10"/>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of (D)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3"/>
                <w:szCs w:val="13"/>
                <w:color w:val="0000FF"/>
              </w:rPr>
              <w:t>Held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Class C</w:t>
            </w: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right w:val="single" w:sz="8" w:color="2C2C2C"/>
            </w:tcBorders>
            <w:gridSpan w:val="3"/>
          </w:tcPr>
          <w:p>
            <w:pPr>
              <w:ind w:left="20"/>
              <w:spacing w:after="0" w:line="139" w:lineRule="exact"/>
              <w:rPr>
                <w:sz w:val="20"/>
                <w:szCs w:val="20"/>
                <w:color w:val="auto"/>
              </w:rPr>
            </w:pPr>
            <w:r>
              <w:rPr>
                <w:rFonts w:ascii="Times New Roman" w:cs="Times New Roman" w:eastAsia="Times New Roman" w:hAnsi="Times New Roman"/>
                <w:sz w:val="13"/>
                <w:szCs w:val="13"/>
                <w:color w:val="0000FF"/>
              </w:rPr>
              <w:t>through</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2"/>
            <w:vMerge w:val="restart"/>
          </w:tcPr>
          <w:p>
            <w:pPr>
              <w:ind w:left="60"/>
              <w:spacing w:after="0" w:line="264"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(1)(2)</w:t>
            </w:r>
          </w:p>
        </w:tc>
        <w:tc>
          <w:tcPr>
            <w:tcW w:w="720" w:type="dxa"/>
            <w:vAlign w:val="bottom"/>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vMerge w:val="continue"/>
          </w:tcPr>
          <w:p>
            <w:pPr>
              <w:spacing w:after="0"/>
              <w:rPr>
                <w:sz w:val="6"/>
                <w:szCs w:val="6"/>
                <w:color w:val="auto"/>
              </w:rPr>
            </w:pPr>
          </w:p>
        </w:tc>
        <w:tc>
          <w:tcPr>
            <w:tcW w:w="880" w:type="dxa"/>
            <w:vAlign w:val="bottom"/>
            <w:vMerge w:val="restart"/>
          </w:tcPr>
          <w:p>
            <w:pPr>
              <w:jc w:val="right"/>
              <w:ind w:right="253"/>
              <w:spacing w:after="0"/>
              <w:rPr>
                <w:sz w:val="20"/>
                <w:szCs w:val="20"/>
                <w:color w:val="auto"/>
              </w:rPr>
            </w:pPr>
            <w:r>
              <w:rPr>
                <w:rFonts w:ascii="Times New Roman" w:cs="Times New Roman" w:eastAsia="Times New Roman" w:hAnsi="Times New Roman"/>
                <w:sz w:val="16"/>
                <w:szCs w:val="16"/>
                <w:color w:val="0000FF"/>
              </w:rPr>
              <w:t>227</w:t>
            </w: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Borders>
              <w:right w:val="single" w:sz="8" w:color="2C2C2C"/>
            </w:tcBorders>
            <w:gridSpan w:val="3"/>
            <w:vMerge w:val="restart"/>
          </w:tcPr>
          <w:p>
            <w:pPr>
              <w:ind w:left="20"/>
              <w:spacing w:after="0" w:line="139" w:lineRule="exact"/>
              <w:rPr>
                <w:sz w:val="20"/>
                <w:szCs w:val="20"/>
                <w:color w:val="auto"/>
              </w:rPr>
            </w:pPr>
            <w:r>
              <w:rPr>
                <w:rFonts w:ascii="Times New Roman" w:cs="Times New Roman" w:eastAsia="Times New Roman" w:hAnsi="Times New Roman"/>
                <w:sz w:val="13"/>
                <w:szCs w:val="13"/>
                <w:color w:val="0000FF"/>
              </w:rPr>
              <w:t>Silver Lake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00" w:type="dxa"/>
            <w:vAlign w:val="bottom"/>
            <w:vMerge w:val="continue"/>
          </w:tcPr>
          <w:p>
            <w:pPr>
              <w:spacing w:after="0"/>
              <w:rPr>
                <w:sz w:val="5"/>
                <w:szCs w:val="5"/>
                <w:color w:val="auto"/>
              </w:rPr>
            </w:pPr>
          </w:p>
        </w:tc>
        <w:tc>
          <w:tcPr>
            <w:tcW w:w="10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06/09/2026</w:t>
            </w: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rPr>
              <w:t>227</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880" w:type="dxa"/>
            <w:vAlign w:val="bottom"/>
            <w:vMerge w:val="continue"/>
          </w:tcPr>
          <w:p>
            <w:pPr>
              <w:spacing w:after="0"/>
              <w:rPr>
                <w:sz w:val="5"/>
                <w:szCs w:val="5"/>
                <w:color w:val="auto"/>
              </w:rPr>
            </w:pPr>
          </w:p>
        </w:tc>
        <w:tc>
          <w:tcPr>
            <w:tcW w:w="74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00" w:type="dxa"/>
            <w:vAlign w:val="bottom"/>
            <w:vMerge w:val="restart"/>
          </w:tcPr>
          <w:p>
            <w:pPr>
              <w:jc w:val="right"/>
              <w:ind w:right="43"/>
              <w:spacing w:after="0"/>
              <w:rPr>
                <w:sz w:val="20"/>
                <w:szCs w:val="20"/>
                <w:color w:val="auto"/>
              </w:rPr>
            </w:pPr>
            <w:r>
              <w:rPr>
                <w:rFonts w:ascii="Times New Roman" w:cs="Times New Roman" w:eastAsia="Times New Roman" w:hAnsi="Times New Roman"/>
                <w:sz w:val="13"/>
                <w:szCs w:val="13"/>
                <w:color w:val="0000FF"/>
              </w:rPr>
              <w:t>117,927</w:t>
            </w:r>
          </w:p>
        </w:tc>
        <w:tc>
          <w:tcPr>
            <w:tcW w:w="180" w:type="dxa"/>
            <w:vAlign w:val="bottom"/>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I</w:t>
            </w:r>
          </w:p>
        </w:tc>
        <w:tc>
          <w:tcPr>
            <w:tcW w:w="70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700" w:type="dxa"/>
            <w:vAlign w:val="bottom"/>
            <w:tcBorders>
              <w:right w:val="single" w:sz="8" w:color="2C2C2C"/>
            </w:tcBorders>
            <w:gridSpan w:val="3"/>
          </w:tcPr>
          <w:p>
            <w:pPr>
              <w:ind w:left="20"/>
              <w:spacing w:after="0" w:line="126" w:lineRule="exact"/>
              <w:rPr>
                <w:sz w:val="20"/>
                <w:szCs w:val="20"/>
                <w:color w:val="auto"/>
              </w:rPr>
            </w:pPr>
            <w:r>
              <w:rPr>
                <w:rFonts w:ascii="Times New Roman" w:cs="Times New Roman" w:eastAsia="Times New Roman" w:hAnsi="Times New Roman"/>
                <w:sz w:val="13"/>
                <w:szCs w:val="13"/>
                <w:color w:val="0000FF"/>
              </w:rPr>
              <w:t>Technology</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right w:val="single" w:sz="8" w:color="2C2C2C"/>
            </w:tcBorders>
            <w:gridSpan w:val="3"/>
          </w:tcPr>
          <w:p>
            <w:pPr>
              <w:ind w:left="20"/>
              <w:spacing w:after="0" w:line="146" w:lineRule="exact"/>
              <w:rPr>
                <w:sz w:val="20"/>
                <w:szCs w:val="20"/>
                <w:color w:val="auto"/>
              </w:rPr>
            </w:pPr>
            <w:r>
              <w:rPr>
                <w:rFonts w:ascii="Times New Roman" w:cs="Times New Roman" w:eastAsia="Times New Roman" w:hAnsi="Times New Roman"/>
                <w:sz w:val="13"/>
                <w:szCs w:val="13"/>
                <w:color w:val="0000FF"/>
              </w:rPr>
              <w:t>Investors V,</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right w:val="single" w:sz="8" w:color="2C2C2C"/>
            </w:tcBorders>
            <w:gridSpan w:val="3"/>
          </w:tcPr>
          <w:p>
            <w:pPr>
              <w:ind w:left="20"/>
              <w:spacing w:after="0" w:line="230" w:lineRule="exact"/>
              <w:rPr>
                <w:sz w:val="20"/>
                <w:szCs w:val="20"/>
                <w:color w:val="auto"/>
              </w:rPr>
            </w:pPr>
            <w:r>
              <w:rPr>
                <w:rFonts w:ascii="Times New Roman" w:cs="Times New Roman" w:eastAsia="Times New Roman" w:hAnsi="Times New Roman"/>
                <w:sz w:val="25"/>
                <w:szCs w:val="25"/>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Class C</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44,970,251</w:t>
            </w: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0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ind w:left="8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vMerge w:val="restart"/>
          </w:tcPr>
          <w:p>
            <w:pPr>
              <w:jc w:val="right"/>
              <w:spacing w:after="0" w:line="101" w:lineRule="exact"/>
              <w:rPr>
                <w:sz w:val="20"/>
                <w:szCs w:val="20"/>
                <w:color w:val="auto"/>
              </w:rPr>
            </w:pPr>
            <w:r>
              <w:rPr>
                <w:rFonts w:ascii="Times New Roman" w:cs="Times New Roman" w:eastAsia="Times New Roman" w:hAnsi="Times New Roman"/>
                <w:sz w:val="10"/>
                <w:szCs w:val="10"/>
                <w:color w:val="0000FF"/>
              </w:rPr>
              <w:t>44,970,251</w:t>
            </w:r>
          </w:p>
        </w:tc>
        <w:tc>
          <w:tcPr>
            <w:tcW w:w="180" w:type="dxa"/>
            <w:vAlign w:val="bottom"/>
          </w:tcPr>
          <w:p>
            <w:pPr>
              <w:spacing w:after="0"/>
              <w:rPr>
                <w:sz w:val="3"/>
                <w:szCs w:val="3"/>
                <w:color w:val="auto"/>
              </w:rPr>
            </w:pPr>
          </w:p>
        </w:tc>
        <w:tc>
          <w:tcPr>
            <w:tcW w:w="720" w:type="dxa"/>
            <w:vAlign w:val="bottom"/>
            <w:vMerge w:val="restart"/>
          </w:tcPr>
          <w:p>
            <w:pPr>
              <w:ind w:left="300"/>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70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700" w:type="dxa"/>
            <w:vAlign w:val="bottom"/>
            <w:tcBorders>
              <w:right w:val="single" w:sz="8" w:color="2C2C2C"/>
            </w:tcBorders>
            <w:gridSpan w:val="3"/>
          </w:tcPr>
          <w:p>
            <w:pPr>
              <w:ind w:left="2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(30)</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4"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9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gridSpan w:val="6"/>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Silver Lake Technology Investors V, L.P.</w:t>
              </w:r>
            </w:hyperlink>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1040" w:type="dxa"/>
            <w:vAlign w:val="bottom"/>
            <w:tcBorders>
              <w:top w:val="single" w:sz="8" w:color="0000EE"/>
              <w:bottom w:val="single" w:sz="8" w:color="9A9A9A"/>
            </w:tcBorders>
          </w:tcPr>
          <w:p>
            <w:pPr>
              <w:spacing w:after="0"/>
              <w:rPr>
                <w:sz w:val="14"/>
                <w:szCs w:val="14"/>
                <w:color w:val="auto"/>
              </w:rPr>
            </w:pPr>
          </w:p>
        </w:tc>
        <w:tc>
          <w:tcPr>
            <w:tcW w:w="90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(First)</w:t>
            </w:r>
          </w:p>
        </w:tc>
        <w:tc>
          <w:tcPr>
            <w:tcW w:w="104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10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90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94025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80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(State)</w:t>
            </w:r>
          </w:p>
        </w:tc>
        <w:tc>
          <w:tcPr>
            <w:tcW w:w="1040" w:type="dxa"/>
            <w:vAlign w:val="bottom"/>
            <w:gridSpan w:val="3"/>
          </w:tcPr>
          <w:p>
            <w:pPr>
              <w:ind w:left="400"/>
              <w:spacing w:after="0"/>
              <w:rPr>
                <w:sz w:val="20"/>
                <w:szCs w:val="20"/>
                <w:color w:val="auto"/>
              </w:rPr>
            </w:pPr>
            <w:r>
              <w:rPr>
                <w:rFonts w:ascii="Arial" w:cs="Arial" w:eastAsia="Arial" w:hAnsi="Arial"/>
                <w:sz w:val="13"/>
                <w:szCs w:val="13"/>
                <w:color w:val="auto"/>
              </w:rPr>
              <w:t>(Zip)</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gridSpan w:val="6"/>
          </w:tcPr>
          <w:p>
            <w:pPr>
              <w:spacing w:after="0" w:line="214" w:lineRule="exact"/>
              <w:rPr>
                <w:rFonts w:ascii="Times New Roman" w:cs="Times New Roman" w:eastAsia="Times New Roman" w:hAnsi="Times New Roman"/>
                <w:sz w:val="20"/>
                <w:szCs w:val="20"/>
                <w:color w:val="0000EE"/>
                <w:w w:val="98"/>
              </w:rPr>
            </w:pPr>
            <w:hyperlink r:id="rId17">
              <w:r>
                <w:rPr>
                  <w:rFonts w:ascii="Times New Roman" w:cs="Times New Roman" w:eastAsia="Times New Roman" w:hAnsi="Times New Roman"/>
                  <w:sz w:val="20"/>
                  <w:szCs w:val="20"/>
                  <w:color w:val="0000EE"/>
                  <w:w w:val="98"/>
                </w:rPr>
                <w:t>Silver Lake Technology Associates V, L.P.</w:t>
              </w:r>
            </w:hyperlink>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1040" w:type="dxa"/>
            <w:vAlign w:val="bottom"/>
            <w:tcBorders>
              <w:top w:val="single" w:sz="8" w:color="0000EE"/>
              <w:bottom w:val="single" w:sz="8" w:color="9A9A9A"/>
            </w:tcBorders>
          </w:tcPr>
          <w:p>
            <w:pPr>
              <w:spacing w:after="0"/>
              <w:rPr>
                <w:sz w:val="14"/>
                <w:szCs w:val="14"/>
                <w:color w:val="auto"/>
              </w:rPr>
            </w:pPr>
          </w:p>
        </w:tc>
        <w:tc>
          <w:tcPr>
            <w:tcW w:w="90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(First)</w:t>
            </w:r>
          </w:p>
        </w:tc>
        <w:tc>
          <w:tcPr>
            <w:tcW w:w="104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10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90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94025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-5641975</wp:posOffset>
            </wp:positionV>
            <wp:extent cx="28575" cy="2508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575" cy="2508885"/>
                    </a:xfrm>
                    <a:prstGeom prst="rect">
                      <a:avLst/>
                    </a:prstGeom>
                    <a:noFill/>
                  </pic:spPr>
                </pic:pic>
              </a:graphicData>
            </a:graphic>
          </wp:anchor>
        </w:drawing>
      </w:r>
    </w:p>
    <w:p>
      <w:pPr>
        <w:sectPr>
          <w:pgSz w:w="11900" w:h="16838" w:orient="portrait"/>
          <w:cols w:equalWidth="0" w:num="1">
            <w:col w:w="11080"/>
          </w:cols>
          <w:pgMar w:left="460" w:top="189" w:right="359" w:bottom="0" w:gutter="0" w:footer="0" w:header="0"/>
          <w:type w:val="continuous"/>
        </w:sectPr>
      </w:pPr>
    </w:p>
    <w:bookmarkStart w:id="3" w:name="page4"/>
    <w:bookmarkEnd w:id="3"/>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7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5"/>
          </w:tcPr>
          <w:p>
            <w:pPr>
              <w:spacing w:after="0" w:line="214"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SLTA V (GP), L.L.C.</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7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5"/>
          </w:tcPr>
          <w:p>
            <w:pPr>
              <w:spacing w:after="0" w:line="214"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Silver Lake Group, L.L.C.</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78"/>
        </w:trPr>
        <w:tc>
          <w:tcPr>
            <w:tcW w:w="100" w:type="dxa"/>
            <w:vAlign w:val="bottom"/>
            <w:tcBorders>
              <w:bottom w:val="single" w:sz="8" w:color="2C2C2C"/>
            </w:tcBorders>
            <w:gridSpan w:val="2"/>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7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2"/>
          </w:tcPr>
          <w:p>
            <w:pPr>
              <w:spacing w:after="0" w:line="214"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Durban Egon</w:t>
              </w:r>
            </w:hyperlink>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-5159375</wp:posOffset>
            </wp:positionV>
            <wp:extent cx="2812415" cy="52355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2812415" cy="5235575"/>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jc w:val="both"/>
        <w:ind w:left="20" w:right="220" w:hanging="2"/>
        <w:spacing w:after="0" w:line="232"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9, 2026 and initiated in-kind distributions of shares of Class C Common Stock on June 9, 2026. The receipt of shares of Class C Common Stock by each of the Reporting Persons in connection with such distributions was exempt from reporting pursuant to Rule 16a-13 of the Exchange Act.</w:t>
      </w:r>
    </w:p>
    <w:p>
      <w:pPr>
        <w:spacing w:after="0" w:line="25" w:lineRule="exact"/>
        <w:rPr>
          <w:rFonts w:ascii="Times New Roman" w:cs="Times New Roman" w:eastAsia="Times New Roman" w:hAnsi="Times New Roman"/>
          <w:sz w:val="13"/>
          <w:szCs w:val="13"/>
          <w:color w:val="008000"/>
        </w:rPr>
      </w:pPr>
    </w:p>
    <w:p>
      <w:pPr>
        <w:jc w:val="both"/>
        <w:ind w:left="20" w:right="260" w:hanging="2"/>
        <w:spacing w:after="0" w:line="23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June 9, 2026, certain of the Reporting Persons converted shares of Class B Common Stock into an equal number of shares of Class C Common Stock in connection with the sales and distributions described in footnote (1) above.</w:t>
      </w:r>
    </w:p>
    <w:p>
      <w:pPr>
        <w:spacing w:after="0" w:line="26" w:lineRule="exact"/>
        <w:rPr>
          <w:rFonts w:ascii="Times New Roman" w:cs="Times New Roman" w:eastAsia="Times New Roman" w:hAnsi="Times New Roman"/>
          <w:sz w:val="13"/>
          <w:szCs w:val="13"/>
          <w:color w:val="008000"/>
        </w:rPr>
      </w:pPr>
    </w:p>
    <w:p>
      <w:pPr>
        <w:ind w:left="20" w:right="2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Silver Lake Technology Investors V, L.P. The general partner of Silver Lake Technology Investors V, L.P. is Silver Lake Technology Associates V, L.P. and the general partner of Silver Lake Technology Associates V, L.P. is SLTA V (GP), L.L.C.</w:t>
      </w:r>
    </w:p>
    <w:p>
      <w:pPr>
        <w:spacing w:after="0" w:line="21" w:lineRule="exact"/>
        <w:rPr>
          <w:rFonts w:ascii="Times New Roman" w:cs="Times New Roman" w:eastAsia="Times New Roman" w:hAnsi="Times New Roman"/>
          <w:sz w:val="13"/>
          <w:szCs w:val="13"/>
          <w:color w:val="008000"/>
        </w:rPr>
      </w:pPr>
    </w:p>
    <w:p>
      <w:pPr>
        <w:ind w:left="20" w:right="28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Group, L.L.C. ("SLG") is the managing member of SLTA V (GP), L.L.C. Egon Durban, who serves as a director of the Issuer, also serves as a Co-CEO and Managing Member of SLG. Each of the Reporting Persons may be deemed a director by deputization of the Issuer.</w:t>
      </w:r>
    </w:p>
    <w:p>
      <w:pPr>
        <w:spacing w:after="0" w:line="21" w:lineRule="exact"/>
        <w:rPr>
          <w:rFonts w:ascii="Times New Roman" w:cs="Times New Roman" w:eastAsia="Times New Roman" w:hAnsi="Times New Roman"/>
          <w:sz w:val="13"/>
          <w:szCs w:val="13"/>
          <w:color w:val="008000"/>
        </w:rPr>
      </w:pPr>
    </w:p>
    <w:p>
      <w:pPr>
        <w:ind w:left="20" w:right="22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C Common Stock held by SLG. Shares held include shares of Class C Common Stock received in connection with the distributions described herein on June 9, 2026. The receipt of such shares of Class C Common Stock was exempt from reporting pursuant to Rule 16a-13 of the Exchange Act.</w:t>
      </w:r>
    </w:p>
    <w:p>
      <w:pPr>
        <w:spacing w:after="0" w:line="21" w:lineRule="exact"/>
        <w:rPr>
          <w:rFonts w:ascii="Times New Roman" w:cs="Times New Roman" w:eastAsia="Times New Roman" w:hAnsi="Times New Roman"/>
          <w:sz w:val="13"/>
          <w:szCs w:val="13"/>
          <w:color w:val="008000"/>
        </w:rPr>
      </w:pPr>
    </w:p>
    <w:p>
      <w:pPr>
        <w:ind w:left="20" w:right="24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C Common Stock are held by entities in which Mr. Durban may be deemed to have an indirect pecuniary interest including shares received in connection with the distributions of shares of Class C Common Stock on June 9, 2026. The receipt of such shares of Class C Common Stock indirectly by Mr. Durban was exempt from reporting pursuant to Rule 16a-13 of the Exchange Act.</w:t>
      </w:r>
    </w:p>
    <w:p>
      <w:pPr>
        <w:spacing w:after="0" w:line="21" w:lineRule="exact"/>
        <w:rPr>
          <w:rFonts w:ascii="Times New Roman" w:cs="Times New Roman" w:eastAsia="Times New Roman" w:hAnsi="Times New Roman"/>
          <w:sz w:val="13"/>
          <w:szCs w:val="13"/>
          <w:color w:val="008000"/>
        </w:rPr>
      </w:pPr>
    </w:p>
    <w:p>
      <w:pPr>
        <w:ind w:left="20" w:right="200" w:hanging="2"/>
        <w:spacing w:after="0" w:line="263"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connection with the distributions described in footnote (1) above, distributions of certain shares were initiated to certain employees and managing members of SLG or its affiliates, including Mr. Durban. This amount reflects 24,563, 24,932, 114,663 and 56 shares held by SLTA SPV-2, L.P., Silver Lake Technology Associates V, L.P., SLG and Silver Lake Secondary Holdings L.P., respectively, on behalf of such individuals, including shares distributed in the June 9, 2026 distributions. The receipt of such shares of Class C Common Stock was exempt from reporting pursuant to Rule 16a-13 of the Exchange Act.</w:t>
      </w:r>
    </w:p>
    <w:p>
      <w:pPr>
        <w:spacing w:after="0" w:line="11" w:lineRule="exact"/>
        <w:rPr>
          <w:rFonts w:ascii="Times New Roman" w:cs="Times New Roman" w:eastAsia="Times New Roman" w:hAnsi="Times New Roman"/>
          <w:sz w:val="12"/>
          <w:szCs w:val="12"/>
          <w:color w:val="008000"/>
        </w:rPr>
      </w:pPr>
    </w:p>
    <w:p>
      <w:pPr>
        <w:ind w:left="20" w:right="160" w:hanging="2"/>
        <w:spacing w:after="0" w:line="284"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held by Mr. Durban including shares received in connection with the distributions of shares of Class C Common Stock on June 9, 2026. The receipt of such shares of Class C Common Stock was exempt from reporting pursuant to Rule 16a-13 of the Exchange Act. Mr. Durban has filed a separate Form 4 reporting transactions in securities of the Issuer on June 9, 2026.</w:t>
      </w:r>
    </w:p>
    <w:p>
      <w:pPr>
        <w:ind w:left="20" w:right="60" w:hanging="2"/>
        <w:spacing w:after="0" w:line="284"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beneficially owned indirectly by Mr. Durban through a trust for the benefit of certain family members, including shares received in connection with the distributions of shares of Class C Common Stock on June 9, 2026. The receipt of such shares of Class C Common Stock indirectly by Mr. Durban was exempt from reporting pursuant to Rule 16a-13 of the Exchange Act.</w:t>
      </w: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$380.0000 to $380.9800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$381.0000 to $381.9300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$382.0500 to $382.8500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$383.0000 to $383.1200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$384.1200 to $384.1800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$385.7600 to $386.7000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$386.9900 to $387.9300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$388.3200 to $389.1100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$390.0000 to $390.9983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$391.0000 to $391.9818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$392.0187 to $392.0794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$394.4800 to $395.4268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$395.5264 to $396.4800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5"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$396.5300 to $397.5167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ectPr>
          <w:pgSz w:w="11900" w:h="16853" w:orient="portrait"/>
          <w:cols w:equalWidth="0" w:num="1">
            <w:col w:w="10920"/>
          </w:cols>
          <w:pgMar w:left="480" w:top="139" w:right="499" w:bottom="0" w:gutter="0" w:footer="0" w:header="0"/>
        </w:sectPr>
      </w:pPr>
    </w:p>
    <w:bookmarkStart w:id="4" w:name="page5"/>
    <w:bookmarkEnd w:id="4"/>
    <w:p>
      <w:pPr>
        <w:ind w:left="2" w:hanging="2"/>
        <w:spacing w:after="0" w:line="284"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$397.5900 to $398.5700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4"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$398.5900 to $399.5097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4"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$399.6000 to $400.5786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4"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$400.7600 to $401.7224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4"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$401.8262 to $402.7200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right="80" w:hanging="2"/>
        <w:spacing w:after="0" w:line="235"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described in footnote (1), SL SPV-2, L.P. directly holds 0 shares of Class C Common Stock, Silver Lake Partners IV, L.P. directly holds 0 shares of Class C Common Stock, Silver Lake Partners V DE (AIV), L.P. directly holds 5,322 shares of Class C Common Stock, and Silver Lake Technology Investors IV, L.P. directly holds 0 shares of Class C Common Stock, which securities and related transactions are reported on separate Form 4 filings.</w:t>
      </w:r>
    </w:p>
    <w:p>
      <w:pPr>
        <w:spacing w:after="0" w:line="26" w:lineRule="exact"/>
        <w:rPr>
          <w:rFonts w:ascii="Times New Roman" w:cs="Times New Roman" w:eastAsia="Times New Roman" w:hAnsi="Times New Roman"/>
          <w:sz w:val="13"/>
          <w:szCs w:val="13"/>
          <w:color w:val="008000"/>
        </w:rPr>
      </w:pPr>
    </w:p>
    <w:p>
      <w:pPr>
        <w:jc w:val="both"/>
        <w:ind w:left="2" w:hanging="2"/>
        <w:spacing w:after="0" w:line="235"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described in footnote (1), SL SPV-2, L.P. directly holds 17,314,068 shares of Class B Common Stock, Silver Lake Partners IV, L.P. directly holds 17,773,759 shares of Class B Common Stock, Silver Lake Partners V DE (AIV), L.P. directly holds 9,620,914 shares of Class B Common Stock, and Silver Lake Technology Investors IV, L.P. directly holds 261,510 shares of Class B Common Stock, which securities are reported on separate Form 4 filings.</w:t>
      </w:r>
    </w:p>
    <w:p>
      <w:pPr>
        <w:spacing w:after="0" w:line="2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55" w:lineRule="exact"/>
        <w:rPr>
          <w:sz w:val="20"/>
          <w:szCs w:val="20"/>
          <w:color w:val="auto"/>
        </w:rPr>
      </w:pPr>
    </w:p>
    <w:p>
      <w:pPr>
        <w:ind w:left="2" w:right="160"/>
        <w:spacing w:after="0" w:line="255" w:lineRule="auto"/>
        <w:rPr>
          <w:sz w:val="20"/>
          <w:szCs w:val="20"/>
          <w:color w:val="auto"/>
        </w:rPr>
      </w:pPr>
      <w:r>
        <w:rPr>
          <w:rFonts w:ascii="Times New Roman" w:cs="Times New Roman" w:eastAsia="Times New Roman" w:hAnsi="Times New Roman"/>
          <w:sz w:val="12"/>
          <w:szCs w:val="12"/>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ectPr>
          <w:pgSz w:w="11900" w:h="16838" w:orient="portrait"/>
          <w:cols w:equalWidth="0" w:num="1">
            <w:col w:w="10902"/>
          </w:cols>
          <w:pgMar w:left="498" w:top="127" w:right="499" w:bottom="1440" w:gutter="0" w:footer="0" w:header="0"/>
        </w:sectPr>
      </w:pPr>
    </w:p>
    <w:p>
      <w:pPr>
        <w:spacing w:after="0" w:line="42"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-4445</wp:posOffset>
            </wp:positionV>
            <wp:extent cx="1009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2249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1798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0521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0750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L.L.C., gen.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2077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Lake Technology Associates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3055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L.P., gen. partner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3290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Technology Investors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1963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196340" cy="8255"/>
                    </a:xfrm>
                    <a:prstGeom prst="rect">
                      <a:avLst/>
                    </a:prstGeom>
                    <a:noFill/>
                  </pic:spPr>
                </pic:pic>
              </a:graphicData>
            </a:graphic>
          </wp:anchor>
        </w:drawing>
      </w:r>
    </w:p>
    <w:p>
      <w:pPr>
        <w:spacing w:after="0" w:line="35"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-4445</wp:posOffset>
            </wp:positionV>
            <wp:extent cx="1009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2249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1798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0521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0750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L.L.C.,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3373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Lake Technology Associates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3055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612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61290" cy="8255"/>
                    </a:xfrm>
                    <a:prstGeom prst="rect">
                      <a:avLst/>
                    </a:prstGeom>
                    <a:noFill/>
                  </pic:spPr>
                </pic:pic>
              </a:graphicData>
            </a:graphic>
          </wp:anchor>
        </w:drawing>
      </w:r>
    </w:p>
    <w:p>
      <w:pPr>
        <w:spacing w:after="0" w:line="35"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-4445</wp:posOffset>
            </wp:positionV>
            <wp:extent cx="1009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2249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1798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0521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0750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2736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35"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-4445</wp:posOffset>
            </wp:positionV>
            <wp:extent cx="1009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2249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1798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5911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35"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-4445</wp:posOffset>
            </wp:positionV>
            <wp:extent cx="1009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Attorney-in-fact for 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0661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3111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3111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692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692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692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692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692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8662" w:space="100"/>
            <w:col w:w="2140"/>
          </w:cols>
          <w:pgMar w:left="498" w:top="127" w:right="499" w:bottom="1440" w:gutter="0" w:footer="0" w:header="0"/>
          <w:type w:val="continuous"/>
        </w:sectPr>
      </w:pPr>
    </w:p>
    <w:p>
      <w:pPr>
        <w:ind w:left="6562"/>
        <w:spacing w:after="0"/>
        <w:tabs>
          <w:tab w:leader="none" w:pos="874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640" w:hanging="2"/>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2"/>
      </w:cols>
      <w:pgMar w:left="498" w:top="127"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8"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13" Type="http://schemas.openxmlformats.org/officeDocument/2006/relationships/hyperlink" Target="http://www.sec.gov/cgi-bin/browse-edgar?action=getcompany&amp;CIK=0001735863" TargetMode="External"/><Relationship Id="rId14" Type="http://schemas.openxmlformats.org/officeDocument/2006/relationships/hyperlink" Target="http://www.sec.gov/cgi-bin/browse-edgar?action=getcompany&amp;CIK=0001571996" TargetMode="External"/><Relationship Id="rId17" Type="http://schemas.openxmlformats.org/officeDocument/2006/relationships/hyperlink" Target="http://www.sec.gov/cgi-bin/browse-edgar?action=getcompany&amp;CIK=0001737657" TargetMode="External"/><Relationship Id="rId19" Type="http://schemas.openxmlformats.org/officeDocument/2006/relationships/hyperlink" Target="http://www.sec.gov/cgi-bin/browse-edgar?action=getcompany&amp;CIK=0001737652" TargetMode="External"/><Relationship Id="rId20" Type="http://schemas.openxmlformats.org/officeDocument/2006/relationships/hyperlink" Target="http://www.sec.gov/cgi-bin/browse-edgar?action=getcompany&amp;CIK=0001418226" TargetMode="External"/><Relationship Id="rId21"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2026-06-11T16:47:24Z</dcterms:created>
  <dcterms:modified xsi:type="dcterms:W3CDTF">2026-06-11T16:47:24Z</dcterms:modified>
</cp:coreProperties>
</file>