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Washington, D.C. 20549</w:t>
      </w:r>
    </w:p>
    <w:p>
      <w:pPr>
        <w:spacing w:after="0" w:line="11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342"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CURRENT REPORT</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Date of Report (Date of earliest event reported): June 1, 2023</w:t>
      </w:r>
    </w:p>
    <w:p>
      <w:pPr>
        <w:spacing w:after="0" w:line="34" w:lineRule="exact"/>
        <w:rPr>
          <w:sz w:val="24"/>
          <w:szCs w:val="24"/>
          <w:color w:val="auto"/>
        </w:rPr>
      </w:pPr>
    </w:p>
    <w:p>
      <w:pPr>
        <w:ind w:left="4140"/>
        <w:spacing w:after="0"/>
        <w:rPr>
          <w:sz w:val="20"/>
          <w:szCs w:val="20"/>
          <w:color w:val="auto"/>
        </w:rPr>
      </w:pPr>
      <w:r>
        <w:rPr>
          <w:rFonts w:ascii="Arial" w:cs="Arial" w:eastAsia="Arial" w:hAnsi="Arial"/>
          <w:sz w:val="19"/>
          <w:szCs w:val="19"/>
          <w:b w:val="1"/>
          <w:bCs w:val="1"/>
          <w:color w:val="auto"/>
        </w:rPr>
        <w:t>______________________</w:t>
      </w:r>
    </w:p>
    <w:p>
      <w:pPr>
        <w:spacing w:after="0" w:line="160" w:lineRule="exact"/>
        <w:rPr>
          <w:sz w:val="24"/>
          <w:szCs w:val="24"/>
          <w:color w:val="auto"/>
        </w:rPr>
      </w:pPr>
    </w:p>
    <w:p>
      <w:pPr>
        <w:jc w:val="center"/>
        <w:ind w:right="-39"/>
        <w:spacing w:after="0"/>
        <w:rPr>
          <w:sz w:val="20"/>
          <w:szCs w:val="20"/>
          <w:color w:val="auto"/>
        </w:rPr>
      </w:pPr>
      <w:r>
        <w:rPr>
          <w:rFonts w:ascii="Arial" w:cs="Arial" w:eastAsia="Arial" w:hAnsi="Arial"/>
          <w:sz w:val="38"/>
          <w:szCs w:val="38"/>
          <w:b w:val="1"/>
          <w:bCs w:val="1"/>
          <w:color w:val="auto"/>
        </w:rPr>
        <w:t>Dell Technologies Inc.</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4140"/>
        <w:spacing w:after="0"/>
        <w:rPr>
          <w:sz w:val="20"/>
          <w:szCs w:val="20"/>
          <w:color w:val="auto"/>
        </w:rPr>
      </w:pPr>
      <w:r>
        <w:rPr>
          <w:rFonts w:ascii="Arial" w:cs="Arial" w:eastAsia="Arial" w:hAnsi="Arial"/>
          <w:sz w:val="19"/>
          <w:szCs w:val="19"/>
          <w:b w:val="1"/>
          <w:bCs w:val="1"/>
          <w:color w:val="auto"/>
        </w:rPr>
        <w:t>______________________</w:t>
      </w:r>
    </w:p>
    <w:p>
      <w:pPr>
        <w:sectPr>
          <w:pgSz w:w="11900" w:h="16840" w:orient="portrait"/>
          <w:cols w:equalWidth="0" w:num="1">
            <w:col w:w="10540"/>
          </w:cols>
          <w:pgMar w:left="660" w:top="1281" w:right="700" w:bottom="1440" w:gutter="0" w:footer="0" w:header="0"/>
        </w:sectPr>
      </w:pPr>
    </w:p>
    <w:p>
      <w:pPr>
        <w:spacing w:after="0" w:line="96"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2040"/>
        <w:spacing w:after="0"/>
        <w:rPr>
          <w:sz w:val="20"/>
          <w:szCs w:val="20"/>
          <w:color w:val="auto"/>
        </w:rPr>
      </w:pPr>
      <w:r>
        <w:rPr>
          <w:rFonts w:ascii="Arial" w:cs="Arial" w:eastAsia="Arial" w:hAnsi="Arial"/>
          <w:sz w:val="14"/>
          <w:szCs w:val="14"/>
          <w:b w:val="1"/>
          <w:bCs w:val="1"/>
          <w:color w:val="auto"/>
        </w:rPr>
        <w:t>001-37867</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80-0890963</w:t>
      </w:r>
    </w:p>
    <w:p>
      <w:pPr>
        <w:spacing w:after="0" w:line="41" w:lineRule="exact"/>
        <w:rPr>
          <w:sz w:val="24"/>
          <w:szCs w:val="24"/>
          <w:color w:val="auto"/>
        </w:rPr>
      </w:pPr>
    </w:p>
    <w:p>
      <w:pPr>
        <w:sectPr>
          <w:pgSz w:w="11900" w:h="16840" w:orient="portrait"/>
          <w:cols w:equalWidth="0" w:num="3">
            <w:col w:w="4200" w:space="720"/>
            <w:col w:w="2780" w:space="720"/>
            <w:col w:w="2120"/>
          </w:cols>
          <w:pgMar w:left="660" w:top="1281" w:right="700" w:bottom="1440" w:gutter="0" w:footer="0" w:header="0"/>
          <w:type w:val="continuous"/>
        </w:sectPr>
      </w:pPr>
    </w:p>
    <w:p>
      <w:pPr>
        <w:jc w:val="center"/>
        <w:ind w:right="680"/>
        <w:spacing w:after="0"/>
        <w:rPr>
          <w:sz w:val="20"/>
          <w:szCs w:val="20"/>
          <w:color w:val="auto"/>
        </w:rPr>
      </w:pPr>
      <w:r>
        <w:rPr>
          <w:rFonts w:ascii="Arial" w:cs="Arial" w:eastAsia="Arial" w:hAnsi="Arial"/>
          <w:sz w:val="13"/>
          <w:szCs w:val="13"/>
          <w:b w:val="1"/>
          <w:bCs w:val="1"/>
          <w:color w:val="auto"/>
        </w:rPr>
        <w:t>(State or other jurisdiction</w:t>
      </w:r>
    </w:p>
    <w:p>
      <w:pPr>
        <w:jc w:val="center"/>
        <w:ind w:right="6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3"/>
          <w:szCs w:val="13"/>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111" w:lineRule="exact"/>
        <w:rPr>
          <w:sz w:val="24"/>
          <w:szCs w:val="24"/>
          <w:color w:val="auto"/>
        </w:rPr>
      </w:pPr>
    </w:p>
    <w:p>
      <w:pPr>
        <w:sectPr>
          <w:pgSz w:w="11900" w:h="16840" w:orient="portrait"/>
          <w:cols w:equalWidth="0" w:num="3">
            <w:col w:w="4160" w:space="720"/>
            <w:col w:w="2700" w:space="720"/>
            <w:col w:w="2240"/>
          </w:cols>
          <w:pgMar w:left="660" w:top="1281" w:right="700" w:bottom="1440" w:gutter="0" w:footer="0" w:header="0"/>
          <w:type w:val="continuous"/>
        </w:sectPr>
      </w:pPr>
    </w:p>
    <w:p>
      <w:pPr>
        <w:ind w:left="2580"/>
        <w:spacing w:after="0"/>
        <w:rPr>
          <w:sz w:val="20"/>
          <w:szCs w:val="20"/>
          <w:color w:val="auto"/>
        </w:rPr>
      </w:pPr>
      <w:r>
        <w:rPr>
          <w:rFonts w:ascii="Arial" w:cs="Arial" w:eastAsia="Arial" w:hAnsi="Arial"/>
          <w:sz w:val="16"/>
          <w:szCs w:val="16"/>
          <w:b w:val="1"/>
          <w:bCs w:val="1"/>
          <w:color w:val="auto"/>
        </w:rPr>
        <w:t>One Dell Way</w:t>
      </w:r>
    </w:p>
    <w:p>
      <w:pPr>
        <w:spacing w:after="0" w:line="33" w:lineRule="exact"/>
        <w:rPr>
          <w:sz w:val="24"/>
          <w:szCs w:val="24"/>
          <w:color w:val="auto"/>
        </w:rPr>
      </w:pPr>
    </w:p>
    <w:p>
      <w:pPr>
        <w:ind w:left="2200"/>
        <w:spacing w:after="0"/>
        <w:rPr>
          <w:sz w:val="20"/>
          <w:szCs w:val="20"/>
          <w:color w:val="auto"/>
        </w:rPr>
      </w:pPr>
      <w:r>
        <w:rPr>
          <w:rFonts w:ascii="Arial" w:cs="Arial" w:eastAsia="Arial" w:hAnsi="Arial"/>
          <w:sz w:val="14"/>
          <w:szCs w:val="14"/>
          <w:b w:val="1"/>
          <w:bCs w:val="1"/>
          <w:color w:val="auto"/>
        </w:rPr>
        <w:t>Round Rock, Texas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78682</w:t>
      </w:r>
    </w:p>
    <w:p>
      <w:pPr>
        <w:spacing w:after="0" w:line="56" w:lineRule="exact"/>
        <w:rPr>
          <w:sz w:val="24"/>
          <w:szCs w:val="24"/>
          <w:color w:val="auto"/>
        </w:rPr>
      </w:pPr>
    </w:p>
    <w:p>
      <w:pPr>
        <w:sectPr>
          <w:pgSz w:w="11900" w:h="16840" w:orient="portrait"/>
          <w:cols w:equalWidth="0" w:num="2">
            <w:col w:w="7500" w:space="720"/>
            <w:col w:w="2320"/>
          </w:cols>
          <w:pgMar w:left="660" w:top="1281" w:right="700" w:bottom="1440" w:gutter="0" w:footer="0" w:header="0"/>
          <w:type w:val="continuous"/>
        </w:sectPr>
      </w:pPr>
    </w:p>
    <w:p>
      <w:pPr>
        <w:ind w:left="18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77" w:lineRule="exact"/>
        <w:rPr>
          <w:sz w:val="24"/>
          <w:szCs w:val="24"/>
          <w:color w:val="auto"/>
        </w:rPr>
      </w:pPr>
    </w:p>
    <w:p>
      <w:pPr>
        <w:sectPr>
          <w:pgSz w:w="11900" w:h="16840" w:orient="portrait"/>
          <w:cols w:equalWidth="0" w:num="2">
            <w:col w:w="7380" w:space="720"/>
            <w:col w:w="2440"/>
          </w:cols>
          <w:pgMar w:left="660" w:top="1281" w:right="700"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(800) 289-3355</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91" w:lineRule="exact"/>
        <w:rPr>
          <w:sz w:val="24"/>
          <w:szCs w:val="24"/>
          <w:color w:val="auto"/>
        </w:rPr>
      </w:pPr>
    </w:p>
    <w:p>
      <w:pPr>
        <w:ind w:right="20"/>
        <w:spacing w:after="0" w:line="25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42"/>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8" w:lineRule="exact"/>
        <w:rPr>
          <w:rFonts w:ascii="MS PGothic" w:cs="MS PGothic" w:eastAsia="MS PGothic" w:hAnsi="MS PGothic"/>
          <w:sz w:val="16"/>
          <w:szCs w:val="16"/>
          <w:color w:val="auto"/>
        </w:rPr>
      </w:pPr>
    </w:p>
    <w:p>
      <w:pPr>
        <w:ind w:left="360" w:hanging="342"/>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8" w:lineRule="exact"/>
        <w:rPr>
          <w:rFonts w:ascii="MS PGothic" w:cs="MS PGothic" w:eastAsia="MS PGothic" w:hAnsi="MS PGothic"/>
          <w:sz w:val="16"/>
          <w:szCs w:val="16"/>
          <w:color w:val="auto"/>
        </w:rPr>
      </w:pPr>
    </w:p>
    <w:p>
      <w:pPr>
        <w:ind w:left="360" w:hanging="342"/>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8" w:lineRule="exact"/>
        <w:rPr>
          <w:rFonts w:ascii="MS PGothic" w:cs="MS PGothic" w:eastAsia="MS PGothic" w:hAnsi="MS PGothic"/>
          <w:sz w:val="16"/>
          <w:szCs w:val="16"/>
          <w:color w:val="auto"/>
        </w:rPr>
      </w:pPr>
    </w:p>
    <w:p>
      <w:pPr>
        <w:ind w:right="2480" w:firstLine="18"/>
        <w:spacing w:after="0" w:line="360" w:lineRule="auto"/>
        <w:tabs>
          <w:tab w:leader="none" w:pos="34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00" w:type="dxa"/>
        <w:tblCellMar>
          <w:top w:w="0" w:type="dxa"/>
          <w:left w:w="0" w:type="dxa"/>
          <w:bottom w:w="0" w:type="dxa"/>
          <w:right w:w="0" w:type="dxa"/>
        </w:tblCellMar>
      </w:tblPr>
      <w:tr>
        <w:trPr>
          <w:trHeight w:val="163"/>
        </w:trPr>
        <w:tc>
          <w:tcPr>
            <w:tcW w:w="1240" w:type="dxa"/>
            <w:vAlign w:val="bottom"/>
          </w:tcPr>
          <w:p>
            <w:pPr>
              <w:spacing w:after="0"/>
              <w:rPr>
                <w:sz w:val="14"/>
                <w:szCs w:val="14"/>
                <w:color w:val="auto"/>
              </w:rPr>
            </w:pPr>
          </w:p>
        </w:tc>
        <w:tc>
          <w:tcPr>
            <w:tcW w:w="1280" w:type="dxa"/>
            <w:vAlign w:val="bottom"/>
          </w:tcPr>
          <w:p>
            <w:pPr>
              <w:jc w:val="center"/>
              <w:spacing w:after="0" w:line="164" w:lineRule="exact"/>
              <w:rPr>
                <w:sz w:val="20"/>
                <w:szCs w:val="20"/>
                <w:color w:val="auto"/>
              </w:rPr>
            </w:pPr>
            <w:r>
              <w:rPr>
                <w:rFonts w:ascii="Arial" w:cs="Arial" w:eastAsia="Arial" w:hAnsi="Arial"/>
                <w:sz w:val="16"/>
                <w:szCs w:val="16"/>
                <w:color w:val="auto"/>
                <w:w w:val="96"/>
              </w:rPr>
              <w:t>Title of each class</w:t>
            </w:r>
          </w:p>
        </w:tc>
        <w:tc>
          <w:tcPr>
            <w:tcW w:w="1940" w:type="dxa"/>
            <w:vAlign w:val="bottom"/>
          </w:tcPr>
          <w:p>
            <w:pPr>
              <w:spacing w:after="0"/>
              <w:rPr>
                <w:sz w:val="14"/>
                <w:szCs w:val="14"/>
                <w:color w:val="auto"/>
              </w:rPr>
            </w:pPr>
          </w:p>
        </w:tc>
        <w:tc>
          <w:tcPr>
            <w:tcW w:w="2100" w:type="dxa"/>
            <w:vAlign w:val="bottom"/>
            <w:gridSpan w:val="2"/>
          </w:tcPr>
          <w:p>
            <w:pPr>
              <w:jc w:val="center"/>
              <w:ind w:right="840"/>
              <w:spacing w:after="0" w:line="164" w:lineRule="exact"/>
              <w:rPr>
                <w:sz w:val="20"/>
                <w:szCs w:val="20"/>
                <w:color w:val="auto"/>
              </w:rPr>
            </w:pPr>
            <w:r>
              <w:rPr>
                <w:rFonts w:ascii="Arial" w:cs="Arial" w:eastAsia="Arial" w:hAnsi="Arial"/>
                <w:sz w:val="16"/>
                <w:szCs w:val="16"/>
                <w:color w:val="auto"/>
                <w:w w:val="96"/>
              </w:rPr>
              <w:t>Trading Symbol(s)</w:t>
            </w:r>
          </w:p>
        </w:tc>
        <w:tc>
          <w:tcPr>
            <w:tcW w:w="3100" w:type="dxa"/>
            <w:vAlign w:val="bottom"/>
          </w:tcPr>
          <w:p>
            <w:pPr>
              <w:jc w:val="center"/>
              <w:spacing w:after="0" w:line="164" w:lineRule="exact"/>
              <w:rPr>
                <w:sz w:val="20"/>
                <w:szCs w:val="20"/>
                <w:color w:val="auto"/>
              </w:rPr>
            </w:pPr>
            <w:r>
              <w:rPr>
                <w:rFonts w:ascii="Arial" w:cs="Arial" w:eastAsia="Arial" w:hAnsi="Arial"/>
                <w:sz w:val="16"/>
                <w:szCs w:val="16"/>
                <w:color w:val="auto"/>
                <w:w w:val="97"/>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230"/>
        </w:trPr>
        <w:tc>
          <w:tcPr>
            <w:tcW w:w="446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7"/>
              </w:rPr>
              <w:t>Class C Common Stock, par value $0.01 per share</w:t>
            </w:r>
          </w:p>
        </w:tc>
        <w:tc>
          <w:tcPr>
            <w:tcW w:w="210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rPr>
              <w:t>DELL</w:t>
            </w: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97"/>
              </w:rPr>
              <w:t>New York Stock Exchange</w:t>
            </w:r>
          </w:p>
        </w:tc>
      </w:tr>
    </w:tbl>
    <w:p>
      <w:pPr>
        <w:spacing w:after="0" w:line="91" w:lineRule="exact"/>
        <w:rPr>
          <w:sz w:val="24"/>
          <w:szCs w:val="24"/>
          <w:color w:val="auto"/>
        </w:rPr>
      </w:pPr>
    </w:p>
    <w:p>
      <w:pPr>
        <w:ind w:left="40" w:right="320"/>
        <w:spacing w:after="0" w:line="23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280"/>
        <w:spacing w:after="0" w:line="184" w:lineRule="exact"/>
        <w:tabs>
          <w:tab w:leader="none" w:pos="103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37" w:lineRule="exact"/>
        <w:rPr>
          <w:sz w:val="24"/>
          <w:szCs w:val="24"/>
          <w:color w:val="auto"/>
        </w:rPr>
      </w:pPr>
    </w:p>
    <w:p>
      <w:pPr>
        <w:ind w:left="40" w:right="340"/>
        <w:spacing w:after="0" w:line="18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514350</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81" w:right="700" w:bottom="1440" w:gutter="0" w:footer="0" w:header="0"/>
          <w:type w:val="continuous"/>
        </w:sectPr>
      </w:pPr>
    </w:p>
    <w:bookmarkStart w:id="1" w:name="page2"/>
    <w:bookmarkEnd w:id="1"/>
    <w:p>
      <w:pPr>
        <w:spacing w:after="0"/>
        <w:tabs>
          <w:tab w:leader="none" w:pos="82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32"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On June 1, 2023, Dell Technologies Inc. (the “Company” or “Dell”) issued a press release announcing its financial results for its fiscal quarter ended May 5, 2023. A copy of the press release is furnished as Exhibit 99.1 to this current report.</w:t>
      </w:r>
    </w:p>
    <w:p>
      <w:pPr>
        <w:spacing w:after="0" w:line="202"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In accordance with General Instruction B.2 to Form 8-K, the information contained in this Item 2.02 and in Exhibit 99.1 to this current report is being “furnished” with the Securities and Exchange Commission and shall not be deemed “filed” for purposes of Section 18 of the Securities Exchange Act of</w:t>
      </w:r>
    </w:p>
    <w:p>
      <w:pPr>
        <w:spacing w:after="0" w:line="251" w:lineRule="auto"/>
        <w:rPr>
          <w:sz w:val="20"/>
          <w:szCs w:val="20"/>
          <w:color w:val="auto"/>
        </w:rPr>
      </w:pPr>
      <w:r>
        <w:rPr>
          <w:rFonts w:ascii="Arial" w:cs="Arial" w:eastAsia="Arial" w:hAnsi="Arial"/>
          <w:sz w:val="16"/>
          <w:szCs w:val="16"/>
          <w:color w:val="auto"/>
        </w:rPr>
        <w:t>1934, as amended, or otherwise subject to the liabilities under such section. Further, such information shall not be deemed to be incorporated by reference in any filing under the Securities Act of 1933, as amended, or the Securities Exchange Act of 1934, as amended, unless specifically identified as being incorporated therein by reference.</w:t>
      </w:r>
    </w:p>
    <w:p>
      <w:pPr>
        <w:spacing w:after="0" w:line="19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26" w:lineRule="exact"/>
        <w:rPr>
          <w:sz w:val="20"/>
          <w:szCs w:val="20"/>
          <w:color w:val="auto"/>
        </w:rPr>
      </w:pPr>
    </w:p>
    <w:p>
      <w:pPr>
        <w:ind w:left="280" w:hanging="274"/>
        <w:spacing w:after="0"/>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are herewith filed or furnished as exhibits to this report:</w:t>
      </w:r>
    </w:p>
    <w:p>
      <w:pPr>
        <w:spacing w:after="0" w:line="71"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880" w:type="dxa"/>
            <w:vAlign w:val="bottom"/>
          </w:tcPr>
          <w:p>
            <w:pPr>
              <w:jc w:val="center"/>
              <w:ind w:right="2202"/>
              <w:spacing w:after="0"/>
              <w:rPr>
                <w:sz w:val="20"/>
                <w:szCs w:val="20"/>
                <w:color w:val="auto"/>
              </w:rPr>
            </w:pPr>
            <w:r>
              <w:rPr>
                <w:rFonts w:ascii="Arial" w:cs="Arial" w:eastAsia="Arial" w:hAnsi="Arial"/>
                <w:sz w:val="16"/>
                <w:szCs w:val="16"/>
                <w:b w:val="1"/>
                <w:bCs w:val="1"/>
                <w:color w:val="auto"/>
                <w:w w:val="97"/>
              </w:rPr>
              <w:t>Exhibit</w:t>
            </w:r>
          </w:p>
        </w:tc>
        <w:tc>
          <w:tcPr>
            <w:tcW w:w="3160" w:type="dxa"/>
            <w:vAlign w:val="bottom"/>
            <w:vMerge w:val="restart"/>
          </w:tcPr>
          <w:p>
            <w:pPr>
              <w:ind w:left="2300"/>
              <w:spacing w:after="0"/>
              <w:rPr>
                <w:sz w:val="20"/>
                <w:szCs w:val="20"/>
                <w:color w:val="auto"/>
              </w:rPr>
            </w:pPr>
            <w:r>
              <w:rPr>
                <w:rFonts w:ascii="Arial" w:cs="Arial" w:eastAsia="Arial" w:hAnsi="Arial"/>
                <w:sz w:val="16"/>
                <w:szCs w:val="16"/>
                <w:b w:val="1"/>
                <w:bCs w:val="1"/>
                <w:color w:val="auto"/>
                <w:w w:val="95"/>
              </w:rPr>
              <w:t>Description</w:t>
            </w:r>
          </w:p>
        </w:tc>
        <w:tc>
          <w:tcPr>
            <w:tcW w:w="0" w:type="dxa"/>
            <w:vAlign w:val="bottom"/>
          </w:tcPr>
          <w:p>
            <w:pPr>
              <w:spacing w:after="0"/>
              <w:rPr>
                <w:sz w:val="1"/>
                <w:szCs w:val="1"/>
                <w:color w:val="auto"/>
              </w:rPr>
            </w:pPr>
          </w:p>
        </w:tc>
      </w:tr>
      <w:tr>
        <w:trPr>
          <w:trHeight w:val="217"/>
        </w:trPr>
        <w:tc>
          <w:tcPr>
            <w:tcW w:w="2880" w:type="dxa"/>
            <w:vAlign w:val="bottom"/>
          </w:tcPr>
          <w:p>
            <w:pPr>
              <w:jc w:val="center"/>
              <w:ind w:right="2202"/>
              <w:spacing w:after="0"/>
              <w:rPr>
                <w:sz w:val="20"/>
                <w:szCs w:val="20"/>
                <w:color w:val="auto"/>
              </w:rPr>
            </w:pPr>
            <w:r>
              <w:rPr>
                <w:rFonts w:ascii="Arial" w:cs="Arial" w:eastAsia="Arial" w:hAnsi="Arial"/>
                <w:sz w:val="16"/>
                <w:szCs w:val="16"/>
                <w:b w:val="1"/>
                <w:bCs w:val="1"/>
                <w:color w:val="auto"/>
                <w:w w:val="99"/>
              </w:rPr>
              <w:t>Number</w:t>
            </w:r>
          </w:p>
        </w:tc>
        <w:tc>
          <w:tcPr>
            <w:tcW w:w="3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666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1785" cy="7620"/>
                    </a:xfrm>
                    <a:prstGeom prst="rect">
                      <a:avLst/>
                    </a:prstGeom>
                    <a:noFill/>
                  </pic:spPr>
                </pic:pic>
              </a:graphicData>
            </a:graphic>
          </wp:anchor>
        </w:drawing>
      </w:r>
    </w:p>
    <w:p>
      <w:pPr>
        <w:ind w:left="1200"/>
        <w:spacing w:after="0"/>
        <w:tabs>
          <w:tab w:leader="none" w:pos="1620" w:val="left"/>
        </w:tabs>
        <w:rPr>
          <w:rFonts w:ascii="Arial" w:cs="Arial" w:eastAsia="Arial" w:hAnsi="Arial"/>
          <w:sz w:val="14"/>
          <w:szCs w:val="14"/>
          <w:u w:val="single" w:color="auto"/>
          <w:color w:val="0000FF"/>
        </w:rPr>
      </w:pPr>
      <w:hyperlink w:anchor="page1">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1">
        <w:r>
          <w:rPr>
            <w:rFonts w:ascii="Arial" w:cs="Arial" w:eastAsia="Arial" w:hAnsi="Arial"/>
            <w:sz w:val="14"/>
            <w:szCs w:val="14"/>
            <w:u w:val="single" w:color="auto"/>
            <w:color w:val="0000FF"/>
          </w:rPr>
          <w:t xml:space="preserve">Press Release of Dell Technologies Inc. dated June </w:t>
        </w:r>
      </w:hyperlink>
      <w:r>
        <w:rPr>
          <w:rFonts w:ascii="Arial" w:cs="Arial" w:eastAsia="Arial" w:hAnsi="Arial"/>
          <w:sz w:val="14"/>
          <w:szCs w:val="14"/>
          <w:u w:val="single" w:color="auto"/>
          <w:color w:val="0000FF"/>
        </w:rPr>
        <w:t xml:space="preserve">1, </w:t>
      </w:r>
      <w:hyperlink w:anchor="page1">
        <w:r>
          <w:rPr>
            <w:rFonts w:ascii="Arial" w:cs="Arial" w:eastAsia="Arial" w:hAnsi="Arial"/>
            <w:sz w:val="14"/>
            <w:szCs w:val="14"/>
            <w:u w:val="single" w:color="auto"/>
            <w:color w:val="0000FF"/>
          </w:rPr>
          <w:t>2023.</w:t>
        </w:r>
      </w:hyperlink>
    </w:p>
    <w:p>
      <w:pPr>
        <w:spacing w:after="0" w:line="20" w:lineRule="exact"/>
        <w:rPr>
          <w:rFonts w:ascii="Arial" w:cs="Arial" w:eastAsia="Arial" w:hAnsi="Arial"/>
          <w:sz w:val="16"/>
          <w:szCs w:val="16"/>
          <w:u w:val="single" w:color="auto"/>
          <w:color w:val="0000FF"/>
        </w:rPr>
      </w:pPr>
    </w:p>
    <w:p>
      <w:pPr>
        <w:ind w:left="1640" w:hanging="398"/>
        <w:spacing w:after="0"/>
        <w:tabs>
          <w:tab w:leader="none" w:pos="1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Cover Page Interactive Data File — the cover page XBRL tags are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5240"/>
        <w:spacing w:after="0"/>
        <w:rPr>
          <w:rFonts w:ascii="Arial" w:cs="Arial" w:eastAsia="Arial" w:hAnsi="Arial"/>
          <w:sz w:val="16"/>
          <w:szCs w:val="16"/>
          <w:color w:val="auto"/>
        </w:rPr>
      </w:pPr>
      <w:r>
        <w:rPr>
          <w:rFonts w:ascii="Arial" w:cs="Arial" w:eastAsia="Arial" w:hAnsi="Arial"/>
          <w:sz w:val="16"/>
          <w:szCs w:val="16"/>
          <w:color w:val="auto"/>
        </w:rPr>
        <w:t>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239" w:right="820" w:bottom="1440" w:gutter="0" w:footer="0" w:header="0"/>
        </w:sectPr>
      </w:pPr>
    </w:p>
    <w:bookmarkStart w:id="2" w:name="page3"/>
    <w:bookmarkEnd w:id="2"/>
    <w:p>
      <w:pPr>
        <w:ind w:left="4780"/>
        <w:spacing w:after="0"/>
        <w:rPr>
          <w:sz w:val="20"/>
          <w:szCs w:val="20"/>
          <w:color w:val="auto"/>
        </w:rPr>
      </w:pPr>
      <w:r>
        <w:rPr>
          <w:rFonts w:ascii="Arial" w:cs="Arial" w:eastAsia="Arial" w:hAnsi="Arial"/>
          <w:sz w:val="16"/>
          <w:szCs w:val="16"/>
          <w:b w:val="1"/>
          <w:bCs w:val="1"/>
          <w:color w:val="auto"/>
        </w:rPr>
        <w:t>SIGNATURES</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ectPr>
          <w:pgSz w:w="11900" w:h="16840" w:orient="portrait"/>
          <w:cols w:equalWidth="0" w:num="1">
            <w:col w:w="9900"/>
          </w:cols>
          <w:pgMar w:left="660" w:top="1239" w:right="1340" w:bottom="1440" w:gutter="0" w:footer="0" w:header="0"/>
        </w:sectPr>
      </w:pP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June 1, 2023</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Dell Technologies Inc.</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24130</wp:posOffset>
            </wp:positionV>
            <wp:extent cx="31019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1975" cy="7620"/>
                    </a:xfrm>
                    <a:prstGeom prst="rect">
                      <a:avLst/>
                    </a:prstGeom>
                    <a:noFill/>
                  </pic:spPr>
                </pic:pic>
              </a:graphicData>
            </a:graphic>
          </wp:anchor>
        </w:drawing>
      </w:r>
    </w:p>
    <w:p>
      <w:pPr>
        <w:spacing w:after="0" w:line="37" w:lineRule="exact"/>
        <w:rPr>
          <w:sz w:val="20"/>
          <w:szCs w:val="20"/>
          <w:color w:val="auto"/>
        </w:rPr>
      </w:pPr>
    </w:p>
    <w:p>
      <w:pPr>
        <w:sectPr>
          <w:pgSz w:w="11900" w:h="16840" w:orient="portrait"/>
          <w:cols w:equalWidth="0" w:num="3">
            <w:col w:w="4480" w:space="720"/>
            <w:col w:w="1640" w:space="520"/>
            <w:col w:w="2540"/>
          </w:cols>
          <w:pgMar w:left="660" w:top="1239" w:right="1340" w:bottom="1440" w:gutter="0" w:footer="0" w:header="0"/>
          <w:type w:val="continuous"/>
        </w:sectPr>
      </w:pPr>
    </w:p>
    <w:p>
      <w:pPr>
        <w:jc w:val="center"/>
        <w:ind w:left="5680"/>
        <w:spacing w:after="0"/>
        <w:rPr>
          <w:sz w:val="20"/>
          <w:szCs w:val="20"/>
          <w:color w:val="auto"/>
        </w:rPr>
      </w:pPr>
      <w:r>
        <w:rPr>
          <w:rFonts w:ascii="Arial" w:cs="Arial" w:eastAsia="Arial" w:hAnsi="Arial"/>
          <w:sz w:val="16"/>
          <w:szCs w:val="16"/>
          <w:color w:val="auto"/>
        </w:rPr>
        <w:t>Christopher Garcia</w:t>
      </w:r>
    </w:p>
    <w:p>
      <w:pPr>
        <w:jc w:val="center"/>
        <w:ind w:left="5640"/>
        <w:spacing w:after="0"/>
        <w:rPr>
          <w:sz w:val="20"/>
          <w:szCs w:val="20"/>
          <w:color w:val="auto"/>
        </w:rPr>
      </w:pPr>
      <w:r>
        <w:rPr>
          <w:rFonts w:ascii="Arial" w:cs="Arial" w:eastAsia="Arial" w:hAnsi="Arial"/>
          <w:sz w:val="14"/>
          <w:szCs w:val="14"/>
          <w:color w:val="auto"/>
        </w:rPr>
        <w:t>Senior Vice President and Assistant Secretary</w:t>
      </w:r>
    </w:p>
    <w:p>
      <w:pPr>
        <w:spacing w:after="0" w:line="33"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3</w:t>
      </w:r>
    </w:p>
    <w:p>
      <w:pPr>
        <w:sectPr>
          <w:pgSz w:w="11900" w:h="16840" w:orient="portrait"/>
          <w:cols w:equalWidth="0" w:num="1">
            <w:col w:w="9900"/>
          </w:cols>
          <w:pgMar w:left="660" w:top="1239" w:right="1340"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151765</wp:posOffset>
            </wp:positionV>
            <wp:extent cx="2286635" cy="289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63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Dell Technologies Delivers First Quarter Fiscal 2024 Financial Results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News summary</w:t>
      </w:r>
    </w:p>
    <w:p>
      <w:pPr>
        <w:spacing w:after="0" w:line="19" w:lineRule="exact"/>
        <w:rPr>
          <w:sz w:val="20"/>
          <w:szCs w:val="20"/>
          <w:color w:val="auto"/>
        </w:rPr>
      </w:pPr>
    </w:p>
    <w:p>
      <w:pPr>
        <w:ind w:left="580" w:hanging="286"/>
        <w:spacing w:after="0"/>
        <w:tabs>
          <w:tab w:leader="none" w:pos="580" w:val="left"/>
        </w:tabs>
        <w:numPr>
          <w:ilvl w:val="0"/>
          <w:numId w:val="4"/>
        </w:numPr>
        <w:rPr>
          <w:rFonts w:ascii="Arial" w:cs="Arial" w:eastAsia="Arial" w:hAnsi="Arial"/>
          <w:sz w:val="19"/>
          <w:szCs w:val="19"/>
          <w:color w:val="auto"/>
        </w:rPr>
      </w:pPr>
      <w:r>
        <w:rPr>
          <w:rFonts w:ascii="Arial" w:cs="Arial" w:eastAsia="Arial" w:hAnsi="Arial"/>
          <w:sz w:val="19"/>
          <w:szCs w:val="19"/>
          <w:color w:val="auto"/>
        </w:rPr>
        <w:t>First quarter revenue of $20.9 billion</w:t>
      </w:r>
    </w:p>
    <w:p>
      <w:pPr>
        <w:ind w:left="580" w:hanging="286"/>
        <w:spacing w:after="0" w:line="237" w:lineRule="auto"/>
        <w:tabs>
          <w:tab w:leader="none" w:pos="580" w:val="left"/>
        </w:tabs>
        <w:numPr>
          <w:ilvl w:val="0"/>
          <w:numId w:val="4"/>
        </w:numPr>
        <w:rPr>
          <w:rFonts w:ascii="Arial" w:cs="Arial" w:eastAsia="Arial" w:hAnsi="Arial"/>
          <w:sz w:val="19"/>
          <w:szCs w:val="19"/>
          <w:color w:val="auto"/>
        </w:rPr>
      </w:pPr>
      <w:r>
        <w:rPr>
          <w:rFonts w:ascii="Arial" w:cs="Arial" w:eastAsia="Arial" w:hAnsi="Arial"/>
          <w:sz w:val="19"/>
          <w:szCs w:val="19"/>
          <w:color w:val="auto"/>
        </w:rPr>
        <w:t>Operating income of $1.1 billion and non-GAAP operating income of $1.6 billion</w:t>
      </w:r>
    </w:p>
    <w:p>
      <w:pPr>
        <w:ind w:left="580" w:hanging="286"/>
        <w:spacing w:after="0" w:line="237" w:lineRule="auto"/>
        <w:tabs>
          <w:tab w:leader="none" w:pos="580" w:val="left"/>
        </w:tabs>
        <w:numPr>
          <w:ilvl w:val="0"/>
          <w:numId w:val="4"/>
        </w:numPr>
        <w:rPr>
          <w:rFonts w:ascii="Arial" w:cs="Arial" w:eastAsia="Arial" w:hAnsi="Arial"/>
          <w:sz w:val="19"/>
          <w:szCs w:val="19"/>
          <w:color w:val="auto"/>
        </w:rPr>
      </w:pPr>
      <w:r>
        <w:rPr>
          <w:rFonts w:ascii="Arial" w:cs="Arial" w:eastAsia="Arial" w:hAnsi="Arial"/>
          <w:sz w:val="19"/>
          <w:szCs w:val="19"/>
          <w:color w:val="auto"/>
        </w:rPr>
        <w:t>Diluted earnings per share at $0.79, and non-GAAP diluted earnings per share at $1.31</w:t>
      </w:r>
    </w:p>
    <w:p>
      <w:pPr>
        <w:ind w:left="580" w:hanging="286"/>
        <w:spacing w:after="0"/>
        <w:tabs>
          <w:tab w:leader="none" w:pos="580" w:val="left"/>
        </w:tabs>
        <w:numPr>
          <w:ilvl w:val="0"/>
          <w:numId w:val="4"/>
        </w:numPr>
        <w:rPr>
          <w:rFonts w:ascii="Arial" w:cs="Arial" w:eastAsia="Arial" w:hAnsi="Arial"/>
          <w:sz w:val="19"/>
          <w:szCs w:val="19"/>
          <w:color w:val="auto"/>
        </w:rPr>
      </w:pPr>
      <w:r>
        <w:rPr>
          <w:rFonts w:ascii="Arial" w:cs="Arial" w:eastAsia="Arial" w:hAnsi="Arial"/>
          <w:sz w:val="19"/>
          <w:szCs w:val="19"/>
          <w:color w:val="auto"/>
        </w:rPr>
        <w:t>Cash flow from operations of $1.8 billion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ROUND ROCK, Texas </w:t>
      </w:r>
      <w:r>
        <w:rPr>
          <w:rFonts w:ascii="Arial" w:cs="Arial" w:eastAsia="Arial" w:hAnsi="Arial"/>
          <w:sz w:val="15"/>
          <w:szCs w:val="15"/>
          <w:b w:val="1"/>
          <w:bCs w:val="1"/>
          <w:color w:val="auto"/>
        </w:rPr>
        <w:t>—</w:t>
      </w:r>
      <w:r>
        <w:rPr>
          <w:rFonts w:ascii="Arial" w:cs="Arial" w:eastAsia="Arial" w:hAnsi="Arial"/>
          <w:sz w:val="19"/>
          <w:szCs w:val="19"/>
          <w:b w:val="1"/>
          <w:bCs w:val="1"/>
          <w:color w:val="auto"/>
        </w:rPr>
        <w:t xml:space="preserve"> June 1, 2023</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Full story</w:t>
      </w:r>
    </w:p>
    <w:p>
      <w:pPr>
        <w:spacing w:after="0" w:line="22" w:lineRule="exact"/>
        <w:rPr>
          <w:sz w:val="20"/>
          <w:szCs w:val="20"/>
          <w:color w:val="auto"/>
        </w:rPr>
      </w:pPr>
    </w:p>
    <w:p>
      <w:pPr>
        <w:ind w:right="160"/>
        <w:spacing w:after="0" w:line="231" w:lineRule="auto"/>
        <w:rPr>
          <w:sz w:val="20"/>
          <w:szCs w:val="20"/>
          <w:color w:val="auto"/>
        </w:rPr>
      </w:pPr>
      <w:r>
        <w:rPr>
          <w:rFonts w:ascii="Arial" w:cs="Arial" w:eastAsia="Arial" w:hAnsi="Arial"/>
          <w:sz w:val="19"/>
          <w:szCs w:val="19"/>
          <w:color w:val="auto"/>
        </w:rPr>
        <w:t>Dell Technologies (NYSE: DELL) announces financial results for its fiscal 2024 first quarter. Revenue was $20.9 billion, down 20%. The company generated operating income of $1.1 billion and non-GAAP operating income of $1.6 billion, down 31% and 25%, respectively. Diluted earnings per share was $0.79, and non-GAAP diluted earnings per share was $1.31, down 42% and 29%, respectively. Cash flow from operations was $1.8 billion.</w:t>
      </w:r>
    </w:p>
    <w:p>
      <w:pPr>
        <w:spacing w:after="0" w:line="189" w:lineRule="exact"/>
        <w:rPr>
          <w:sz w:val="20"/>
          <w:szCs w:val="20"/>
          <w:color w:val="auto"/>
        </w:rPr>
      </w:pPr>
    </w:p>
    <w:p>
      <w:pPr>
        <w:ind w:right="80"/>
        <w:spacing w:after="0" w:line="233" w:lineRule="auto"/>
        <w:rPr>
          <w:sz w:val="20"/>
          <w:szCs w:val="20"/>
          <w:color w:val="auto"/>
        </w:rPr>
      </w:pPr>
      <w:r>
        <w:rPr>
          <w:rFonts w:ascii="Arial" w:cs="Arial" w:eastAsia="Arial" w:hAnsi="Arial"/>
          <w:sz w:val="19"/>
          <w:szCs w:val="19"/>
          <w:color w:val="auto"/>
        </w:rPr>
        <w:t>“We executed well against a challenging economic backdrop,” said Chuck Whitten, co-chief operating officer, Dell Technologies. “We maintained pricing discipline, reduced operating expenses, and our supply chain continued to perform well after normalizing ahead of competitors. We announced a record number of innovations, making good on our promise to extend Dell APEX as-a-Service capabilities across our full portfolio and simplifying multicloud and edge computing for our customers.”</w:t>
      </w:r>
    </w:p>
    <w:p>
      <w:pPr>
        <w:spacing w:after="0" w:line="188" w:lineRule="exact"/>
        <w:rPr>
          <w:sz w:val="20"/>
          <w:szCs w:val="20"/>
          <w:color w:val="auto"/>
        </w:rPr>
      </w:pPr>
    </w:p>
    <w:p>
      <w:pPr>
        <w:ind w:right="280"/>
        <w:spacing w:after="0" w:line="235" w:lineRule="auto"/>
        <w:rPr>
          <w:sz w:val="20"/>
          <w:szCs w:val="20"/>
          <w:color w:val="auto"/>
        </w:rPr>
      </w:pPr>
      <w:r>
        <w:rPr>
          <w:rFonts w:ascii="Arial" w:cs="Arial" w:eastAsia="Arial" w:hAnsi="Arial"/>
          <w:sz w:val="19"/>
          <w:szCs w:val="19"/>
          <w:color w:val="auto"/>
        </w:rPr>
        <w:t>Dell ended the quarter with remaining performance obligations of $39 billion, recurring revenue of $5.6 billion, up 6%, and deferred revenue of $29.7 billion, up 8%, due to increases in service and software maintenance agreements. Cash and investments were $9.2 billion, and the company returned $527 million to shareholders in the first quarter through share repurchases and dividends.</w:t>
      </w:r>
    </w:p>
    <w:p>
      <w:pPr>
        <w:spacing w:after="0" w:line="189" w:lineRule="exact"/>
        <w:rPr>
          <w:sz w:val="20"/>
          <w:szCs w:val="20"/>
          <w:color w:val="auto"/>
        </w:rPr>
      </w:pPr>
    </w:p>
    <w:p>
      <w:pPr>
        <w:jc w:val="both"/>
        <w:ind w:right="280"/>
        <w:spacing w:after="0" w:line="238" w:lineRule="auto"/>
        <w:rPr>
          <w:sz w:val="20"/>
          <w:szCs w:val="20"/>
          <w:color w:val="auto"/>
        </w:rPr>
      </w:pPr>
      <w:r>
        <w:rPr>
          <w:rFonts w:ascii="Arial" w:cs="Arial" w:eastAsia="Arial" w:hAnsi="Arial"/>
          <w:sz w:val="19"/>
          <w:szCs w:val="19"/>
          <w:color w:val="auto"/>
        </w:rPr>
        <w:t>“We continue to create value for stakeholders, with strong first quarter cash flow from operations of $1.8 billion,” said Tom Sweet, chief financial officer, Dell Technologies. “We’ve returned $5 billion to shareholders over the last six quarters, well ahead of our free cash flow return target, and we continue to invest in innovation that will fuel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40" w:orient="portrait"/>
          <w:cols w:equalWidth="0" w:num="1">
            <w:col w:w="10580"/>
          </w:cols>
          <w:pgMar w:left="660" w:top="1419" w:right="660"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First Quarter Fiscal 2024 Financial Results</w:t>
      </w:r>
    </w:p>
    <w:p>
      <w:pPr>
        <w:spacing w:after="0" w:line="120"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May 5, 2023</w:t>
            </w: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6"/>
              </w:rPr>
              <w:t>April 29, 2022</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60" w:type="dxa"/>
            <w:vAlign w:val="bottom"/>
            <w:gridSpan w:val="5"/>
          </w:tcPr>
          <w:p>
            <w:pPr>
              <w:jc w:val="center"/>
              <w:ind w:right="62"/>
              <w:spacing w:after="0" w:line="153" w:lineRule="exact"/>
              <w:rPr>
                <w:sz w:val="20"/>
                <w:szCs w:val="20"/>
                <w:color w:val="auto"/>
              </w:rPr>
            </w:pPr>
            <w:r>
              <w:rPr>
                <w:rFonts w:ascii="Arial" w:cs="Arial" w:eastAsia="Arial" w:hAnsi="Arial"/>
                <w:sz w:val="16"/>
                <w:szCs w:val="16"/>
                <w:color w:val="auto"/>
                <w:w w:val="97"/>
              </w:rPr>
              <w:t>(in millions, except per share amounts and</w:t>
            </w:r>
          </w:p>
        </w:tc>
        <w:tc>
          <w:tcPr>
            <w:tcW w:w="0" w:type="dxa"/>
            <w:vAlign w:val="bottom"/>
          </w:tcPr>
          <w:p>
            <w:pPr>
              <w:spacing w:after="0"/>
              <w:rPr>
                <w:sz w:val="1"/>
                <w:szCs w:val="1"/>
                <w:color w:val="auto"/>
              </w:rPr>
            </w:pPr>
          </w:p>
        </w:tc>
      </w:tr>
      <w:tr>
        <w:trPr>
          <w:trHeight w:val="198"/>
        </w:trPr>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4"/>
          </w:tcPr>
          <w:p>
            <w:pPr>
              <w:jc w:val="center"/>
              <w:ind w:left="722"/>
              <w:spacing w:after="0"/>
              <w:rPr>
                <w:sz w:val="20"/>
                <w:szCs w:val="20"/>
                <w:color w:val="auto"/>
              </w:rPr>
            </w:pPr>
            <w:r>
              <w:rPr>
                <w:rFonts w:ascii="Arial" w:cs="Arial" w:eastAsia="Arial" w:hAnsi="Arial"/>
                <w:sz w:val="16"/>
                <w:szCs w:val="16"/>
                <w:color w:val="auto"/>
                <w:w w:val="97"/>
              </w:rPr>
              <w:t>percentages; unaudited)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42"/>
              <w:spacing w:after="0"/>
              <w:rPr>
                <w:sz w:val="20"/>
                <w:szCs w:val="20"/>
                <w:color w:val="auto"/>
              </w:rPr>
            </w:pPr>
            <w:r>
              <w:rPr>
                <w:rFonts w:ascii="Arial" w:cs="Arial" w:eastAsia="Arial" w:hAnsi="Arial"/>
                <w:sz w:val="16"/>
                <w:szCs w:val="16"/>
                <w:color w:val="auto"/>
                <w:w w:val="98"/>
              </w:rPr>
              <w:t>(20)%</w:t>
            </w:r>
          </w:p>
        </w:tc>
        <w:tc>
          <w:tcPr>
            <w:tcW w:w="0" w:type="dxa"/>
            <w:vAlign w:val="bottom"/>
          </w:tcPr>
          <w:p>
            <w:pPr>
              <w:spacing w:after="0"/>
              <w:rPr>
                <w:sz w:val="1"/>
                <w:szCs w:val="1"/>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1,069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1,550</w:t>
            </w:r>
          </w:p>
        </w:tc>
        <w:tc>
          <w:tcPr>
            <w:tcW w:w="200" w:type="dxa"/>
            <w:vAlign w:val="bottom"/>
          </w:tcPr>
          <w:p>
            <w:pPr>
              <w:spacing w:after="0"/>
              <w:rPr>
                <w:sz w:val="17"/>
                <w:szCs w:val="17"/>
                <w:color w:val="auto"/>
              </w:rPr>
            </w:pPr>
          </w:p>
        </w:tc>
        <w:tc>
          <w:tcPr>
            <w:tcW w:w="940" w:type="dxa"/>
            <w:vAlign w:val="bottom"/>
          </w:tcPr>
          <w:p>
            <w:pPr>
              <w:jc w:val="center"/>
              <w:ind w:right="42"/>
              <w:spacing w:after="0"/>
              <w:rPr>
                <w:sz w:val="20"/>
                <w:szCs w:val="20"/>
                <w:color w:val="auto"/>
              </w:rPr>
            </w:pPr>
            <w:r>
              <w:rPr>
                <w:rFonts w:ascii="Arial" w:cs="Arial" w:eastAsia="Arial" w:hAnsi="Arial"/>
                <w:sz w:val="16"/>
                <w:szCs w:val="16"/>
                <w:color w:val="auto"/>
                <w:w w:val="98"/>
              </w:rPr>
              <w:t>(31)%</w:t>
            </w:r>
          </w:p>
        </w:tc>
        <w:tc>
          <w:tcPr>
            <w:tcW w:w="0" w:type="dxa"/>
            <w:vAlign w:val="bottom"/>
          </w:tcPr>
          <w:p>
            <w:pPr>
              <w:spacing w:after="0"/>
              <w:rPr>
                <w:sz w:val="1"/>
                <w:szCs w:val="1"/>
                <w:color w:val="auto"/>
              </w:rPr>
            </w:pPr>
          </w:p>
        </w:tc>
      </w:tr>
      <w:tr>
        <w:trPr>
          <w:trHeight w:val="20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42"/>
              <w:spacing w:after="0"/>
              <w:rPr>
                <w:sz w:val="20"/>
                <w:szCs w:val="20"/>
                <w:color w:val="auto"/>
              </w:rPr>
            </w:pPr>
            <w:r>
              <w:rPr>
                <w:rFonts w:ascii="Arial" w:cs="Arial" w:eastAsia="Arial" w:hAnsi="Arial"/>
                <w:sz w:val="16"/>
                <w:szCs w:val="16"/>
                <w:color w:val="auto"/>
                <w:w w:val="98"/>
              </w:rPr>
              <w:t>(46)%</w:t>
            </w:r>
          </w:p>
        </w:tc>
        <w:tc>
          <w:tcPr>
            <w:tcW w:w="0" w:type="dxa"/>
            <w:vAlign w:val="bottom"/>
          </w:tcPr>
          <w:p>
            <w:pPr>
              <w:spacing w:after="0"/>
              <w:rPr>
                <w:sz w:val="1"/>
                <w:szCs w:val="1"/>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0.79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1.37</w:t>
            </w:r>
          </w:p>
        </w:tc>
        <w:tc>
          <w:tcPr>
            <w:tcW w:w="200" w:type="dxa"/>
            <w:vAlign w:val="bottom"/>
          </w:tcPr>
          <w:p>
            <w:pPr>
              <w:spacing w:after="0"/>
              <w:rPr>
                <w:sz w:val="17"/>
                <w:szCs w:val="17"/>
                <w:color w:val="auto"/>
              </w:rPr>
            </w:pPr>
          </w:p>
        </w:tc>
        <w:tc>
          <w:tcPr>
            <w:tcW w:w="940" w:type="dxa"/>
            <w:vAlign w:val="bottom"/>
          </w:tcPr>
          <w:p>
            <w:pPr>
              <w:jc w:val="center"/>
              <w:ind w:right="42"/>
              <w:spacing w:after="0"/>
              <w:rPr>
                <w:sz w:val="20"/>
                <w:szCs w:val="20"/>
                <w:color w:val="auto"/>
              </w:rPr>
            </w:pPr>
            <w:r>
              <w:rPr>
                <w:rFonts w:ascii="Arial" w:cs="Arial" w:eastAsia="Arial" w:hAnsi="Arial"/>
                <w:sz w:val="16"/>
                <w:szCs w:val="16"/>
                <w:color w:val="auto"/>
                <w:w w:val="98"/>
              </w:rPr>
              <w:t>(42)%</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Non-GAAP operating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1,598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2,135</w:t>
            </w:r>
          </w:p>
        </w:tc>
        <w:tc>
          <w:tcPr>
            <w:tcW w:w="200" w:type="dxa"/>
            <w:vAlign w:val="bottom"/>
          </w:tcPr>
          <w:p>
            <w:pPr>
              <w:spacing w:after="0"/>
              <w:rPr>
                <w:sz w:val="17"/>
                <w:szCs w:val="17"/>
                <w:color w:val="auto"/>
              </w:rPr>
            </w:pPr>
          </w:p>
        </w:tc>
        <w:tc>
          <w:tcPr>
            <w:tcW w:w="940" w:type="dxa"/>
            <w:vAlign w:val="bottom"/>
          </w:tcPr>
          <w:p>
            <w:pPr>
              <w:jc w:val="center"/>
              <w:ind w:right="42"/>
              <w:spacing w:after="0"/>
              <w:rPr>
                <w:sz w:val="20"/>
                <w:szCs w:val="20"/>
                <w:color w:val="auto"/>
              </w:rPr>
            </w:pPr>
            <w:r>
              <w:rPr>
                <w:rFonts w:ascii="Arial" w:cs="Arial" w:eastAsia="Arial" w:hAnsi="Arial"/>
                <w:sz w:val="16"/>
                <w:szCs w:val="16"/>
                <w:color w:val="auto"/>
                <w:w w:val="98"/>
              </w:rPr>
              <w:t>(25)%</w:t>
            </w:r>
          </w:p>
        </w:tc>
        <w:tc>
          <w:tcPr>
            <w:tcW w:w="0" w:type="dxa"/>
            <w:vAlign w:val="bottom"/>
          </w:tcPr>
          <w:p>
            <w:pPr>
              <w:spacing w:after="0"/>
              <w:rPr>
                <w:sz w:val="1"/>
                <w:szCs w:val="1"/>
                <w:color w:val="auto"/>
              </w:rPr>
            </w:pPr>
          </w:p>
        </w:tc>
      </w:tr>
      <w:tr>
        <w:trPr>
          <w:trHeight w:val="20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42"/>
              <w:spacing w:after="0"/>
              <w:rPr>
                <w:sz w:val="20"/>
                <w:szCs w:val="20"/>
                <w:color w:val="auto"/>
              </w:rPr>
            </w:pPr>
            <w:r>
              <w:rPr>
                <w:rFonts w:ascii="Arial" w:cs="Arial" w:eastAsia="Arial" w:hAnsi="Arial"/>
                <w:sz w:val="16"/>
                <w:szCs w:val="16"/>
                <w:color w:val="auto"/>
                <w:w w:val="98"/>
              </w:rPr>
              <w:t>(33)%</w:t>
            </w:r>
          </w:p>
        </w:tc>
        <w:tc>
          <w:tcPr>
            <w:tcW w:w="0" w:type="dxa"/>
            <w:vAlign w:val="bottom"/>
          </w:tcPr>
          <w:p>
            <w:pPr>
              <w:spacing w:after="0"/>
              <w:rPr>
                <w:sz w:val="1"/>
                <w:szCs w:val="1"/>
                <w:color w:val="auto"/>
              </w:rPr>
            </w:pPr>
          </w:p>
        </w:tc>
      </w:tr>
      <w:tr>
        <w:trPr>
          <w:trHeight w:val="202"/>
        </w:trPr>
        <w:tc>
          <w:tcPr>
            <w:tcW w:w="6500" w:type="dxa"/>
            <w:vAlign w:val="bottom"/>
          </w:tcPr>
          <w:p>
            <w:pPr>
              <w:ind w:left="20"/>
              <w:spacing w:after="0"/>
              <w:rPr>
                <w:sz w:val="20"/>
                <w:szCs w:val="20"/>
                <w:color w:val="auto"/>
              </w:rPr>
            </w:pPr>
            <w:r>
              <w:rPr>
                <w:rFonts w:ascii="Arial" w:cs="Arial" w:eastAsia="Arial" w:hAnsi="Arial"/>
                <w:sz w:val="16"/>
                <w:szCs w:val="16"/>
                <w:color w:val="auto"/>
              </w:rPr>
              <w:t>Non-GAAP earnings per share - 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1.84</w:t>
            </w:r>
          </w:p>
        </w:tc>
        <w:tc>
          <w:tcPr>
            <w:tcW w:w="200" w:type="dxa"/>
            <w:vAlign w:val="bottom"/>
          </w:tcPr>
          <w:p>
            <w:pPr>
              <w:spacing w:after="0"/>
              <w:rPr>
                <w:sz w:val="17"/>
                <w:szCs w:val="17"/>
                <w:color w:val="auto"/>
              </w:rPr>
            </w:pPr>
          </w:p>
        </w:tc>
        <w:tc>
          <w:tcPr>
            <w:tcW w:w="940" w:type="dxa"/>
            <w:vAlign w:val="bottom"/>
          </w:tcPr>
          <w:p>
            <w:pPr>
              <w:jc w:val="center"/>
              <w:ind w:right="42"/>
              <w:spacing w:after="0"/>
              <w:rPr>
                <w:sz w:val="20"/>
                <w:szCs w:val="20"/>
                <w:color w:val="auto"/>
              </w:rPr>
            </w:pPr>
            <w:r>
              <w:rPr>
                <w:rFonts w:ascii="Arial" w:cs="Arial" w:eastAsia="Arial" w:hAnsi="Arial"/>
                <w:sz w:val="16"/>
                <w:szCs w:val="16"/>
                <w:color w:val="auto"/>
                <w:w w:val="98"/>
              </w:rPr>
              <w:t>(29)%</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i w:val="1"/>
          <w:iCs w:val="1"/>
          <w:color w:val="auto"/>
        </w:rPr>
        <w:t>Information about Dell Technologies’ use of non-GAAP financial information is provided under “Non-GAAP Financial Measures” below. All comparisons in this press release are year-over-year unless otherwise noted.</w:t>
      </w:r>
    </w:p>
    <w:p>
      <w:pPr>
        <w:spacing w:after="0" w:line="174"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 xml:space="preserve">Infrastructure Solutions Group </w:t>
      </w:r>
      <w:r>
        <w:rPr>
          <w:rFonts w:ascii="Arial" w:cs="Arial" w:eastAsia="Arial" w:hAnsi="Arial"/>
          <w:sz w:val="19"/>
          <w:szCs w:val="19"/>
          <w:color w:val="auto"/>
        </w:rPr>
        <w:t>delivered first quarter revenue of $ 7.6 billion, down 18%. Storage revenue was $3.8 billion,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demand growth in the company’s software-defined storage and leading midrange storage array. Servers and networking revenue was $3.8 billion, with demand growth in AI optimized high value workload servers. Operating income was $740 million, or approximately 10% of Infrastructure Solutions Group revenue.</w:t>
      </w:r>
    </w:p>
    <w:p>
      <w:pPr>
        <w:spacing w:after="0" w:line="178" w:lineRule="exact"/>
        <w:rPr>
          <w:sz w:val="20"/>
          <w:szCs w:val="20"/>
          <w:color w:val="auto"/>
        </w:rPr>
      </w:pPr>
    </w:p>
    <w:p>
      <w:pPr>
        <w:ind w:right="120"/>
        <w:spacing w:after="0" w:line="244" w:lineRule="auto"/>
        <w:rPr>
          <w:sz w:val="20"/>
          <w:szCs w:val="20"/>
          <w:color w:val="auto"/>
        </w:rPr>
      </w:pPr>
      <w:r>
        <w:rPr>
          <w:rFonts w:ascii="Arial" w:cs="Arial" w:eastAsia="Arial" w:hAnsi="Arial"/>
          <w:sz w:val="19"/>
          <w:szCs w:val="19"/>
          <w:b w:val="1"/>
          <w:bCs w:val="1"/>
          <w:color w:val="auto"/>
        </w:rPr>
        <w:t xml:space="preserve">Client Solutions Group </w:t>
      </w:r>
      <w:r>
        <w:rPr>
          <w:rFonts w:ascii="Arial" w:cs="Arial" w:eastAsia="Arial" w:hAnsi="Arial"/>
          <w:sz w:val="19"/>
          <w:szCs w:val="19"/>
          <w:color w:val="auto"/>
        </w:rPr>
        <w:t>delivered first quarter revenue of $ 12 billion, down 23%. Commercial revenue was $9.9 billion, and</w:t>
      </w:r>
      <w:r>
        <w:rPr>
          <w:rFonts w:ascii="Arial" w:cs="Arial" w:eastAsia="Arial" w:hAnsi="Arial"/>
          <w:sz w:val="19"/>
          <w:szCs w:val="19"/>
          <w:b w:val="1"/>
          <w:bCs w:val="1"/>
          <w:color w:val="auto"/>
        </w:rPr>
        <w:t xml:space="preserve"> </w:t>
      </w:r>
      <w:r>
        <w:rPr>
          <w:rFonts w:ascii="Arial" w:cs="Arial" w:eastAsia="Arial" w:hAnsi="Arial"/>
          <w:sz w:val="19"/>
          <w:szCs w:val="19"/>
          <w:color w:val="auto"/>
        </w:rPr>
        <w:t>Consumer revenue was $2.1 billion. Operating income was $892 million, or approximately 7% of Client Solutions Group revenue.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areas of innovation:</w:t>
      </w:r>
    </w:p>
    <w:p>
      <w:pPr>
        <w:spacing w:after="0" w:line="10" w:lineRule="exact"/>
        <w:rPr>
          <w:sz w:val="20"/>
          <w:szCs w:val="20"/>
          <w:color w:val="auto"/>
        </w:rPr>
      </w:pPr>
    </w:p>
    <w:p>
      <w:pPr>
        <w:ind w:left="580" w:right="180" w:hanging="286"/>
        <w:spacing w:after="0" w:line="224" w:lineRule="auto"/>
        <w:tabs>
          <w:tab w:leader="none" w:pos="58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Multicloud</w:t>
      </w:r>
      <w:r>
        <w:rPr>
          <w:rFonts w:ascii="Arial" w:cs="Arial" w:eastAsia="Arial" w:hAnsi="Arial"/>
          <w:sz w:val="19"/>
          <w:szCs w:val="19"/>
          <w:color w:val="auto"/>
        </w:rPr>
        <w:t>: Introduced new cloud platforms with Microsoft, Red Hat and VMware that bring cloud operating models</w:t>
      </w:r>
      <w:r>
        <w:rPr>
          <w:rFonts w:ascii="Arial" w:cs="Arial" w:eastAsia="Arial" w:hAnsi="Arial"/>
          <w:sz w:val="19"/>
          <w:szCs w:val="19"/>
          <w:b w:val="1"/>
          <w:bCs w:val="1"/>
          <w:color w:val="auto"/>
        </w:rPr>
        <w:t xml:space="preserve"> </w:t>
      </w:r>
      <w:r>
        <w:rPr>
          <w:rFonts w:ascii="Arial" w:cs="Arial" w:eastAsia="Arial" w:hAnsi="Arial"/>
          <w:sz w:val="19"/>
          <w:szCs w:val="19"/>
          <w:color w:val="auto"/>
        </w:rPr>
        <w:t>on premises, and announced storage for public cloud with AWS and Microsoft that brings enterprise block and file storage capabilities to public cloud.</w:t>
      </w:r>
    </w:p>
    <w:p>
      <w:pPr>
        <w:jc w:val="both"/>
        <w:ind w:left="580" w:right="740" w:hanging="286"/>
        <w:spacing w:after="0" w:line="224" w:lineRule="auto"/>
        <w:tabs>
          <w:tab w:leader="none" w:pos="58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Artificial Intelligence</w:t>
      </w:r>
      <w:r>
        <w:rPr>
          <w:rFonts w:ascii="Arial" w:cs="Arial" w:eastAsia="Arial" w:hAnsi="Arial"/>
          <w:sz w:val="19"/>
          <w:szCs w:val="19"/>
          <w:color w:val="auto"/>
        </w:rPr>
        <w:t>: Announced Project Helix, making Dell the first to collaborate with NVIDIA on full-stack</w:t>
      </w:r>
      <w:r>
        <w:rPr>
          <w:rFonts w:ascii="Arial" w:cs="Arial" w:eastAsia="Arial" w:hAnsi="Arial"/>
          <w:sz w:val="19"/>
          <w:szCs w:val="19"/>
          <w:b w:val="1"/>
          <w:bCs w:val="1"/>
          <w:color w:val="auto"/>
        </w:rPr>
        <w:t xml:space="preserve"> </w:t>
      </w:r>
      <w:r>
        <w:rPr>
          <w:rFonts w:ascii="Arial" w:cs="Arial" w:eastAsia="Arial" w:hAnsi="Arial"/>
          <w:sz w:val="19"/>
          <w:szCs w:val="19"/>
          <w:color w:val="auto"/>
        </w:rPr>
        <w:t>solutions that help customers quickly and securely deploy generative AI on-premises at scale using their own proprietary data.</w:t>
      </w:r>
    </w:p>
    <w:p>
      <w:pPr>
        <w:ind w:left="580" w:right="80" w:hanging="286"/>
        <w:spacing w:after="0" w:line="224" w:lineRule="auto"/>
        <w:tabs>
          <w:tab w:leader="none" w:pos="58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As a Service</w:t>
      </w:r>
      <w:r>
        <w:rPr>
          <w:rFonts w:ascii="Arial" w:cs="Arial" w:eastAsia="Arial" w:hAnsi="Arial"/>
          <w:sz w:val="19"/>
          <w:szCs w:val="19"/>
          <w:color w:val="auto"/>
        </w:rPr>
        <w:t>: Added compute and PCaaS and managed device services for client to Dell APEX, making the breadth</w:t>
      </w:r>
      <w:r>
        <w:rPr>
          <w:rFonts w:ascii="Arial" w:cs="Arial" w:eastAsia="Arial" w:hAnsi="Arial"/>
          <w:sz w:val="19"/>
          <w:szCs w:val="19"/>
          <w:b w:val="1"/>
          <w:bCs w:val="1"/>
          <w:color w:val="auto"/>
        </w:rPr>
        <w:t xml:space="preserve"> </w:t>
      </w:r>
      <w:r>
        <w:rPr>
          <w:rFonts w:ascii="Arial" w:cs="Arial" w:eastAsia="Arial" w:hAnsi="Arial"/>
          <w:sz w:val="19"/>
          <w:szCs w:val="19"/>
          <w:color w:val="auto"/>
        </w:rPr>
        <w:t>of Dell’s portfolio available as a service or subscription.</w:t>
      </w:r>
    </w:p>
    <w:p>
      <w:pPr>
        <w:ind w:left="580" w:hanging="286"/>
        <w:spacing w:after="0" w:line="224" w:lineRule="auto"/>
        <w:tabs>
          <w:tab w:leader="none" w:pos="58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Edge</w:t>
      </w:r>
      <w:r>
        <w:rPr>
          <w:rFonts w:ascii="Arial" w:cs="Arial" w:eastAsia="Arial" w:hAnsi="Arial"/>
          <w:sz w:val="19"/>
          <w:szCs w:val="19"/>
          <w:color w:val="auto"/>
        </w:rPr>
        <w:t>: Introduced Dell NativeEdge, an edge software platform that helps customers manage, simplify and secure their</w:t>
      </w:r>
      <w:r>
        <w:rPr>
          <w:rFonts w:ascii="Arial" w:cs="Arial" w:eastAsia="Arial" w:hAnsi="Arial"/>
          <w:sz w:val="19"/>
          <w:szCs w:val="19"/>
          <w:b w:val="1"/>
          <w:bCs w:val="1"/>
          <w:color w:val="auto"/>
        </w:rPr>
        <w:t xml:space="preserve"> </w:t>
      </w:r>
      <w:r>
        <w:rPr>
          <w:rFonts w:ascii="Arial" w:cs="Arial" w:eastAsia="Arial" w:hAnsi="Arial"/>
          <w:sz w:val="19"/>
          <w:szCs w:val="19"/>
          <w:color w:val="auto"/>
        </w:rPr>
        <w:t>entire edge estate with a single solution.</w:t>
      </w:r>
    </w:p>
    <w:p>
      <w:pPr>
        <w:jc w:val="both"/>
        <w:ind w:left="580" w:right="40" w:hanging="286"/>
        <w:spacing w:after="0" w:line="239" w:lineRule="auto"/>
        <w:tabs>
          <w:tab w:leader="none" w:pos="58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Cybersecurity</w:t>
      </w:r>
      <w:r>
        <w:rPr>
          <w:rFonts w:ascii="Arial" w:cs="Arial" w:eastAsia="Arial" w:hAnsi="Arial"/>
          <w:sz w:val="19"/>
          <w:szCs w:val="19"/>
          <w:color w:val="auto"/>
        </w:rPr>
        <w:t>: Announced Project Fort Zero, which will make Dell the first company to deliver end-to-end Zero Trust</w:t>
      </w:r>
      <w:r>
        <w:rPr>
          <w:rFonts w:ascii="Arial" w:cs="Arial" w:eastAsia="Arial" w:hAnsi="Arial"/>
          <w:sz w:val="19"/>
          <w:szCs w:val="19"/>
          <w:b w:val="1"/>
          <w:bCs w:val="1"/>
          <w:color w:val="auto"/>
        </w:rPr>
        <w:t xml:space="preserve"> </w:t>
      </w:r>
      <w:r>
        <w:rPr>
          <w:rFonts w:ascii="Arial" w:cs="Arial" w:eastAsia="Arial" w:hAnsi="Arial"/>
          <w:sz w:val="19"/>
          <w:szCs w:val="19"/>
          <w:color w:val="auto"/>
        </w:rPr>
        <w:t>with a fully integrated Advanced Zero Trust private cloud solution to be validated by the U.S. Department of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40" w:orient="portrait"/>
          <w:cols w:equalWidth="0" w:num="1">
            <w:col w:w="10560"/>
          </w:cols>
          <w:pgMar w:left="660" w:top="1416" w:right="680"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Operating Segments Results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362"/>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6"/>
                <w:szCs w:val="16"/>
                <w:b w:val="1"/>
                <w:bCs w:val="1"/>
                <w:color w:val="auto"/>
              </w:rPr>
              <w:t>May 5, 2023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6"/>
                <w:szCs w:val="16"/>
                <w:b w:val="1"/>
                <w:bCs w:val="1"/>
                <w:color w:val="auto"/>
              </w:rPr>
              <w:t>April 29, 2022</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7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Infrastructure Solutions Group (ISG):</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Arial" w:cs="Arial" w:eastAsia="Arial" w:hAnsi="Arial"/>
                <w:sz w:val="16"/>
                <w:szCs w:val="16"/>
                <w:color w:val="auto"/>
              </w:rPr>
              <w:t>Net revenue: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Servers and networking</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3,837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9"/>
              </w:rPr>
              <w:t>5,048</w:t>
            </w:r>
          </w:p>
        </w:tc>
        <w:tc>
          <w:tcPr>
            <w:tcW w:w="106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(24)%</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Storage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3,756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9"/>
              </w:rPr>
              <w:t>4,237</w:t>
            </w:r>
          </w:p>
        </w:tc>
        <w:tc>
          <w:tcPr>
            <w:tcW w:w="1060" w:type="dxa"/>
            <w:vAlign w:val="bottom"/>
            <w:tcBorders>
              <w:bottom w:val="single" w:sz="8" w:color="CCEEFF"/>
            </w:tcBorders>
            <w:gridSpan w:val="2"/>
          </w:tcPr>
          <w:p>
            <w:pPr>
              <w:jc w:val="center"/>
              <w:ind w:left="2"/>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ISG net revenue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7,593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9"/>
              </w:rPr>
              <w:t>9,285</w:t>
            </w:r>
          </w:p>
        </w:tc>
        <w:tc>
          <w:tcPr>
            <w:tcW w:w="106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(18)%</w:t>
            </w:r>
          </w:p>
        </w:tc>
        <w:tc>
          <w:tcPr>
            <w:tcW w:w="0" w:type="dxa"/>
            <w:vAlign w:val="bottom"/>
          </w:tcPr>
          <w:p>
            <w:pPr>
              <w:spacing w:after="0"/>
              <w:rPr>
                <w:sz w:val="1"/>
                <w:szCs w:val="1"/>
                <w:color w:val="auto"/>
              </w:rPr>
            </w:pPr>
          </w:p>
        </w:tc>
      </w:tr>
      <w:tr>
        <w:trPr>
          <w:trHeight w:val="221"/>
        </w:trPr>
        <w:tc>
          <w:tcPr>
            <w:tcW w:w="57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780" w:type="dxa"/>
            <w:vAlign w:val="bottom"/>
          </w:tcPr>
          <w:p>
            <w:pPr>
              <w:ind w:left="200"/>
              <w:spacing w:after="0"/>
              <w:rPr>
                <w:sz w:val="20"/>
                <w:szCs w:val="20"/>
                <w:color w:val="auto"/>
              </w:rPr>
            </w:pPr>
            <w:r>
              <w:rPr>
                <w:rFonts w:ascii="Arial" w:cs="Arial" w:eastAsia="Arial" w:hAnsi="Arial"/>
                <w:sz w:val="16"/>
                <w:szCs w:val="16"/>
                <w:color w:val="auto"/>
              </w:rPr>
              <w:t>ISG operating income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Pr>
          <w:p>
            <w:pPr>
              <w:spacing w:after="0"/>
              <w:rPr>
                <w:sz w:val="16"/>
                <w:szCs w:val="16"/>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740</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1,082</w:t>
            </w:r>
          </w:p>
        </w:tc>
        <w:tc>
          <w:tcPr>
            <w:tcW w:w="106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(32)%</w:t>
            </w:r>
          </w:p>
        </w:tc>
        <w:tc>
          <w:tcPr>
            <w:tcW w:w="0" w:type="dxa"/>
            <w:vAlign w:val="bottom"/>
          </w:tcPr>
          <w:p>
            <w:pPr>
              <w:spacing w:after="0"/>
              <w:rPr>
                <w:sz w:val="1"/>
                <w:szCs w:val="1"/>
                <w:color w:val="auto"/>
              </w:rPr>
            </w:pPr>
          </w:p>
        </w:tc>
      </w:tr>
      <w:tr>
        <w:trPr>
          <w:trHeight w:val="197"/>
        </w:trPr>
        <w:tc>
          <w:tcPr>
            <w:tcW w:w="57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 of ISG net revenue</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9.7</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11.7</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 Solutions Group (CSG):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Arial" w:cs="Arial" w:eastAsia="Arial" w:hAnsi="Arial"/>
                <w:sz w:val="16"/>
                <w:szCs w:val="16"/>
                <w:color w:val="auto"/>
              </w:rPr>
              <w:t>Net revenue: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9,862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11,971</w:t>
            </w:r>
          </w:p>
        </w:tc>
        <w:tc>
          <w:tcPr>
            <w:tcW w:w="106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(18)%</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9"/>
              </w:rPr>
              <w:t>3,616</w:t>
            </w:r>
          </w:p>
        </w:tc>
        <w:tc>
          <w:tcPr>
            <w:tcW w:w="1060" w:type="dxa"/>
            <w:vAlign w:val="bottom"/>
            <w:tcBorders>
              <w:bottom w:val="single" w:sz="8" w:color="CCEEFF"/>
            </w:tcBorders>
            <w:gridSpan w:val="2"/>
          </w:tcPr>
          <w:p>
            <w:pPr>
              <w:jc w:val="center"/>
              <w:ind w:left="2"/>
              <w:spacing w:after="0"/>
              <w:rPr>
                <w:sz w:val="20"/>
                <w:szCs w:val="20"/>
                <w:color w:val="auto"/>
              </w:rPr>
            </w:pPr>
            <w:r>
              <w:rPr>
                <w:rFonts w:ascii="Arial" w:cs="Arial" w:eastAsia="Arial" w:hAnsi="Arial"/>
                <w:sz w:val="16"/>
                <w:szCs w:val="16"/>
                <w:color w:val="auto"/>
                <w:w w:val="98"/>
              </w:rPr>
              <w:t>(41)%</w:t>
            </w: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CSG net revenue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11,983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15,587</w:t>
            </w:r>
          </w:p>
        </w:tc>
        <w:tc>
          <w:tcPr>
            <w:tcW w:w="106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(23)%</w:t>
            </w:r>
          </w:p>
        </w:tc>
        <w:tc>
          <w:tcPr>
            <w:tcW w:w="0" w:type="dxa"/>
            <w:vAlign w:val="bottom"/>
          </w:tcPr>
          <w:p>
            <w:pPr>
              <w:spacing w:after="0"/>
              <w:rPr>
                <w:sz w:val="1"/>
                <w:szCs w:val="1"/>
                <w:color w:val="auto"/>
              </w:rPr>
            </w:pPr>
          </w:p>
        </w:tc>
      </w:tr>
      <w:tr>
        <w:trPr>
          <w:trHeight w:val="197"/>
        </w:trPr>
        <w:tc>
          <w:tcPr>
            <w:tcW w:w="57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780" w:type="dxa"/>
            <w:vAlign w:val="bottom"/>
          </w:tcPr>
          <w:p>
            <w:pPr>
              <w:ind w:left="200"/>
              <w:spacing w:after="0"/>
              <w:rPr>
                <w:sz w:val="20"/>
                <w:szCs w:val="20"/>
                <w:color w:val="auto"/>
              </w:rPr>
            </w:pPr>
            <w:r>
              <w:rPr>
                <w:rFonts w:ascii="Arial" w:cs="Arial" w:eastAsia="Arial" w:hAnsi="Arial"/>
                <w:sz w:val="16"/>
                <w:szCs w:val="16"/>
                <w:color w:val="auto"/>
              </w:rPr>
              <w:t>CSG operating income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Pr>
          <w:p>
            <w:pPr>
              <w:spacing w:after="0"/>
              <w:rPr>
                <w:sz w:val="16"/>
                <w:szCs w:val="16"/>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892</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1,115</w:t>
            </w:r>
          </w:p>
        </w:tc>
        <w:tc>
          <w:tcPr>
            <w:tcW w:w="106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(20)%</w:t>
            </w:r>
          </w:p>
        </w:tc>
        <w:tc>
          <w:tcPr>
            <w:tcW w:w="0" w:type="dxa"/>
            <w:vAlign w:val="bottom"/>
          </w:tcPr>
          <w:p>
            <w:pPr>
              <w:spacing w:after="0"/>
              <w:rPr>
                <w:sz w:val="1"/>
                <w:szCs w:val="1"/>
                <w:color w:val="auto"/>
              </w:rPr>
            </w:pPr>
          </w:p>
        </w:tc>
      </w:tr>
      <w:tr>
        <w:trPr>
          <w:trHeight w:val="197"/>
        </w:trPr>
        <w:tc>
          <w:tcPr>
            <w:tcW w:w="57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 of CSG net revenue</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7.4</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7.2</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information</w:t>
      </w:r>
    </w:p>
    <w:p>
      <w:pPr>
        <w:spacing w:after="0" w:line="10" w:lineRule="exact"/>
        <w:rPr>
          <w:sz w:val="20"/>
          <w:szCs w:val="20"/>
          <w:color w:val="auto"/>
        </w:rPr>
      </w:pPr>
    </w:p>
    <w:p>
      <w:pPr>
        <w:spacing w:after="0" w:line="230" w:lineRule="auto"/>
        <w:rPr>
          <w:sz w:val="20"/>
          <w:szCs w:val="20"/>
          <w:color w:val="auto"/>
        </w:rPr>
      </w:pPr>
      <w:r>
        <w:rPr>
          <w:rFonts w:ascii="Arial" w:cs="Arial" w:eastAsia="Arial" w:hAnsi="Arial"/>
          <w:sz w:val="19"/>
          <w:szCs w:val="19"/>
          <w:color w:val="auto"/>
        </w:rPr>
        <w:t>As previously announced, the company will hold a conference call to discuss its performance and financial guidance on June 1, 2023, at 3:30 p.m. CDT. Prior to the start of the conference call, prepared remarks and a presentation containing additional financial and operating information prior to financial guidance may be downloaded from investors.delltechnologies.com. The conference call will be broadcast live over the internet and can be accessed at https://investors.delltechnologies.com/news-events/upcoming-events</w:t>
      </w:r>
    </w:p>
    <w:p>
      <w:pPr>
        <w:spacing w:after="0" w:line="187" w:lineRule="exact"/>
        <w:rPr>
          <w:sz w:val="20"/>
          <w:szCs w:val="20"/>
          <w:color w:val="auto"/>
        </w:rPr>
      </w:pPr>
    </w:p>
    <w:p>
      <w:pPr>
        <w:ind w:right="260"/>
        <w:spacing w:after="0" w:line="251" w:lineRule="auto"/>
        <w:rPr>
          <w:sz w:val="20"/>
          <w:szCs w:val="20"/>
          <w:color w:val="auto"/>
        </w:rPr>
      </w:pPr>
      <w:r>
        <w:rPr>
          <w:rFonts w:ascii="Arial" w:cs="Arial" w:eastAsia="Arial" w:hAnsi="Arial"/>
          <w:sz w:val="19"/>
          <w:szCs w:val="19"/>
          <w:color w:val="auto"/>
        </w:rPr>
        <w:t>For those unable to listen to the live broadcast, the final remarks and presentation with financial guidance will be available following the broadcast, and an archived version will be available at the same location for one year.</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Social and Governance (ESG)</w:t>
      </w:r>
    </w:p>
    <w:p>
      <w:pPr>
        <w:spacing w:after="0" w:line="10" w:lineRule="exact"/>
        <w:rPr>
          <w:sz w:val="20"/>
          <w:szCs w:val="20"/>
          <w:color w:val="auto"/>
        </w:rPr>
      </w:pPr>
    </w:p>
    <w:p>
      <w:pPr>
        <w:ind w:right="220"/>
        <w:spacing w:after="0" w:line="231" w:lineRule="auto"/>
        <w:rPr>
          <w:sz w:val="20"/>
          <w:szCs w:val="20"/>
          <w:color w:val="auto"/>
        </w:rPr>
      </w:pPr>
      <w:r>
        <w:rPr>
          <w:rFonts w:ascii="Arial" w:cs="Arial" w:eastAsia="Arial" w:hAnsi="Arial"/>
          <w:sz w:val="19"/>
          <w:szCs w:val="19"/>
          <w:color w:val="auto"/>
        </w:rPr>
        <w:t>Our Environmental, Social and Governance (ESG) efforts focus on driving positive impact for people and our planet while delivering long-term value for our stakeholders. The FY23 ESG report will be published in June, and the company will hold its annual investor conference call to discuss its ESG strategy on July 27. ESG resources can be accessed at https://www.dell.com/en-us/dt/corporate/social-impact/reporting/esg-governance.htm</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Dell Technologies</w:t>
      </w:r>
    </w:p>
    <w:p>
      <w:pPr>
        <w:spacing w:after="0" w:line="10" w:lineRule="exact"/>
        <w:rPr>
          <w:sz w:val="20"/>
          <w:szCs w:val="20"/>
          <w:color w:val="auto"/>
        </w:rPr>
      </w:pPr>
    </w:p>
    <w:p>
      <w:pPr>
        <w:jc w:val="both"/>
        <w:ind w:right="220"/>
        <w:spacing w:after="0" w:line="234" w:lineRule="auto"/>
        <w:rPr>
          <w:sz w:val="20"/>
          <w:szCs w:val="20"/>
          <w:color w:val="auto"/>
        </w:rPr>
      </w:pPr>
      <w:r>
        <w:rPr>
          <w:rFonts w:ascii="Arial" w:cs="Arial" w:eastAsia="Arial" w:hAnsi="Arial"/>
          <w:sz w:val="19"/>
          <w:szCs w:val="19"/>
          <w:color w:val="auto"/>
        </w:rPr>
        <w:t>Dell Technologies (NYSE:DELL) helps organizations and individuals build their digital future and transform how they work, live and play. The company provides customers with the industry’s broadest and most innovative technology and services portfolio for the data era.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40" w:orient="portrait"/>
          <w:cols w:equalWidth="0" w:num="1">
            <w:col w:w="10580"/>
          </w:cols>
          <w:pgMar w:left="660" w:top="1416" w:right="660"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Contacts</w:t>
      </w:r>
    </w:p>
    <w:p>
      <w:pPr>
        <w:spacing w:after="0" w:line="234" w:lineRule="auto"/>
        <w:rPr>
          <w:sz w:val="20"/>
          <w:szCs w:val="20"/>
          <w:color w:val="auto"/>
        </w:rPr>
      </w:pPr>
      <w:r>
        <w:rPr>
          <w:rFonts w:ascii="Arial" w:cs="Arial" w:eastAsia="Arial" w:hAnsi="Arial"/>
          <w:sz w:val="19"/>
          <w:szCs w:val="19"/>
          <w:color w:val="auto"/>
        </w:rPr>
        <w:t>Investors: Investor_Relations@Dell.com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Media: Media.Relations@Dell.com</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 #</w:t>
      </w:r>
    </w:p>
    <w:p>
      <w:pPr>
        <w:spacing w:after="0" w:line="237"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Copyright © 2023 Dell Inc. or its subsidiaries. All Rights Reserved. Dell Technologies, Dell, EMC and Dell EMC are trademarks of Dell Inc. or its subsidiaries. Other trademarks may be trademarks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25" w:lineRule="exact"/>
        <w:rPr>
          <w:sz w:val="20"/>
          <w:szCs w:val="20"/>
          <w:color w:val="auto"/>
        </w:rPr>
      </w:pPr>
    </w:p>
    <w:p>
      <w:pPr>
        <w:spacing w:after="0" w:line="236" w:lineRule="auto"/>
        <w:rPr>
          <w:sz w:val="20"/>
          <w:szCs w:val="20"/>
          <w:color w:val="auto"/>
        </w:rPr>
      </w:pPr>
      <w:r>
        <w:rPr>
          <w:rFonts w:ascii="Arial" w:cs="Arial" w:eastAsia="Arial" w:hAnsi="Arial"/>
          <w:sz w:val="14"/>
          <w:szCs w:val="14"/>
          <w:i w:val="1"/>
          <w:iCs w:val="1"/>
          <w:color w:val="auto"/>
        </w:rPr>
        <w:t>This press release presents information about non-GAAP gross margin, non-GAAP operating expenses, non-GAAP operating income, non-GAAP net income, non-GAAP net income attributable to non-controlling interests, non-GAAP net income attributable to Dell Technologies Inc. – basic, non-GAAP net income attributable to Dell Technologies Inc. – diluted, non-GAAP earnings per share attributable to Dell Technologies Inc. – basic, and non-GAAP earnings per share attributable to Dell Technologies Inc. – diluted, which are non-GAAP financial measures provided as a supplement to the results provided in accordance with generally accepted accounting principles in the United States of America (“GAAP”). A reconciliation of each non-GAAP financial measure to the most directly comparable GAAP financial measure is provided in the attached tables for each of the fiscal periods indicated.</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Special Note on Forward-Looking Statements:</w:t>
      </w:r>
    </w:p>
    <w:p>
      <w:pPr>
        <w:spacing w:after="0" w:line="25"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i w:val="1"/>
          <w:iCs w:val="1"/>
          <w:color w:val="auto"/>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spacing w:after="0" w:line="199" w:lineRule="exact"/>
        <w:rPr>
          <w:sz w:val="20"/>
          <w:szCs w:val="20"/>
          <w:color w:val="auto"/>
        </w:rPr>
      </w:pPr>
    </w:p>
    <w:p>
      <w:pPr>
        <w:spacing w:after="0" w:line="252" w:lineRule="auto"/>
        <w:rPr>
          <w:sz w:val="20"/>
          <w:szCs w:val="20"/>
          <w:color w:val="auto"/>
        </w:rPr>
      </w:pPr>
      <w:r>
        <w:rPr>
          <w:rFonts w:ascii="Arial" w:cs="Arial" w:eastAsia="Arial" w:hAnsi="Arial"/>
          <w:sz w:val="14"/>
          <w:szCs w:val="14"/>
          <w:i w:val="1"/>
          <w:iCs w:val="1"/>
          <w:color w:val="auto"/>
        </w:rPr>
        <w:t>Dell Technologies’ results or events in future periods could differ materially from those expressed or implied by these forward-looking statements because of risks, uncertainties, and other factors that include, but are not limited to, the following: adverse global economic conditions and instability in financial markets; competitive pressures; Dell Technologies’ reliance on third-party suppliers for products and components, including reliance on single-source or limited-source suppliers; Dell Technologies’ ability to achieve favorable pricing from its vendors; Dell Technologies’ ability to achieve the intended benefits of its continuing strategic relationship with VMware, Inc.; Dell Technologies’ execution of its strategy; Dell Technologies’ ability to manage solutions and products and services transitions in an effective manner; Dell Technologies’ ability to deliver high-quality products, software, and services; cyber attacks or other data security incidents; Dell Technologies’ ability to successfully execute on strategic initiatives including acquisitions, divestitures or cost savings measures; Dell Technologies’ foreign operations and ability to generate substantial non-U.S. net revenue; Dell Technologies’ product, services, customer, and geographic sales mix, and seasonal sales trends; the performance of Dell Technologies’ sales channel partners; access to the capital markets by Dell Technologies or its customers; material impairment of the value of goodwill or intangible assets; weak economic conditions and the effect of additional regulation on Dell Technologies’ financial services activities; counterparty default risks;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expectations relating to environmental, social and governance (ESG) considerations; compliance requirements of changing environmental and safety laws, human rights laws, or other laws; the effect of armed hostilities, terrorism, natural disasters, or public health issues; the effect of global climate change and legal, regulatory, or market measures to address climate change; Dell Technologies’ dependence on the services of Michael Dell and key employees; Dell Technologies’ level of indebtedness; and business and financial factors and legal restrictions affecting continuation of Dell Technologies’ quarterly cash dividend policy and dividend rate.</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4"/>
          <w:szCs w:val="14"/>
          <w:i w:val="1"/>
          <w:iCs w:val="1"/>
          <w:color w:val="auto"/>
        </w:rPr>
        <w:t>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 K for the fiscal year ended February 3, 2023, quarterly reports on Form 10- Q, and current reports on Form 8-K. These filings are available for review through the SEC’s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 -looking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40" w:orient="portrait"/>
          <w:cols w:equalWidth="0" w:num="1">
            <w:col w:w="10520"/>
          </w:cols>
          <w:pgMar w:left="660" w:top="1404" w:right="720"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DELL TECHNOLOGIES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Income and Related Financial Highlights</w:t>
      </w:r>
    </w:p>
    <w:p>
      <w:pPr>
        <w:jc w:val="center"/>
        <w:ind w:right="40"/>
        <w:spacing w:after="0"/>
        <w:rPr>
          <w:sz w:val="20"/>
          <w:szCs w:val="20"/>
          <w:color w:val="auto"/>
        </w:rPr>
      </w:pPr>
      <w:r>
        <w:rPr>
          <w:rFonts w:ascii="Arial" w:cs="Arial" w:eastAsia="Arial" w:hAnsi="Arial"/>
          <w:sz w:val="16"/>
          <w:szCs w:val="16"/>
          <w:b w:val="1"/>
          <w:bCs w:val="1"/>
          <w:color w:val="auto"/>
        </w:rPr>
        <w:t>(in millions, except percentages; 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4"/>
        </w:trPr>
        <w:tc>
          <w:tcPr>
            <w:tcW w:w="6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May 5, 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April 29, 2022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r>
      <w:tr>
        <w:trPr>
          <w:trHeight w:val="184"/>
        </w:trPr>
        <w:tc>
          <w:tcPr>
            <w:tcW w:w="61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Net revenue:</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6160" w:type="dxa"/>
            <w:vAlign w:val="bottom"/>
          </w:tcPr>
          <w:p>
            <w:pPr>
              <w:ind w:left="120"/>
              <w:spacing w:after="0"/>
              <w:rPr>
                <w:sz w:val="20"/>
                <w:szCs w:val="20"/>
                <w:color w:val="auto"/>
              </w:rPr>
            </w:pPr>
            <w:r>
              <w:rPr>
                <w:rFonts w:ascii="Arial" w:cs="Arial" w:eastAsia="Arial" w:hAnsi="Arial"/>
                <w:sz w:val="16"/>
                <w:szCs w:val="16"/>
                <w:color w:val="auto"/>
              </w:rPr>
              <w:t>Products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15,036</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20,464</w:t>
            </w:r>
          </w:p>
        </w:tc>
        <w:tc>
          <w:tcPr>
            <w:tcW w:w="1000" w:type="dxa"/>
            <w:vAlign w:val="bottom"/>
            <w:gridSpan w:val="2"/>
          </w:tcPr>
          <w:p>
            <w:pPr>
              <w:jc w:val="center"/>
              <w:ind w:left="2"/>
              <w:spacing w:after="0"/>
              <w:rPr>
                <w:sz w:val="20"/>
                <w:szCs w:val="20"/>
                <w:color w:val="auto"/>
              </w:rPr>
            </w:pPr>
            <w:r>
              <w:rPr>
                <w:rFonts w:ascii="Arial" w:cs="Arial" w:eastAsia="Arial" w:hAnsi="Arial"/>
                <w:sz w:val="16"/>
                <w:szCs w:val="16"/>
                <w:color w:val="auto"/>
                <w:w w:val="93"/>
              </w:rPr>
              <w:t>(27)%</w:t>
            </w:r>
          </w:p>
        </w:tc>
      </w:tr>
      <w:tr>
        <w:trPr>
          <w:trHeight w:val="205"/>
        </w:trPr>
        <w:tc>
          <w:tcPr>
            <w:tcW w:w="6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Services</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5,886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5,652</w:t>
            </w:r>
          </w:p>
        </w:tc>
        <w:tc>
          <w:tcPr>
            <w:tcW w:w="10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rPr>
              <w:t>4%</w:t>
            </w:r>
          </w:p>
        </w:tc>
      </w:tr>
      <w:tr>
        <w:trPr>
          <w:trHeight w:val="195"/>
        </w:trPr>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net revenue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20,922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26,116</w:t>
            </w:r>
          </w:p>
        </w:tc>
        <w:tc>
          <w:tcPr>
            <w:tcW w:w="1000" w:type="dxa"/>
            <w:vAlign w:val="bottom"/>
            <w:tcBorders>
              <w:bottom w:val="single" w:sz="8" w:color="CCEEFF"/>
            </w:tcBorders>
            <w:gridSpan w:val="2"/>
          </w:tcPr>
          <w:p>
            <w:pPr>
              <w:jc w:val="center"/>
              <w:ind w:left="2"/>
              <w:spacing w:after="0"/>
              <w:rPr>
                <w:sz w:val="20"/>
                <w:szCs w:val="20"/>
                <w:color w:val="auto"/>
              </w:rPr>
            </w:pPr>
            <w:r>
              <w:rPr>
                <w:rFonts w:ascii="Arial" w:cs="Arial" w:eastAsia="Arial" w:hAnsi="Arial"/>
                <w:sz w:val="16"/>
                <w:szCs w:val="16"/>
                <w:color w:val="auto"/>
                <w:w w:val="93"/>
              </w:rPr>
              <w:t>(20)%</w:t>
            </w:r>
          </w:p>
        </w:tc>
      </w:tr>
      <w:tr>
        <w:trPr>
          <w:trHeight w:val="185"/>
        </w:trPr>
        <w:tc>
          <w:tcPr>
            <w:tcW w:w="61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Cost of net revenue:</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6160" w:type="dxa"/>
            <w:vAlign w:val="bottom"/>
          </w:tcPr>
          <w:p>
            <w:pPr>
              <w:ind w:left="120"/>
              <w:spacing w:after="0"/>
              <w:rPr>
                <w:sz w:val="20"/>
                <w:szCs w:val="20"/>
                <w:color w:val="auto"/>
              </w:rPr>
            </w:pPr>
            <w:r>
              <w:rPr>
                <w:rFonts w:ascii="Arial" w:cs="Arial" w:eastAsia="Arial" w:hAnsi="Arial"/>
                <w:sz w:val="16"/>
                <w:szCs w:val="16"/>
                <w:color w:val="auto"/>
              </w:rPr>
              <w:t>Products</w:t>
            </w:r>
          </w:p>
        </w:tc>
        <w:tc>
          <w:tcPr>
            <w:tcW w:w="240" w:type="dxa"/>
            <w:vAlign w:val="bottom"/>
          </w:tcPr>
          <w:p>
            <w:pPr>
              <w:spacing w:after="0"/>
              <w:rPr>
                <w:sz w:val="17"/>
                <w:szCs w:val="17"/>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12,375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17,009</w:t>
            </w:r>
          </w:p>
        </w:tc>
        <w:tc>
          <w:tcPr>
            <w:tcW w:w="1000" w:type="dxa"/>
            <w:vAlign w:val="bottom"/>
            <w:gridSpan w:val="2"/>
          </w:tcPr>
          <w:p>
            <w:pPr>
              <w:jc w:val="center"/>
              <w:ind w:left="2"/>
              <w:spacing w:after="0"/>
              <w:rPr>
                <w:sz w:val="20"/>
                <w:szCs w:val="20"/>
                <w:color w:val="auto"/>
              </w:rPr>
            </w:pPr>
            <w:r>
              <w:rPr>
                <w:rFonts w:ascii="Arial" w:cs="Arial" w:eastAsia="Arial" w:hAnsi="Arial"/>
                <w:sz w:val="16"/>
                <w:szCs w:val="16"/>
                <w:color w:val="auto"/>
                <w:w w:val="93"/>
              </w:rPr>
              <w:t>(27)%</w:t>
            </w:r>
          </w:p>
        </w:tc>
      </w:tr>
      <w:tr>
        <w:trPr>
          <w:trHeight w:val="205"/>
        </w:trPr>
        <w:tc>
          <w:tcPr>
            <w:tcW w:w="6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Services</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3,529</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3,323</w:t>
            </w:r>
          </w:p>
        </w:tc>
        <w:tc>
          <w:tcPr>
            <w:tcW w:w="10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rPr>
              <w:t>6%</w:t>
            </w:r>
          </w:p>
        </w:tc>
      </w:tr>
      <w:tr>
        <w:trPr>
          <w:trHeight w:val="195"/>
        </w:trPr>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cost of net revenue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15,904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20,332</w:t>
            </w:r>
          </w:p>
        </w:tc>
        <w:tc>
          <w:tcPr>
            <w:tcW w:w="1000" w:type="dxa"/>
            <w:vAlign w:val="bottom"/>
            <w:tcBorders>
              <w:bottom w:val="single" w:sz="8" w:color="CCEEFF"/>
            </w:tcBorders>
            <w:gridSpan w:val="2"/>
          </w:tcPr>
          <w:p>
            <w:pPr>
              <w:jc w:val="center"/>
              <w:ind w:left="2"/>
              <w:spacing w:after="0"/>
              <w:rPr>
                <w:sz w:val="20"/>
                <w:szCs w:val="20"/>
                <w:color w:val="auto"/>
              </w:rPr>
            </w:pPr>
            <w:r>
              <w:rPr>
                <w:rFonts w:ascii="Arial" w:cs="Arial" w:eastAsia="Arial" w:hAnsi="Arial"/>
                <w:sz w:val="16"/>
                <w:szCs w:val="16"/>
                <w:color w:val="auto"/>
                <w:w w:val="93"/>
              </w:rPr>
              <w:t>(22)%</w:t>
            </w:r>
          </w:p>
        </w:tc>
      </w:tr>
      <w:tr>
        <w:trPr>
          <w:trHeight w:val="197"/>
        </w:trPr>
        <w:tc>
          <w:tcPr>
            <w:tcW w:w="6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5,784</w:t>
            </w:r>
          </w:p>
        </w:tc>
        <w:tc>
          <w:tcPr>
            <w:tcW w:w="10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3"/>
              </w:rPr>
              <w:t>(13)%</w:t>
            </w:r>
          </w:p>
        </w:tc>
      </w:tr>
      <w:tr>
        <w:trPr>
          <w:trHeight w:val="204"/>
        </w:trPr>
        <w:tc>
          <w:tcPr>
            <w:tcW w:w="6160" w:type="dxa"/>
            <w:vAlign w:val="bottom"/>
          </w:tcPr>
          <w:p>
            <w:pPr>
              <w:spacing w:after="0"/>
              <w:rPr>
                <w:sz w:val="20"/>
                <w:szCs w:val="20"/>
                <w:color w:val="auto"/>
              </w:rPr>
            </w:pPr>
            <w:r>
              <w:rPr>
                <w:rFonts w:ascii="Arial" w:cs="Arial" w:eastAsia="Arial" w:hAnsi="Arial"/>
                <w:sz w:val="16"/>
                <w:szCs w:val="16"/>
                <w:i w:val="1"/>
                <w:iCs w:val="1"/>
                <w:color w:val="auto"/>
              </w:rPr>
              <w:t>Operating expenses: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4"/>
        </w:trPr>
        <w:tc>
          <w:tcPr>
            <w:tcW w:w="6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3,553</w:t>
            </w:r>
          </w:p>
        </w:tc>
        <w:tc>
          <w:tcPr>
            <w:tcW w:w="10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4"/>
              </w:rPr>
              <w:t>(8)%</w:t>
            </w:r>
          </w:p>
        </w:tc>
      </w:tr>
      <w:tr>
        <w:trPr>
          <w:trHeight w:val="203"/>
        </w:trPr>
        <w:tc>
          <w:tcPr>
            <w:tcW w:w="6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Research and development</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688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681</w:t>
            </w:r>
          </w:p>
        </w:tc>
        <w:tc>
          <w:tcPr>
            <w:tcW w:w="1000" w:type="dxa"/>
            <w:vAlign w:val="bottom"/>
            <w:tcBorders>
              <w:bottom w:val="single" w:sz="8" w:color="CCEEFF"/>
            </w:tcBorders>
            <w:gridSpan w:val="2"/>
          </w:tcPr>
          <w:p>
            <w:pPr>
              <w:jc w:val="center"/>
              <w:ind w:left="2"/>
              <w:spacing w:after="0"/>
              <w:rPr>
                <w:sz w:val="20"/>
                <w:szCs w:val="20"/>
                <w:color w:val="auto"/>
              </w:rPr>
            </w:pPr>
            <w:r>
              <w:rPr>
                <w:rFonts w:ascii="Arial" w:cs="Arial" w:eastAsia="Arial" w:hAnsi="Arial"/>
                <w:sz w:val="16"/>
                <w:szCs w:val="16"/>
                <w:color w:val="auto"/>
              </w:rPr>
              <w:t>1%</w:t>
            </w:r>
          </w:p>
        </w:tc>
      </w:tr>
      <w:tr>
        <w:trPr>
          <w:trHeight w:val="197"/>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3,949</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4,234</w:t>
            </w:r>
          </w:p>
        </w:tc>
        <w:tc>
          <w:tcPr>
            <w:tcW w:w="10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4"/>
              </w:rPr>
              <w:t>(7)%</w:t>
            </w:r>
          </w:p>
        </w:tc>
      </w:tr>
      <w:tr>
        <w:trPr>
          <w:trHeight w:val="195"/>
        </w:trPr>
        <w:tc>
          <w:tcPr>
            <w:tcW w:w="6160" w:type="dxa"/>
            <w:vAlign w:val="bottom"/>
          </w:tcPr>
          <w:p>
            <w:pPr>
              <w:ind w:left="10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6"/>
                <w:szCs w:val="16"/>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1,069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1,550</w:t>
            </w:r>
          </w:p>
        </w:tc>
        <w:tc>
          <w:tcPr>
            <w:tcW w:w="1000" w:type="dxa"/>
            <w:vAlign w:val="bottom"/>
            <w:gridSpan w:val="2"/>
          </w:tcPr>
          <w:p>
            <w:pPr>
              <w:jc w:val="center"/>
              <w:ind w:left="2"/>
              <w:spacing w:after="0"/>
              <w:rPr>
                <w:sz w:val="20"/>
                <w:szCs w:val="20"/>
                <w:color w:val="auto"/>
              </w:rPr>
            </w:pPr>
            <w:r>
              <w:rPr>
                <w:rFonts w:ascii="Arial" w:cs="Arial" w:eastAsia="Arial" w:hAnsi="Arial"/>
                <w:sz w:val="16"/>
                <w:szCs w:val="16"/>
                <w:color w:val="auto"/>
                <w:w w:val="93"/>
              </w:rPr>
              <w:t>(31)%</w:t>
            </w:r>
          </w:p>
        </w:tc>
      </w:tr>
      <w:tr>
        <w:trPr>
          <w:trHeight w:val="205"/>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net</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(337)</w:t>
            </w:r>
          </w:p>
        </w:tc>
        <w:tc>
          <w:tcPr>
            <w:tcW w:w="10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4"/>
              </w:rPr>
              <w:t>(8)%</w:t>
            </w:r>
          </w:p>
        </w:tc>
      </w:tr>
      <w:tr>
        <w:trPr>
          <w:trHeight w:val="195"/>
        </w:trPr>
        <w:tc>
          <w:tcPr>
            <w:tcW w:w="6160" w:type="dxa"/>
            <w:vAlign w:val="bottom"/>
          </w:tcPr>
          <w:p>
            <w:pPr>
              <w:ind w:left="12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6"/>
                <w:szCs w:val="16"/>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705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1,213</w:t>
            </w:r>
          </w:p>
        </w:tc>
        <w:tc>
          <w:tcPr>
            <w:tcW w:w="1000" w:type="dxa"/>
            <w:vAlign w:val="bottom"/>
            <w:gridSpan w:val="2"/>
          </w:tcPr>
          <w:p>
            <w:pPr>
              <w:jc w:val="center"/>
              <w:ind w:left="2"/>
              <w:spacing w:after="0"/>
              <w:rPr>
                <w:sz w:val="20"/>
                <w:szCs w:val="20"/>
                <w:color w:val="auto"/>
              </w:rPr>
            </w:pPr>
            <w:r>
              <w:rPr>
                <w:rFonts w:ascii="Arial" w:cs="Arial" w:eastAsia="Arial" w:hAnsi="Arial"/>
                <w:sz w:val="16"/>
                <w:szCs w:val="16"/>
                <w:color w:val="auto"/>
                <w:w w:val="93"/>
              </w:rPr>
              <w:t>(42)%</w:t>
            </w:r>
          </w:p>
        </w:tc>
      </w:tr>
      <w:tr>
        <w:trPr>
          <w:trHeight w:val="205"/>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144</w:t>
            </w:r>
          </w:p>
        </w:tc>
        <w:tc>
          <w:tcPr>
            <w:tcW w:w="10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3"/>
              </w:rPr>
              <w:t>(12)%</w:t>
            </w:r>
          </w:p>
        </w:tc>
      </w:tr>
      <w:tr>
        <w:trPr>
          <w:trHeight w:val="195"/>
        </w:trPr>
        <w:tc>
          <w:tcPr>
            <w:tcW w:w="61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6"/>
                <w:szCs w:val="16"/>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578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1,069</w:t>
            </w:r>
          </w:p>
        </w:tc>
        <w:tc>
          <w:tcPr>
            <w:tcW w:w="1000" w:type="dxa"/>
            <w:vAlign w:val="bottom"/>
            <w:gridSpan w:val="2"/>
          </w:tcPr>
          <w:p>
            <w:pPr>
              <w:jc w:val="center"/>
              <w:ind w:left="2"/>
              <w:spacing w:after="0"/>
              <w:rPr>
                <w:sz w:val="20"/>
                <w:szCs w:val="20"/>
                <w:color w:val="auto"/>
              </w:rPr>
            </w:pPr>
            <w:r>
              <w:rPr>
                <w:rFonts w:ascii="Arial" w:cs="Arial" w:eastAsia="Arial" w:hAnsi="Arial"/>
                <w:sz w:val="16"/>
                <w:szCs w:val="16"/>
                <w:color w:val="auto"/>
                <w:w w:val="93"/>
              </w:rPr>
              <w:t>(46)%</w:t>
            </w:r>
          </w:p>
        </w:tc>
      </w:tr>
      <w:tr>
        <w:trPr>
          <w:trHeight w:val="205"/>
        </w:trPr>
        <w:tc>
          <w:tcPr>
            <w:tcW w:w="6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Less: Net loss attributable to non-controlling interests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3"/>
              </w:rPr>
              <w:t>(67)%</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Net income attributable to Dell Technologies Inc.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583</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1,072</w:t>
            </w:r>
          </w:p>
        </w:tc>
        <w:tc>
          <w:tcPr>
            <w:tcW w:w="1000" w:type="dxa"/>
            <w:vAlign w:val="bottom"/>
            <w:gridSpan w:val="2"/>
          </w:tcPr>
          <w:p>
            <w:pPr>
              <w:jc w:val="center"/>
              <w:ind w:left="2"/>
              <w:spacing w:after="0"/>
              <w:rPr>
                <w:sz w:val="20"/>
                <w:szCs w:val="20"/>
                <w:color w:val="auto"/>
              </w:rPr>
            </w:pPr>
            <w:r>
              <w:rPr>
                <w:rFonts w:ascii="Arial" w:cs="Arial" w:eastAsia="Arial" w:hAnsi="Arial"/>
                <w:sz w:val="16"/>
                <w:szCs w:val="16"/>
                <w:color w:val="auto"/>
                <w:w w:val="93"/>
              </w:rPr>
              <w:t>(46)%</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56"/>
        </w:trPr>
        <w:tc>
          <w:tcPr>
            <w:tcW w:w="6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i w:val="1"/>
                <w:iCs w:val="1"/>
                <w:color w:val="auto"/>
                <w:w w:val="97"/>
              </w:rPr>
              <w:t>Percentage of Total Net Revenue:</w:t>
            </w:r>
          </w:p>
        </w:tc>
        <w:tc>
          <w:tcPr>
            <w:tcW w:w="23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2"/>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Gross margin</w:t>
            </w:r>
          </w:p>
        </w:tc>
        <w:tc>
          <w:tcPr>
            <w:tcW w:w="26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24.0</w:t>
            </w:r>
          </w:p>
        </w:tc>
        <w:tc>
          <w:tcPr>
            <w:tcW w:w="80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22.1</w:t>
            </w:r>
          </w:p>
        </w:tc>
        <w:tc>
          <w:tcPr>
            <w:tcW w:w="136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r>
      <w:tr>
        <w:trPr>
          <w:trHeight w:val="203"/>
        </w:trPr>
        <w:tc>
          <w:tcPr>
            <w:tcW w:w="4700" w:type="dxa"/>
            <w:vAlign w:val="bottom"/>
            <w:gridSpan w:val="2"/>
          </w:tcPr>
          <w:p>
            <w:pPr>
              <w:ind w:left="100"/>
              <w:spacing w:after="0"/>
              <w:rPr>
                <w:sz w:val="20"/>
                <w:szCs w:val="20"/>
                <w:color w:val="auto"/>
              </w:rPr>
            </w:pPr>
            <w:r>
              <w:rPr>
                <w:rFonts w:ascii="Arial" w:cs="Arial" w:eastAsia="Arial" w:hAnsi="Arial"/>
                <w:sz w:val="16"/>
                <w:szCs w:val="16"/>
                <w:color w:val="auto"/>
              </w:rPr>
              <w:t>Selling, general, and administrative</w:t>
            </w:r>
          </w:p>
        </w:tc>
        <w:tc>
          <w:tcPr>
            <w:tcW w:w="2660" w:type="dxa"/>
            <w:vAlign w:val="bottom"/>
          </w:tcPr>
          <w:p>
            <w:pPr>
              <w:jc w:val="right"/>
              <w:ind w:right="122"/>
              <w:spacing w:after="0"/>
              <w:rPr>
                <w:sz w:val="20"/>
                <w:szCs w:val="20"/>
                <w:color w:val="auto"/>
              </w:rPr>
            </w:pPr>
            <w:r>
              <w:rPr>
                <w:rFonts w:ascii="Arial" w:cs="Arial" w:eastAsia="Arial" w:hAnsi="Arial"/>
                <w:sz w:val="16"/>
                <w:szCs w:val="16"/>
                <w:color w:val="auto"/>
              </w:rPr>
              <w:t>15.6</w:t>
            </w:r>
          </w:p>
        </w:tc>
        <w:tc>
          <w:tcPr>
            <w:tcW w:w="80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13.6</w:t>
            </w:r>
          </w:p>
        </w:tc>
        <w:tc>
          <w:tcPr>
            <w:tcW w:w="1360" w:type="dxa"/>
            <w:vAlign w:val="bottom"/>
          </w:tcPr>
          <w:p>
            <w:pPr>
              <w:jc w:val="right"/>
              <w:ind w:right="922"/>
              <w:spacing w:after="0"/>
              <w:rPr>
                <w:sz w:val="20"/>
                <w:szCs w:val="20"/>
                <w:color w:val="auto"/>
              </w:rPr>
            </w:pPr>
            <w:r>
              <w:rPr>
                <w:rFonts w:ascii="Arial" w:cs="Arial" w:eastAsia="Arial" w:hAnsi="Arial"/>
                <w:sz w:val="16"/>
                <w:szCs w:val="16"/>
                <w:color w:val="auto"/>
              </w:rPr>
              <w:t>%</w:t>
            </w:r>
          </w:p>
        </w:tc>
      </w:tr>
      <w:tr>
        <w:trPr>
          <w:trHeight w:val="205"/>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26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3.3</w:t>
            </w:r>
          </w:p>
        </w:tc>
        <w:tc>
          <w:tcPr>
            <w:tcW w:w="80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w:t>
            </w:r>
          </w:p>
        </w:tc>
        <w:tc>
          <w:tcPr>
            <w:tcW w:w="136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r>
      <w:tr>
        <w:trPr>
          <w:trHeight w:val="203"/>
        </w:trPr>
        <w:tc>
          <w:tcPr>
            <w:tcW w:w="4700" w:type="dxa"/>
            <w:vAlign w:val="bottom"/>
            <w:gridSpan w:val="2"/>
          </w:tcPr>
          <w:p>
            <w:pPr>
              <w:ind w:left="100"/>
              <w:spacing w:after="0"/>
              <w:rPr>
                <w:sz w:val="20"/>
                <w:szCs w:val="20"/>
                <w:color w:val="auto"/>
              </w:rPr>
            </w:pPr>
            <w:r>
              <w:rPr>
                <w:rFonts w:ascii="Arial" w:cs="Arial" w:eastAsia="Arial" w:hAnsi="Arial"/>
                <w:sz w:val="16"/>
                <w:szCs w:val="16"/>
                <w:color w:val="auto"/>
              </w:rPr>
              <w:t>Operating expenses</w:t>
            </w:r>
          </w:p>
        </w:tc>
        <w:tc>
          <w:tcPr>
            <w:tcW w:w="2660" w:type="dxa"/>
            <w:vAlign w:val="bottom"/>
          </w:tcPr>
          <w:p>
            <w:pPr>
              <w:jc w:val="right"/>
              <w:ind w:right="122"/>
              <w:spacing w:after="0"/>
              <w:rPr>
                <w:sz w:val="20"/>
                <w:szCs w:val="20"/>
                <w:color w:val="auto"/>
              </w:rPr>
            </w:pPr>
            <w:r>
              <w:rPr>
                <w:rFonts w:ascii="Arial" w:cs="Arial" w:eastAsia="Arial" w:hAnsi="Arial"/>
                <w:sz w:val="16"/>
                <w:szCs w:val="16"/>
                <w:color w:val="auto"/>
              </w:rPr>
              <w:t>18.9</w:t>
            </w:r>
          </w:p>
        </w:tc>
        <w:tc>
          <w:tcPr>
            <w:tcW w:w="80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16.2</w:t>
            </w:r>
          </w:p>
        </w:tc>
        <w:tc>
          <w:tcPr>
            <w:tcW w:w="1360" w:type="dxa"/>
            <w:vAlign w:val="bottom"/>
          </w:tcPr>
          <w:p>
            <w:pPr>
              <w:jc w:val="right"/>
              <w:ind w:right="922"/>
              <w:spacing w:after="0"/>
              <w:rPr>
                <w:sz w:val="20"/>
                <w:szCs w:val="20"/>
                <w:color w:val="auto"/>
              </w:rPr>
            </w:pPr>
            <w:r>
              <w:rPr>
                <w:rFonts w:ascii="Arial" w:cs="Arial" w:eastAsia="Arial" w:hAnsi="Arial"/>
                <w:sz w:val="16"/>
                <w:szCs w:val="16"/>
                <w:color w:val="auto"/>
              </w:rPr>
              <w:t>%</w:t>
            </w:r>
          </w:p>
        </w:tc>
      </w:tr>
      <w:tr>
        <w:trPr>
          <w:trHeight w:val="205"/>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Operating income</w:t>
            </w:r>
          </w:p>
        </w:tc>
        <w:tc>
          <w:tcPr>
            <w:tcW w:w="26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5.1</w:t>
            </w:r>
          </w:p>
        </w:tc>
        <w:tc>
          <w:tcPr>
            <w:tcW w:w="80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5.9</w:t>
            </w:r>
          </w:p>
        </w:tc>
        <w:tc>
          <w:tcPr>
            <w:tcW w:w="136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r>
      <w:tr>
        <w:trPr>
          <w:trHeight w:val="203"/>
        </w:trPr>
        <w:tc>
          <w:tcPr>
            <w:tcW w:w="4700" w:type="dxa"/>
            <w:vAlign w:val="bottom"/>
            <w:gridSpan w:val="2"/>
          </w:tcPr>
          <w:p>
            <w:pPr>
              <w:ind w:left="100"/>
              <w:spacing w:after="0"/>
              <w:rPr>
                <w:sz w:val="20"/>
                <w:szCs w:val="20"/>
                <w:color w:val="auto"/>
              </w:rPr>
            </w:pPr>
            <w:r>
              <w:rPr>
                <w:rFonts w:ascii="Arial" w:cs="Arial" w:eastAsia="Arial" w:hAnsi="Arial"/>
                <w:sz w:val="16"/>
                <w:szCs w:val="16"/>
                <w:color w:val="auto"/>
              </w:rPr>
              <w:t>Income before income taxes</w:t>
            </w:r>
          </w:p>
        </w:tc>
        <w:tc>
          <w:tcPr>
            <w:tcW w:w="2660" w:type="dxa"/>
            <w:vAlign w:val="bottom"/>
          </w:tcPr>
          <w:p>
            <w:pPr>
              <w:jc w:val="right"/>
              <w:ind w:right="122"/>
              <w:spacing w:after="0"/>
              <w:rPr>
                <w:sz w:val="20"/>
                <w:szCs w:val="20"/>
                <w:color w:val="auto"/>
              </w:rPr>
            </w:pPr>
            <w:r>
              <w:rPr>
                <w:rFonts w:ascii="Arial" w:cs="Arial" w:eastAsia="Arial" w:hAnsi="Arial"/>
                <w:sz w:val="16"/>
                <w:szCs w:val="16"/>
                <w:color w:val="auto"/>
              </w:rPr>
              <w:t>3.4</w:t>
            </w:r>
          </w:p>
        </w:tc>
        <w:tc>
          <w:tcPr>
            <w:tcW w:w="80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4.6</w:t>
            </w:r>
          </w:p>
        </w:tc>
        <w:tc>
          <w:tcPr>
            <w:tcW w:w="1360" w:type="dxa"/>
            <w:vAlign w:val="bottom"/>
          </w:tcPr>
          <w:p>
            <w:pPr>
              <w:jc w:val="right"/>
              <w:ind w:right="922"/>
              <w:spacing w:after="0"/>
              <w:rPr>
                <w:sz w:val="20"/>
                <w:szCs w:val="20"/>
                <w:color w:val="auto"/>
              </w:rPr>
            </w:pPr>
            <w:r>
              <w:rPr>
                <w:rFonts w:ascii="Arial" w:cs="Arial" w:eastAsia="Arial" w:hAnsi="Arial"/>
                <w:sz w:val="16"/>
                <w:szCs w:val="16"/>
                <w:color w:val="auto"/>
              </w:rPr>
              <w:t>%</w:t>
            </w:r>
          </w:p>
        </w:tc>
      </w:tr>
      <w:tr>
        <w:trPr>
          <w:trHeight w:val="205"/>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26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2.8</w:t>
            </w:r>
          </w:p>
        </w:tc>
        <w:tc>
          <w:tcPr>
            <w:tcW w:w="80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4.1</w:t>
            </w:r>
          </w:p>
        </w:tc>
        <w:tc>
          <w:tcPr>
            <w:tcW w:w="136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r>
      <w:tr>
        <w:trPr>
          <w:trHeight w:val="202"/>
        </w:trPr>
        <w:tc>
          <w:tcPr>
            <w:tcW w:w="470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2660" w:type="dxa"/>
            <w:vAlign w:val="bottom"/>
          </w:tcPr>
          <w:p>
            <w:pPr>
              <w:jc w:val="right"/>
              <w:ind w:right="122"/>
              <w:spacing w:after="0"/>
              <w:rPr>
                <w:sz w:val="20"/>
                <w:szCs w:val="20"/>
                <w:color w:val="auto"/>
              </w:rPr>
            </w:pPr>
            <w:r>
              <w:rPr>
                <w:rFonts w:ascii="Arial" w:cs="Arial" w:eastAsia="Arial" w:hAnsi="Arial"/>
                <w:sz w:val="16"/>
                <w:szCs w:val="16"/>
                <w:color w:val="auto"/>
              </w:rPr>
              <w:t>18.0</w:t>
            </w:r>
          </w:p>
        </w:tc>
        <w:tc>
          <w:tcPr>
            <w:tcW w:w="80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11.9</w:t>
            </w:r>
          </w:p>
        </w:tc>
        <w:tc>
          <w:tcPr>
            <w:tcW w:w="1360" w:type="dxa"/>
            <w:vAlign w:val="bottom"/>
          </w:tcPr>
          <w:p>
            <w:pPr>
              <w:jc w:val="right"/>
              <w:ind w:right="922"/>
              <w:spacing w:after="0"/>
              <w:rPr>
                <w:sz w:val="20"/>
                <w:szCs w:val="20"/>
                <w:color w:val="auto"/>
              </w:rPr>
            </w:pPr>
            <w:r>
              <w:rPr>
                <w:rFonts w:ascii="Arial" w:cs="Arial" w:eastAsia="Arial" w:hAnsi="Arial"/>
                <w:sz w:val="16"/>
                <w:szCs w:val="16"/>
                <w:color w:val="auto"/>
              </w:rPr>
              <w:t>%</w:t>
            </w:r>
          </w:p>
        </w:tc>
      </w:tr>
    </w:tbl>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Amounts are based on underlying data and may not visually foot due to rounding.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40" w:orient="portrait"/>
          <w:cols w:equalWidth="0" w:num="1">
            <w:col w:w="10480"/>
          </w:cols>
          <w:pgMar w:left="720" w:top="1419" w:right="70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p>
    <w:p>
      <w:pPr>
        <w:ind w:left="100" w:right="200" w:firstLine="24"/>
        <w:spacing w:after="0" w:line="266" w:lineRule="auto"/>
        <w:rPr>
          <w:sz w:val="20"/>
          <w:szCs w:val="20"/>
          <w:color w:val="auto"/>
        </w:rPr>
      </w:pPr>
      <w:r>
        <w:rPr>
          <w:rFonts w:ascii="Arial" w:cs="Arial" w:eastAsia="Arial" w:hAnsi="Arial"/>
          <w:sz w:val="16"/>
          <w:szCs w:val="16"/>
          <w:color w:val="auto"/>
        </w:rPr>
        <w:t>Due from related party, net Short-term financing receivables, net Inventories</w:t>
      </w:r>
    </w:p>
    <w:p>
      <w:pPr>
        <w:jc w:val="right"/>
        <w:ind w:right="1320"/>
        <w:spacing w:after="0"/>
        <w:rPr>
          <w:sz w:val="20"/>
          <w:szCs w:val="20"/>
          <w:color w:val="auto"/>
        </w:rPr>
      </w:pPr>
      <w:r>
        <w:rPr>
          <w:rFonts w:ascii="Arial" w:cs="Arial" w:eastAsia="Arial" w:hAnsi="Arial"/>
          <w:sz w:val="16"/>
          <w:szCs w:val="16"/>
          <w:color w:val="auto"/>
        </w:rPr>
        <w:t>Other current assets</w:t>
      </w:r>
    </w:p>
    <w:p>
      <w:pPr>
        <w:spacing w:after="0" w:line="32" w:lineRule="exact"/>
        <w:rPr>
          <w:sz w:val="20"/>
          <w:szCs w:val="20"/>
          <w:color w:val="auto"/>
        </w:rPr>
      </w:pPr>
    </w:p>
    <w:p>
      <w:pPr>
        <w:jc w:val="right"/>
        <w:ind w:right="12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p>
    <w:p>
      <w:pPr>
        <w:ind w:left="20" w:right="300"/>
        <w:spacing w:after="0" w:line="275" w:lineRule="auto"/>
        <w:rPr>
          <w:sz w:val="20"/>
          <w:szCs w:val="20"/>
          <w:color w:val="auto"/>
        </w:rPr>
      </w:pPr>
      <w:r>
        <w:rPr>
          <w:rFonts w:ascii="Arial" w:cs="Arial" w:eastAsia="Arial" w:hAnsi="Arial"/>
          <w:sz w:val="16"/>
          <w:szCs w:val="16"/>
          <w:color w:val="auto"/>
        </w:rPr>
        <w:t>Property, plant, and equipment, net Long-term investments Long-term financing receivables, net Goodwill</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p>
    <w:p>
      <w:pPr>
        <w:ind w:left="20" w:right="960"/>
        <w:spacing w:after="0" w:line="331" w:lineRule="auto"/>
        <w:rPr>
          <w:sz w:val="20"/>
          <w:szCs w:val="20"/>
          <w:color w:val="auto"/>
        </w:rPr>
      </w:pPr>
      <w:r>
        <w:rPr>
          <w:rFonts w:ascii="Arial" w:cs="Arial" w:eastAsia="Arial" w:hAnsi="Arial"/>
          <w:sz w:val="14"/>
          <w:szCs w:val="14"/>
          <w:color w:val="auto"/>
        </w:rPr>
        <w:t>Due from related party, net Other non-current assets</w:t>
      </w:r>
    </w:p>
    <w:p>
      <w:pPr>
        <w:ind w:left="3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b w:val="1"/>
          <w:bCs w:val="1"/>
          <w:color w:val="auto"/>
        </w:rPr>
        <w:t>DELL TECHNOLOGIES INC.</w:t>
      </w:r>
    </w:p>
    <w:p>
      <w:pPr>
        <w:spacing w:after="0" w:line="14" w:lineRule="exact"/>
        <w:rPr>
          <w:sz w:val="20"/>
          <w:szCs w:val="20"/>
          <w:color w:val="auto"/>
        </w:rPr>
      </w:pPr>
    </w:p>
    <w:p>
      <w:pPr>
        <w:jc w:val="center"/>
        <w:ind w:right="3560"/>
        <w:spacing w:after="0"/>
        <w:rPr>
          <w:sz w:val="20"/>
          <w:szCs w:val="20"/>
          <w:color w:val="auto"/>
        </w:rPr>
      </w:pPr>
      <w:r>
        <w:rPr>
          <w:rFonts w:ascii="Arial" w:cs="Arial" w:eastAsia="Arial" w:hAnsi="Arial"/>
          <w:sz w:val="14"/>
          <w:szCs w:val="14"/>
          <w:b w:val="1"/>
          <w:bCs w:val="1"/>
          <w:color w:val="auto"/>
        </w:rPr>
        <w:t>Consolidated Statements of Financial Position</w:t>
      </w:r>
    </w:p>
    <w:p>
      <w:pPr>
        <w:spacing w:after="0" w:line="19" w:lineRule="exact"/>
        <w:rPr>
          <w:sz w:val="20"/>
          <w:szCs w:val="20"/>
          <w:color w:val="auto"/>
        </w:rPr>
      </w:pPr>
    </w:p>
    <w:p>
      <w:pPr>
        <w:jc w:val="center"/>
        <w:ind w:right="3560"/>
        <w:spacing w:after="0"/>
        <w:rPr>
          <w:sz w:val="20"/>
          <w:szCs w:val="20"/>
          <w:color w:val="auto"/>
        </w:rPr>
      </w:pPr>
      <w:r>
        <w:rPr>
          <w:rFonts w:ascii="Arial" w:cs="Arial" w:eastAsia="Arial" w:hAnsi="Arial"/>
          <w:sz w:val="16"/>
          <w:szCs w:val="16"/>
          <w:b w:val="1"/>
          <w:bCs w:val="1"/>
          <w:color w:val="auto"/>
        </w:rPr>
        <w:t>(in millions; unaudited)</w:t>
      </w:r>
    </w:p>
    <w:p>
      <w:pPr>
        <w:spacing w:after="0" w:line="11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May 5, 2023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February 3, 2023</w:t>
            </w:r>
          </w:p>
        </w:tc>
        <w:tc>
          <w:tcPr>
            <w:tcW w:w="0" w:type="dxa"/>
            <w:vAlign w:val="bottom"/>
          </w:tcPr>
          <w:p>
            <w:pPr>
              <w:spacing w:after="0"/>
              <w:rPr>
                <w:sz w:val="1"/>
                <w:szCs w:val="1"/>
                <w:color w:val="auto"/>
              </w:rPr>
            </w:pPr>
          </w:p>
        </w:tc>
      </w:tr>
      <w:tr>
        <w:trPr>
          <w:trHeight w:val="194"/>
        </w:trPr>
        <w:tc>
          <w:tcPr>
            <w:tcW w:w="1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2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7,631</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8,607</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9,399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12,482</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5,013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5,281</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4,016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4,776</w:t>
            </w:r>
          </w:p>
        </w:tc>
        <w:tc>
          <w:tcPr>
            <w:tcW w:w="0" w:type="dxa"/>
            <w:vAlign w:val="bottom"/>
          </w:tcPr>
          <w:p>
            <w:pPr>
              <w:spacing w:after="0"/>
              <w:rPr>
                <w:sz w:val="1"/>
                <w:szCs w:val="1"/>
                <w:color w:val="auto"/>
              </w:rPr>
            </w:pPr>
          </w:p>
        </w:tc>
      </w:tr>
      <w:tr>
        <w:trPr>
          <w:trHeight w:val="205"/>
        </w:trPr>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10,949</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10,827</w:t>
            </w: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37,392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42,351</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6,261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6,209</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1,399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5,524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5,638</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19,661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19,676</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6,269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6,468</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442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05"/>
        </w:trPr>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7,146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7,311</w:t>
            </w:r>
          </w:p>
        </w:tc>
        <w:tc>
          <w:tcPr>
            <w:tcW w:w="0" w:type="dxa"/>
            <w:vAlign w:val="bottom"/>
          </w:tcPr>
          <w:p>
            <w:pPr>
              <w:spacing w:after="0"/>
              <w:rPr>
                <w:sz w:val="1"/>
                <w:szCs w:val="1"/>
                <w:color w:val="auto"/>
              </w:rPr>
            </w:pPr>
          </w:p>
        </w:tc>
      </w:tr>
      <w:tr>
        <w:trPr>
          <w:trHeight w:val="196"/>
        </w:trPr>
        <w:tc>
          <w:tcPr>
            <w:tcW w:w="2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84,094</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89,611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-2118360</wp:posOffset>
            </wp:positionV>
            <wp:extent cx="6707505" cy="129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-1859280</wp:posOffset>
            </wp:positionV>
            <wp:extent cx="6707505" cy="129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-1600200</wp:posOffset>
            </wp:positionV>
            <wp:extent cx="6707505" cy="129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-1341120</wp:posOffset>
            </wp:positionV>
            <wp:extent cx="6707505" cy="129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-1073785</wp:posOffset>
            </wp:positionV>
            <wp:extent cx="6707505" cy="129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-814705</wp:posOffset>
            </wp:positionV>
            <wp:extent cx="6707505" cy="129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-555625</wp:posOffset>
            </wp:positionV>
            <wp:extent cx="6707505" cy="129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-296545</wp:posOffset>
            </wp:positionV>
            <wp:extent cx="6707505" cy="129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-14605</wp:posOffset>
            </wp:positionV>
            <wp:extent cx="670750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LIABILITIES AND STOCKHOLDERS’ EQUITY</w:t>
      </w:r>
    </w:p>
    <w:p>
      <w:pPr>
        <w:spacing w:after="0" w:line="43" w:lineRule="exact"/>
        <w:rPr>
          <w:sz w:val="20"/>
          <w:szCs w:val="20"/>
          <w:color w:val="auto"/>
        </w:rPr>
      </w:pPr>
    </w:p>
    <w:p>
      <w:pPr>
        <w:sectPr>
          <w:pgSz w:w="11900" w:h="16840" w:orient="portrait"/>
          <w:cols w:equalWidth="0" w:num="2">
            <w:col w:w="2840" w:space="720"/>
            <w:col w:w="7000"/>
          </w:cols>
          <w:pgMar w:left="660" w:top="1419" w:right="680" w:bottom="1440" w:gutter="0" w:footer="0" w:header="0"/>
        </w:sectPr>
      </w:pPr>
    </w:p>
    <w:tbl>
      <w:tblPr>
        <w:tblLayout w:type="fixed"/>
        <w:tblInd w:w="0" w:type="dxa"/>
        <w:tblCellMar>
          <w:top w:w="0" w:type="dxa"/>
          <w:left w:w="0" w:type="dxa"/>
          <w:bottom w:w="0" w:type="dxa"/>
          <w:right w:w="0" w:type="dxa"/>
        </w:tblCellMar>
      </w:tblPr>
      <w:tr>
        <w:trPr>
          <w:trHeight w:val="184"/>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3"/>
        </w:trPr>
        <w:tc>
          <w:tcPr>
            <w:tcW w:w="6760" w:type="dxa"/>
            <w:vAlign w:val="bottom"/>
          </w:tcPr>
          <w:p>
            <w:pPr>
              <w:ind w:left="120"/>
              <w:spacing w:after="0"/>
              <w:rPr>
                <w:sz w:val="20"/>
                <w:szCs w:val="20"/>
                <w:color w:val="auto"/>
              </w:rPr>
            </w:pPr>
            <w:r>
              <w:rPr>
                <w:rFonts w:ascii="Arial" w:cs="Arial" w:eastAsia="Arial" w:hAnsi="Arial"/>
                <w:sz w:val="16"/>
                <w:szCs w:val="16"/>
                <w:color w:val="auto"/>
              </w:rPr>
              <w:t>Short-term debt</w:t>
            </w:r>
          </w:p>
        </w:tc>
        <w:tc>
          <w:tcPr>
            <w:tcW w:w="700" w:type="dxa"/>
            <w:vAlign w:val="bottom"/>
          </w:tcPr>
          <w:p>
            <w:pPr>
              <w:jc w:val="right"/>
              <w:ind w:right="52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5,470</w:t>
            </w:r>
          </w:p>
        </w:tc>
        <w:tc>
          <w:tcPr>
            <w:tcW w:w="7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6,573</w:t>
            </w:r>
          </w:p>
        </w:tc>
      </w:tr>
      <w:tr>
        <w:trPr>
          <w:trHeight w:val="205"/>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17,796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18,598</w:t>
            </w:r>
          </w:p>
        </w:tc>
      </w:tr>
      <w:tr>
        <w:trPr>
          <w:trHeight w:val="203"/>
        </w:trPr>
        <w:tc>
          <w:tcPr>
            <w:tcW w:w="6760" w:type="dxa"/>
            <w:vAlign w:val="bottom"/>
          </w:tcPr>
          <w:p>
            <w:pPr>
              <w:ind w:left="100"/>
              <w:spacing w:after="0"/>
              <w:rPr>
                <w:sz w:val="20"/>
                <w:szCs w:val="20"/>
                <w:color w:val="auto"/>
              </w:rPr>
            </w:pPr>
            <w:r>
              <w:rPr>
                <w:rFonts w:ascii="Arial" w:cs="Arial" w:eastAsia="Arial" w:hAnsi="Arial"/>
                <w:sz w:val="16"/>
                <w:szCs w:val="16"/>
                <w:color w:val="auto"/>
              </w:rPr>
              <w:t>Due to related party</w:t>
            </w:r>
          </w:p>
        </w:tc>
        <w:tc>
          <w:tcPr>
            <w:tcW w:w="70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594</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2,067</w:t>
            </w:r>
          </w:p>
        </w:tc>
      </w:tr>
      <w:tr>
        <w:trPr>
          <w:trHeight w:val="205"/>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and other</w:t>
            </w: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7,438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8,874</w:t>
            </w:r>
          </w:p>
        </w:tc>
      </w:tr>
      <w:tr>
        <w:trPr>
          <w:trHeight w:val="203"/>
        </w:trPr>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Short-term deferred revenue</w:t>
            </w: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15,527</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15,542</w:t>
            </w:r>
          </w:p>
        </w:tc>
      </w:tr>
      <w:tr>
        <w:trPr>
          <w:trHeight w:val="197"/>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46,825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51,654</w:t>
            </w:r>
          </w:p>
        </w:tc>
      </w:tr>
      <w:tr>
        <w:trPr>
          <w:trHeight w:val="203"/>
        </w:trPr>
        <w:tc>
          <w:tcPr>
            <w:tcW w:w="67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70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22,962</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23,015</w:t>
            </w:r>
          </w:p>
        </w:tc>
      </w:tr>
      <w:tr>
        <w:trPr>
          <w:trHeight w:val="205"/>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deferred revenue</w:t>
            </w: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14,168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14,744</w:t>
            </w:r>
          </w:p>
        </w:tc>
      </w:tr>
      <w:tr>
        <w:trPr>
          <w:trHeight w:val="203"/>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non-current liabilities</w:t>
            </w: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3,063</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w:t>
            </w:r>
          </w:p>
        </w:tc>
      </w:tr>
      <w:tr>
        <w:trPr>
          <w:trHeight w:val="197"/>
        </w:trPr>
        <w:tc>
          <w:tcPr>
            <w:tcW w:w="6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87,018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92,636</w:t>
            </w:r>
          </w:p>
        </w:tc>
      </w:tr>
      <w:tr>
        <w:trPr>
          <w:trHeight w:val="203"/>
        </w:trPr>
        <w:tc>
          <w:tcPr>
            <w:tcW w:w="6760" w:type="dxa"/>
            <w:vAlign w:val="bottom"/>
          </w:tcPr>
          <w:p>
            <w:pPr>
              <w:ind w:left="20"/>
              <w:spacing w:after="0"/>
              <w:rPr>
                <w:sz w:val="20"/>
                <w:szCs w:val="20"/>
                <w:color w:val="auto"/>
              </w:rPr>
            </w:pPr>
            <w:r>
              <w:rPr>
                <w:rFonts w:ascii="Arial" w:cs="Arial" w:eastAsia="Arial" w:hAnsi="Arial"/>
                <w:sz w:val="16"/>
                <w:szCs w:val="16"/>
                <w:color w:val="auto"/>
              </w:rPr>
              <w:t>Stockholders’ equity (deficit):</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Dell Technologies Inc. stockholders’ equity (deficit)</w:t>
            </w: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w:t>
            </w:r>
          </w:p>
        </w:tc>
      </w:tr>
      <w:tr>
        <w:trPr>
          <w:trHeight w:val="203"/>
        </w:trPr>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Non-controlling interests</w:t>
            </w: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97</w:t>
            </w:r>
          </w:p>
        </w:tc>
      </w:tr>
      <w:tr>
        <w:trPr>
          <w:trHeight w:val="196"/>
        </w:trPr>
        <w:tc>
          <w:tcPr>
            <w:tcW w:w="6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stockholders’ equity (deficit)</w:t>
            </w:r>
          </w:p>
        </w:tc>
        <w:tc>
          <w:tcPr>
            <w:tcW w:w="7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(2,924)</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(3,025)</w:t>
            </w:r>
          </w:p>
        </w:tc>
      </w:tr>
      <w:tr>
        <w:trPr>
          <w:trHeight w:val="197"/>
        </w:trPr>
        <w:tc>
          <w:tcPr>
            <w:tcW w:w="6760" w:type="dxa"/>
            <w:vAlign w:val="bottom"/>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700" w:type="dxa"/>
            <w:vAlign w:val="bottom"/>
          </w:tcPr>
          <w:p>
            <w:pPr>
              <w:jc w:val="right"/>
              <w:ind w:right="52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84,094</w:t>
            </w:r>
          </w:p>
        </w:tc>
        <w:tc>
          <w:tcPr>
            <w:tcW w:w="7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89,611</w:t>
            </w:r>
          </w:p>
        </w:tc>
      </w:tr>
      <w:tr>
        <w:trPr>
          <w:trHeight w:val="20"/>
        </w:trPr>
        <w:tc>
          <w:tcPr>
            <w:tcW w:w="6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40" w:orient="portrait"/>
          <w:cols w:equalWidth="0" w:num="1">
            <w:col w:w="10560"/>
          </w:cols>
          <w:pgMar w:left="660" w:top="1419" w:right="680"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DELL TECHNOLOGIES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Cash Flows</w:t>
      </w:r>
    </w:p>
    <w:p>
      <w:pPr>
        <w:jc w:val="center"/>
        <w:ind w:right="20"/>
        <w:spacing w:after="0"/>
        <w:rPr>
          <w:sz w:val="20"/>
          <w:szCs w:val="20"/>
          <w:color w:val="auto"/>
        </w:rPr>
      </w:pPr>
      <w:r>
        <w:rPr>
          <w:rFonts w:ascii="Arial" w:cs="Arial" w:eastAsia="Arial" w:hAnsi="Arial"/>
          <w:sz w:val="16"/>
          <w:szCs w:val="16"/>
          <w:b w:val="1"/>
          <w:bCs w:val="1"/>
          <w:color w:val="auto"/>
        </w:rPr>
        <w:t>(in millions;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May 5, 2023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8"/>
              </w:rPr>
              <w:t>April 29, 2022</w:t>
            </w: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Cash flows from operating activities: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578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Change in cash from operating activities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85"/>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00"/>
              <w:spacing w:after="0"/>
              <w:rPr>
                <w:sz w:val="20"/>
                <w:szCs w:val="20"/>
                <w:color w:val="auto"/>
              </w:rPr>
            </w:pPr>
            <w:r>
              <w:rPr>
                <w:rFonts w:ascii="Arial" w:cs="Arial" w:eastAsia="Arial" w:hAnsi="Arial"/>
                <w:sz w:val="16"/>
                <w:szCs w:val="16"/>
                <w:color w:val="auto"/>
              </w:rPr>
              <w:t>Purchases of investments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Maturities and sales of investments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rPr>
                <w:sz w:val="20"/>
                <w:szCs w:val="20"/>
                <w:color w:val="auto"/>
              </w:rPr>
            </w:pPr>
            <w:r>
              <w:rPr>
                <w:rFonts w:ascii="Arial" w:cs="Arial" w:eastAsia="Arial" w:hAnsi="Arial"/>
                <w:sz w:val="16"/>
                <w:szCs w:val="16"/>
                <w:color w:val="auto"/>
              </w:rPr>
              <w:t>Capital expenditures and capitalized software development costs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Change in cash from investing activities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185"/>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rPr>
                <w:sz w:val="20"/>
                <w:szCs w:val="20"/>
                <w:color w:val="auto"/>
              </w:rPr>
            </w:pPr>
            <w:r>
              <w:rPr>
                <w:rFonts w:ascii="Arial" w:cs="Arial" w:eastAsia="Arial" w:hAnsi="Arial"/>
                <w:sz w:val="16"/>
                <w:szCs w:val="16"/>
                <w:color w:val="auto"/>
              </w:rPr>
              <w:t>Repurchases of common stock - withholdings on employee equity awards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dividends and dividend equivalents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rPr>
                <w:sz w:val="20"/>
                <w:szCs w:val="20"/>
                <w:color w:val="auto"/>
              </w:rPr>
            </w:pPr>
            <w:r>
              <w:rPr>
                <w:rFonts w:ascii="Arial" w:cs="Arial" w:eastAsia="Arial" w:hAnsi="Arial"/>
                <w:sz w:val="16"/>
                <w:szCs w:val="16"/>
                <w:color w:val="auto"/>
              </w:rPr>
              <w:t>Proceeds from debt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debt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Debt-related costs and other, net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cash from financing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cash equivalents, and restricted cash</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10,082</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5200"/>
              <w:spacing w:after="0"/>
              <w:rPr>
                <w:sz w:val="20"/>
                <w:szCs w:val="20"/>
                <w:color w:val="auto"/>
              </w:rPr>
            </w:pPr>
            <w:r>
              <w:rPr>
                <w:rFonts w:ascii="Arial" w:cs="Arial" w:eastAsia="Arial" w:hAnsi="Arial"/>
                <w:sz w:val="16"/>
                <w:szCs w:val="16"/>
                <w:color w:val="auto"/>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4"/>
        </w:trPr>
        <w:tc>
          <w:tcPr>
            <w:tcW w:w="7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520"/>
          </w:cols>
          <w:pgMar w:left="700" w:top="1419" w:right="680"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DELL TECHNOLOGIES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Information</w:t>
      </w:r>
    </w:p>
    <w:p>
      <w:pPr>
        <w:jc w:val="center"/>
        <w:ind w:right="80"/>
        <w:spacing w:after="0"/>
        <w:rPr>
          <w:sz w:val="20"/>
          <w:szCs w:val="20"/>
          <w:color w:val="auto"/>
        </w:rPr>
      </w:pPr>
      <w:r>
        <w:rPr>
          <w:rFonts w:ascii="Arial" w:cs="Arial" w:eastAsia="Arial" w:hAnsi="Arial"/>
          <w:sz w:val="16"/>
          <w:szCs w:val="16"/>
          <w:b w:val="1"/>
          <w:bCs w:val="1"/>
          <w:color w:val="auto"/>
        </w:rPr>
        <w:t>(in millions, except percentages; unaudited; continued on next page)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jc w:val="right"/>
              <w:ind w:right="342"/>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6"/>
                <w:szCs w:val="16"/>
                <w:b w:val="1"/>
                <w:bCs w:val="1"/>
                <w:color w:val="auto"/>
              </w:rPr>
              <w:t>May 5, 2023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6"/>
                <w:szCs w:val="16"/>
                <w:b w:val="1"/>
                <w:bCs w:val="1"/>
                <w:color w:val="auto"/>
              </w:rPr>
              <w:t>April 29, 2022</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560" w:type="dxa"/>
            <w:vAlign w:val="bottom"/>
            <w:tcBorders>
              <w:bottom w:val="single" w:sz="8" w:color="auto"/>
            </w:tcBorders>
            <w:gridSpan w:val="2"/>
            <w:shd w:val="clear" w:color="auto" w:fill="CCEEFF"/>
          </w:tcPr>
          <w:p>
            <w:pPr>
              <w:spacing w:after="0" w:line="148" w:lineRule="exact"/>
              <w:rPr>
                <w:sz w:val="20"/>
                <w:szCs w:val="20"/>
                <w:color w:val="auto"/>
              </w:rPr>
            </w:pPr>
            <w:r>
              <w:rPr>
                <w:rFonts w:ascii="Arial" w:cs="Arial" w:eastAsia="Arial" w:hAnsi="Arial"/>
                <w:sz w:val="16"/>
                <w:szCs w:val="16"/>
                <w:i w:val="1"/>
                <w:iCs w:val="1"/>
                <w:color w:val="auto"/>
                <w:w w:val="97"/>
              </w:rPr>
              <w:t>Infrastructure Solutions Group (ISG):</w:t>
            </w:r>
          </w:p>
        </w:tc>
        <w:tc>
          <w:tcPr>
            <w:tcW w:w="34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gridSpan w:val="3"/>
          </w:tcPr>
          <w:p>
            <w:pPr>
              <w:ind w:left="120"/>
              <w:spacing w:after="0"/>
              <w:rPr>
                <w:sz w:val="20"/>
                <w:szCs w:val="20"/>
                <w:color w:val="auto"/>
              </w:rPr>
            </w:pPr>
            <w:r>
              <w:rPr>
                <w:rFonts w:ascii="Arial" w:cs="Arial" w:eastAsia="Arial" w:hAnsi="Arial"/>
                <w:sz w:val="16"/>
                <w:szCs w:val="16"/>
                <w:color w:val="auto"/>
              </w:rPr>
              <w:t>Net revenue: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Servers and networking</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9"/>
              </w:rPr>
              <w:t>3,837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5,048</w:t>
            </w:r>
          </w:p>
        </w:tc>
        <w:tc>
          <w:tcPr>
            <w:tcW w:w="106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(24)%</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Storage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9"/>
              </w:rPr>
              <w:t>3,756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4,237</w:t>
            </w:r>
          </w:p>
        </w:tc>
        <w:tc>
          <w:tcPr>
            <w:tcW w:w="1060" w:type="dxa"/>
            <w:vAlign w:val="bottom"/>
            <w:tcBorders>
              <w:bottom w:val="single" w:sz="8" w:color="CCEEFF"/>
            </w:tcBorders>
            <w:gridSpan w:val="2"/>
          </w:tcPr>
          <w:p>
            <w:pPr>
              <w:jc w:val="center"/>
              <w:ind w:left="2"/>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r>
        <w:trPr>
          <w:trHeight w:val="196"/>
        </w:trPr>
        <w:tc>
          <w:tcPr>
            <w:tcW w:w="59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Total ISG net revenue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9"/>
              </w:rPr>
              <w:t>7,593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9,285</w:t>
            </w:r>
          </w:p>
        </w:tc>
        <w:tc>
          <w:tcPr>
            <w:tcW w:w="106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(18)%</w:t>
            </w:r>
          </w:p>
        </w:tc>
        <w:tc>
          <w:tcPr>
            <w:tcW w:w="0" w:type="dxa"/>
            <w:vAlign w:val="bottom"/>
          </w:tcPr>
          <w:p>
            <w:pPr>
              <w:spacing w:after="0"/>
              <w:rPr>
                <w:sz w:val="1"/>
                <w:szCs w:val="1"/>
                <w:color w:val="auto"/>
              </w:rPr>
            </w:pPr>
          </w:p>
        </w:tc>
      </w:tr>
      <w:tr>
        <w:trPr>
          <w:trHeight w:val="221"/>
        </w:trPr>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9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960" w:type="dxa"/>
            <w:vAlign w:val="bottom"/>
            <w:gridSpan w:val="3"/>
          </w:tcPr>
          <w:p>
            <w:pPr>
              <w:ind w:left="180"/>
              <w:spacing w:after="0"/>
              <w:rPr>
                <w:sz w:val="20"/>
                <w:szCs w:val="20"/>
                <w:color w:val="auto"/>
              </w:rPr>
            </w:pPr>
            <w:r>
              <w:rPr>
                <w:rFonts w:ascii="Arial" w:cs="Arial" w:eastAsia="Arial" w:hAnsi="Arial"/>
                <w:sz w:val="16"/>
                <w:szCs w:val="16"/>
                <w:color w:val="auto"/>
              </w:rPr>
              <w:t>ISG operating income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740</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6"/>
                <w:szCs w:val="16"/>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1,082</w:t>
            </w:r>
          </w:p>
        </w:tc>
        <w:tc>
          <w:tcPr>
            <w:tcW w:w="106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(32)%</w:t>
            </w:r>
          </w:p>
        </w:tc>
        <w:tc>
          <w:tcPr>
            <w:tcW w:w="0" w:type="dxa"/>
            <w:vAlign w:val="bottom"/>
          </w:tcPr>
          <w:p>
            <w:pPr>
              <w:spacing w:after="0"/>
              <w:rPr>
                <w:sz w:val="1"/>
                <w:szCs w:val="1"/>
                <w:color w:val="auto"/>
              </w:rPr>
            </w:pPr>
          </w:p>
        </w:tc>
      </w:tr>
      <w:tr>
        <w:trPr>
          <w:trHeight w:val="197"/>
        </w:trPr>
        <w:tc>
          <w:tcPr>
            <w:tcW w:w="596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 of ISG net revenue</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9.7</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11.7</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gridSpan w:val="3"/>
          </w:tcPr>
          <w:p>
            <w:pPr>
              <w:ind w:left="180"/>
              <w:spacing w:after="0"/>
              <w:rPr>
                <w:sz w:val="20"/>
                <w:szCs w:val="20"/>
                <w:color w:val="auto"/>
              </w:rPr>
            </w:pPr>
            <w:r>
              <w:rPr>
                <w:rFonts w:ascii="Arial" w:cs="Arial" w:eastAsia="Arial" w:hAnsi="Arial"/>
                <w:sz w:val="16"/>
                <w:szCs w:val="16"/>
                <w:i w:val="1"/>
                <w:iCs w:val="1"/>
                <w:color w:val="auto"/>
              </w:rPr>
              <w:t>% of total reportable segment operating income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45</w:t>
            </w:r>
          </w:p>
        </w:tc>
        <w:tc>
          <w:tcPr>
            <w:tcW w:w="5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49</w:t>
            </w:r>
          </w:p>
        </w:tc>
        <w:tc>
          <w:tcPr>
            <w:tcW w:w="5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0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i w:val="1"/>
                <w:iCs w:val="1"/>
                <w:color w:val="auto"/>
                <w:w w:val="97"/>
              </w:rPr>
              <w:t>Client Solutions Group (CSG):</w:t>
            </w:r>
          </w:p>
        </w:tc>
        <w:tc>
          <w:tcPr>
            <w:tcW w:w="38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gridSpan w:val="3"/>
          </w:tcPr>
          <w:p>
            <w:pPr>
              <w:ind w:left="180"/>
              <w:spacing w:after="0"/>
              <w:rPr>
                <w:sz w:val="20"/>
                <w:szCs w:val="20"/>
                <w:color w:val="auto"/>
              </w:rPr>
            </w:pPr>
            <w:r>
              <w:rPr>
                <w:rFonts w:ascii="Arial" w:cs="Arial" w:eastAsia="Arial" w:hAnsi="Arial"/>
                <w:sz w:val="16"/>
                <w:szCs w:val="16"/>
                <w:color w:val="auto"/>
              </w:rPr>
              <w:t>Commercial</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spacing w:after="0"/>
              <w:rPr>
                <w:sz w:val="17"/>
                <w:szCs w:val="17"/>
                <w:color w:val="auto"/>
              </w:rPr>
            </w:pP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9,862</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42"/>
              <w:spacing w:after="0"/>
              <w:rPr>
                <w:sz w:val="20"/>
                <w:szCs w:val="20"/>
                <w:color w:val="auto"/>
              </w:rPr>
            </w:pPr>
            <w:r>
              <w:rPr>
                <w:rFonts w:ascii="Arial" w:cs="Arial" w:eastAsia="Arial" w:hAnsi="Arial"/>
                <w:sz w:val="16"/>
                <w:szCs w:val="16"/>
                <w:color w:val="auto"/>
              </w:rPr>
              <w:t>11,971</w:t>
            </w:r>
          </w:p>
        </w:tc>
        <w:tc>
          <w:tcPr>
            <w:tcW w:w="106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(18)%</w:t>
            </w:r>
          </w:p>
        </w:tc>
        <w:tc>
          <w:tcPr>
            <w:tcW w:w="0" w:type="dxa"/>
            <w:vAlign w:val="bottom"/>
          </w:tcPr>
          <w:p>
            <w:pPr>
              <w:spacing w:after="0"/>
              <w:rPr>
                <w:sz w:val="1"/>
                <w:szCs w:val="1"/>
                <w:color w:val="auto"/>
              </w:rPr>
            </w:pPr>
          </w:p>
        </w:tc>
      </w:tr>
      <w:tr>
        <w:trPr>
          <w:trHeight w:val="205"/>
        </w:trPr>
        <w:tc>
          <w:tcPr>
            <w:tcW w:w="59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99"/>
              </w:rPr>
              <w:t>2,121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3,616</w:t>
            </w:r>
          </w:p>
        </w:tc>
        <w:tc>
          <w:tcPr>
            <w:tcW w:w="106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(41)%</w:t>
            </w:r>
          </w:p>
        </w:tc>
        <w:tc>
          <w:tcPr>
            <w:tcW w:w="0" w:type="dxa"/>
            <w:vAlign w:val="bottom"/>
          </w:tcPr>
          <w:p>
            <w:pPr>
              <w:spacing w:after="0"/>
              <w:rPr>
                <w:sz w:val="1"/>
                <w:szCs w:val="1"/>
                <w:color w:val="auto"/>
              </w:rPr>
            </w:pPr>
          </w:p>
        </w:tc>
      </w:tr>
      <w:tr>
        <w:trPr>
          <w:trHeight w:val="195"/>
        </w:trPr>
        <w:tc>
          <w:tcPr>
            <w:tcW w:w="5960" w:type="dxa"/>
            <w:vAlign w:val="bottom"/>
            <w:gridSpan w:val="3"/>
          </w:tcPr>
          <w:p>
            <w:pPr>
              <w:ind w:left="300"/>
              <w:spacing w:after="0"/>
              <w:rPr>
                <w:sz w:val="20"/>
                <w:szCs w:val="20"/>
                <w:color w:val="auto"/>
              </w:rPr>
            </w:pPr>
            <w:r>
              <w:rPr>
                <w:rFonts w:ascii="Arial" w:cs="Arial" w:eastAsia="Arial" w:hAnsi="Arial"/>
                <w:sz w:val="16"/>
                <w:szCs w:val="16"/>
                <w:color w:val="auto"/>
              </w:rPr>
              <w:t>Total CSG net revenue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42"/>
              <w:spacing w:after="0"/>
              <w:rPr>
                <w:sz w:val="20"/>
                <w:szCs w:val="20"/>
                <w:color w:val="auto"/>
              </w:rPr>
            </w:pPr>
            <w:r>
              <w:rPr>
                <w:rFonts w:ascii="Arial" w:cs="Arial" w:eastAsia="Arial" w:hAnsi="Arial"/>
                <w:sz w:val="16"/>
                <w:szCs w:val="16"/>
                <w:color w:val="auto"/>
              </w:rPr>
              <w:t>11,983</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42"/>
              <w:spacing w:after="0"/>
              <w:rPr>
                <w:sz w:val="20"/>
                <w:szCs w:val="20"/>
                <w:color w:val="auto"/>
              </w:rPr>
            </w:pPr>
            <w:r>
              <w:rPr>
                <w:rFonts w:ascii="Arial" w:cs="Arial" w:eastAsia="Arial" w:hAnsi="Arial"/>
                <w:sz w:val="16"/>
                <w:szCs w:val="16"/>
                <w:color w:val="auto"/>
              </w:rPr>
              <w:t>15,587</w:t>
            </w:r>
          </w:p>
        </w:tc>
        <w:tc>
          <w:tcPr>
            <w:tcW w:w="106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(23)%</w:t>
            </w:r>
          </w:p>
        </w:tc>
        <w:tc>
          <w:tcPr>
            <w:tcW w:w="0" w:type="dxa"/>
            <w:vAlign w:val="bottom"/>
          </w:tcPr>
          <w:p>
            <w:pPr>
              <w:spacing w:after="0"/>
              <w:rPr>
                <w:sz w:val="1"/>
                <w:szCs w:val="1"/>
                <w:color w:val="auto"/>
              </w:rPr>
            </w:pPr>
          </w:p>
        </w:tc>
      </w:tr>
      <w:tr>
        <w:trPr>
          <w:trHeight w:val="197"/>
        </w:trPr>
        <w:tc>
          <w:tcPr>
            <w:tcW w:w="2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CSG operating income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892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1,115</w:t>
            </w:r>
          </w:p>
        </w:tc>
        <w:tc>
          <w:tcPr>
            <w:tcW w:w="106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(20)%</w:t>
            </w:r>
          </w:p>
        </w:tc>
        <w:tc>
          <w:tcPr>
            <w:tcW w:w="0" w:type="dxa"/>
            <w:vAlign w:val="bottom"/>
          </w:tcPr>
          <w:p>
            <w:pPr>
              <w:spacing w:after="0"/>
              <w:rPr>
                <w:sz w:val="1"/>
                <w:szCs w:val="1"/>
                <w:color w:val="auto"/>
              </w:rPr>
            </w:pPr>
          </w:p>
        </w:tc>
      </w:tr>
      <w:tr>
        <w:trPr>
          <w:trHeight w:val="196"/>
        </w:trPr>
        <w:tc>
          <w:tcPr>
            <w:tcW w:w="5960" w:type="dxa"/>
            <w:vAlign w:val="bottom"/>
            <w:gridSpan w:val="3"/>
          </w:tcPr>
          <w:p>
            <w:pPr>
              <w:ind w:left="180"/>
              <w:spacing w:after="0"/>
              <w:rPr>
                <w:sz w:val="20"/>
                <w:szCs w:val="20"/>
                <w:color w:val="auto"/>
              </w:rPr>
            </w:pPr>
            <w:r>
              <w:rPr>
                <w:rFonts w:ascii="Arial" w:cs="Arial" w:eastAsia="Arial" w:hAnsi="Arial"/>
                <w:sz w:val="16"/>
                <w:szCs w:val="16"/>
                <w:i w:val="1"/>
                <w:iCs w:val="1"/>
                <w:color w:val="auto"/>
              </w:rPr>
              <w:t>% of CSG net revenue</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7.4</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7.2</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 of total reportable segment operating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Amounts are based on underlying data and may not visually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40" w:orient="portrait"/>
          <w:cols w:equalWidth="0" w:num="1">
            <w:col w:w="10480"/>
          </w:cols>
          <w:pgMar w:left="720" w:top="1419" w:right="700" w:bottom="1440" w:gutter="0" w:footer="0" w:header="0"/>
        </w:sectPr>
      </w:pPr>
    </w:p>
    <w:bookmarkStart w:id="11" w:name="page12"/>
    <w:bookmarkEnd w:id="11"/>
    <w:p>
      <w:pPr>
        <w:jc w:val="center"/>
        <w:ind w:right="-179"/>
        <w:spacing w:after="0"/>
        <w:rPr>
          <w:sz w:val="20"/>
          <w:szCs w:val="20"/>
          <w:color w:val="auto"/>
        </w:rPr>
      </w:pPr>
      <w:r>
        <w:rPr>
          <w:rFonts w:ascii="Arial" w:cs="Arial" w:eastAsia="Arial" w:hAnsi="Arial"/>
          <w:sz w:val="16"/>
          <w:szCs w:val="16"/>
          <w:b w:val="1"/>
          <w:bCs w:val="1"/>
          <w:color w:val="auto"/>
        </w:rPr>
        <w:t>DELL TECHNOLOGIES INC.</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Segment Information</w:t>
      </w:r>
    </w:p>
    <w:p>
      <w:pPr>
        <w:jc w:val="center"/>
        <w:ind w:right="-179"/>
        <w:spacing w:after="0"/>
        <w:rPr>
          <w:sz w:val="20"/>
          <w:szCs w:val="20"/>
          <w:color w:val="auto"/>
        </w:rPr>
      </w:pPr>
      <w:r>
        <w:rPr>
          <w:rFonts w:ascii="Arial" w:cs="Arial" w:eastAsia="Arial" w:hAnsi="Arial"/>
          <w:sz w:val="16"/>
          <w:szCs w:val="16"/>
          <w:b w:val="1"/>
          <w:bCs w:val="1"/>
          <w:color w:val="auto"/>
        </w:rPr>
        <w:t>(in millions, except percentages; unaudited; continued)</w:t>
      </w:r>
    </w:p>
    <w:p>
      <w:pPr>
        <w:spacing w:after="0" w:line="11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6"/>
                <w:szCs w:val="16"/>
                <w:b w:val="1"/>
                <w:bCs w:val="1"/>
                <w:color w:val="auto"/>
              </w:rPr>
              <w:t>Three Months Ended</w:t>
            </w:r>
          </w:p>
        </w:tc>
      </w:tr>
      <w:tr>
        <w:trPr>
          <w:trHeight w:val="196"/>
        </w:trPr>
        <w:tc>
          <w:tcPr>
            <w:tcW w:w="30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9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May 5, 2023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8"/>
              </w:rPr>
              <w:t>April 29, 2022</w:t>
            </w:r>
          </w:p>
        </w:tc>
      </w:tr>
      <w:tr>
        <w:trPr>
          <w:trHeight w:val="164"/>
        </w:trPr>
        <w:tc>
          <w:tcPr>
            <w:tcW w:w="300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6"/>
                <w:szCs w:val="16"/>
                <w:i w:val="1"/>
                <w:iCs w:val="1"/>
                <w:color w:val="auto"/>
                <w:w w:val="97"/>
              </w:rPr>
              <w:t>Reconciliation to consolidated net revenue:</w:t>
            </w:r>
          </w:p>
        </w:tc>
        <w:tc>
          <w:tcPr>
            <w:tcW w:w="434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203"/>
        </w:trPr>
        <w:tc>
          <w:tcPr>
            <w:tcW w:w="7340" w:type="dxa"/>
            <w:vAlign w:val="bottom"/>
            <w:gridSpan w:val="3"/>
          </w:tcPr>
          <w:p>
            <w:pPr>
              <w:ind w:left="120"/>
              <w:spacing w:after="0"/>
              <w:rPr>
                <w:sz w:val="20"/>
                <w:szCs w:val="20"/>
                <w:color w:val="auto"/>
              </w:rPr>
            </w:pPr>
            <w:r>
              <w:rPr>
                <w:rFonts w:ascii="Arial" w:cs="Arial" w:eastAsia="Arial" w:hAnsi="Arial"/>
                <w:sz w:val="16"/>
                <w:szCs w:val="16"/>
                <w:color w:val="auto"/>
              </w:rPr>
              <w:t>Reportable segment net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19,576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24,872</w:t>
            </w:r>
          </w:p>
        </w:tc>
      </w:tr>
      <w:tr>
        <w:trPr>
          <w:trHeight w:val="205"/>
        </w:trPr>
        <w:tc>
          <w:tcPr>
            <w:tcW w:w="73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Other businesses (a)</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r>
      <w:tr>
        <w:trPr>
          <w:trHeight w:val="203"/>
        </w:trPr>
        <w:tc>
          <w:tcPr>
            <w:tcW w:w="7340" w:type="dxa"/>
            <w:vAlign w:val="bottom"/>
            <w:gridSpan w:val="3"/>
          </w:tcPr>
          <w:p>
            <w:pPr>
              <w:ind w:left="180"/>
              <w:spacing w:after="0"/>
              <w:rPr>
                <w:sz w:val="20"/>
                <w:szCs w:val="20"/>
                <w:color w:val="auto"/>
              </w:rPr>
            </w:pPr>
            <w:r>
              <w:rPr>
                <w:rFonts w:ascii="Arial" w:cs="Arial" w:eastAsia="Arial" w:hAnsi="Arial"/>
                <w:sz w:val="16"/>
                <w:szCs w:val="16"/>
                <w:color w:val="auto"/>
              </w:rPr>
              <w:t>Unallocated transactions (b)</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5</w:t>
            </w:r>
          </w:p>
        </w:tc>
      </w:tr>
      <w:tr>
        <w:trPr>
          <w:trHeight w:val="225"/>
        </w:trPr>
        <w:tc>
          <w:tcPr>
            <w:tcW w:w="734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Total consolidated 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336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6"/>
                <w:szCs w:val="16"/>
                <w:i w:val="1"/>
                <w:iCs w:val="1"/>
                <w:color w:val="auto"/>
                <w:w w:val="97"/>
              </w:rPr>
              <w:t>Reconciliation to consolidated operating income:</w:t>
            </w:r>
          </w:p>
        </w:tc>
        <w:tc>
          <w:tcPr>
            <w:tcW w:w="39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203"/>
        </w:trPr>
        <w:tc>
          <w:tcPr>
            <w:tcW w:w="7340" w:type="dxa"/>
            <w:vAlign w:val="bottom"/>
            <w:gridSpan w:val="3"/>
          </w:tcPr>
          <w:p>
            <w:pPr>
              <w:ind w:left="120"/>
              <w:spacing w:after="0"/>
              <w:rPr>
                <w:sz w:val="20"/>
                <w:szCs w:val="20"/>
                <w:color w:val="auto"/>
              </w:rPr>
            </w:pPr>
            <w:r>
              <w:rPr>
                <w:rFonts w:ascii="Arial" w:cs="Arial" w:eastAsia="Arial" w:hAnsi="Arial"/>
                <w:sz w:val="16"/>
                <w:szCs w:val="16"/>
                <w:color w:val="auto"/>
              </w:rPr>
              <w:t>Reportable segment operating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1,632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2,197</w:t>
            </w:r>
          </w:p>
        </w:tc>
      </w:tr>
      <w:tr>
        <w:trPr>
          <w:trHeight w:val="205"/>
        </w:trPr>
        <w:tc>
          <w:tcPr>
            <w:tcW w:w="73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Other businesses (a)</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3"/>
        </w:trPr>
        <w:tc>
          <w:tcPr>
            <w:tcW w:w="7340" w:type="dxa"/>
            <w:vAlign w:val="bottom"/>
            <w:gridSpan w:val="3"/>
          </w:tcPr>
          <w:p>
            <w:pPr>
              <w:ind w:left="180"/>
              <w:spacing w:after="0"/>
              <w:rPr>
                <w:sz w:val="20"/>
                <w:szCs w:val="20"/>
                <w:color w:val="auto"/>
              </w:rPr>
            </w:pPr>
            <w:r>
              <w:rPr>
                <w:rFonts w:ascii="Arial" w:cs="Arial" w:eastAsia="Arial" w:hAnsi="Arial"/>
                <w:sz w:val="16"/>
                <w:szCs w:val="16"/>
                <w:color w:val="auto"/>
              </w:rPr>
              <w:t>Unallocated transactions (b)</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w:t>
            </w:r>
          </w:p>
        </w:tc>
      </w:tr>
      <w:tr>
        <w:trPr>
          <w:trHeight w:val="205"/>
        </w:trPr>
        <w:tc>
          <w:tcPr>
            <w:tcW w:w="73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Impact of purchase accounting (c)</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3"/>
        </w:trPr>
        <w:tc>
          <w:tcPr>
            <w:tcW w:w="7340" w:type="dxa"/>
            <w:vAlign w:val="bottom"/>
            <w:gridSpan w:val="3"/>
          </w:tcPr>
          <w:p>
            <w:pPr>
              <w:ind w:left="180"/>
              <w:spacing w:after="0"/>
              <w:rPr>
                <w:sz w:val="20"/>
                <w:szCs w:val="20"/>
                <w:color w:val="auto"/>
              </w:rPr>
            </w:pPr>
            <w:r>
              <w:rPr>
                <w:rFonts w:ascii="Arial" w:cs="Arial" w:eastAsia="Arial" w:hAnsi="Arial"/>
                <w:sz w:val="16"/>
                <w:szCs w:val="16"/>
                <w:color w:val="auto"/>
              </w:rPr>
              <w:t>Amortization of intangibles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05"/>
        </w:trPr>
        <w:tc>
          <w:tcPr>
            <w:tcW w:w="73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Transaction-related (income) expenses (d)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7340" w:type="dxa"/>
            <w:vAlign w:val="bottom"/>
            <w:gridSpan w:val="3"/>
          </w:tcPr>
          <w:p>
            <w:pPr>
              <w:ind w:left="180"/>
              <w:spacing w:after="0"/>
              <w:rPr>
                <w:sz w:val="20"/>
                <w:szCs w:val="20"/>
                <w:color w:val="auto"/>
              </w:rPr>
            </w:pPr>
            <w:r>
              <w:rPr>
                <w:rFonts w:ascii="Arial" w:cs="Arial" w:eastAsia="Arial" w:hAnsi="Arial"/>
                <w:sz w:val="16"/>
                <w:szCs w:val="16"/>
                <w:color w:val="auto"/>
              </w:rPr>
              <w:t>Stock-based compensation expense (e)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04"/>
        </w:trPr>
        <w:tc>
          <w:tcPr>
            <w:tcW w:w="73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Other corporate expenses (f)</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197"/>
        </w:trPr>
        <w:tc>
          <w:tcPr>
            <w:tcW w:w="7340" w:type="dxa"/>
            <w:vAlign w:val="bottom"/>
            <w:gridSpan w:val="3"/>
          </w:tcPr>
          <w:p>
            <w:pPr>
              <w:ind w:left="440"/>
              <w:spacing w:after="0"/>
              <w:rPr>
                <w:sz w:val="20"/>
                <w:szCs w:val="20"/>
                <w:color w:val="auto"/>
              </w:rPr>
            </w:pPr>
            <w:r>
              <w:rPr>
                <w:rFonts w:ascii="Arial" w:cs="Arial" w:eastAsia="Arial" w:hAnsi="Arial"/>
                <w:sz w:val="16"/>
                <w:szCs w:val="16"/>
                <w:color w:val="auto"/>
              </w:rPr>
              <w:t>Total consolidated operating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1,550</w:t>
            </w:r>
          </w:p>
        </w:tc>
      </w:tr>
      <w:tr>
        <w:trPr>
          <w:trHeight w:val="20"/>
        </w:trPr>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8" w:lineRule="exact"/>
        <w:rPr>
          <w:sz w:val="20"/>
          <w:szCs w:val="20"/>
          <w:color w:val="auto"/>
        </w:rPr>
      </w:pPr>
    </w:p>
    <w:p>
      <w:pPr>
        <w:ind w:left="300" w:right="480" w:hanging="294"/>
        <w:spacing w:after="0" w:line="234" w:lineRule="auto"/>
        <w:tabs>
          <w:tab w:leader="none" w:pos="312"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businesses consists of: 1) Dell’s resale of standalone VMware, Inc. products and services, “VMware Resale,” 2) Secureworks, and 3) Virtustream, and do not meet the requirements for a reportable segment, either individually or collectively.</w:t>
      </w:r>
    </w:p>
    <w:p>
      <w:pPr>
        <w:spacing w:after="0" w:line="1" w:lineRule="exact"/>
        <w:rPr>
          <w:rFonts w:ascii="Arial" w:cs="Arial" w:eastAsia="Arial" w:hAnsi="Arial"/>
          <w:sz w:val="16"/>
          <w:szCs w:val="16"/>
          <w:color w:val="auto"/>
        </w:rPr>
      </w:pPr>
    </w:p>
    <w:p>
      <w:pPr>
        <w:ind w:left="300" w:hanging="294"/>
        <w:spacing w:after="0" w:line="234"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Unallocated transactions includes other corporate items that are not allocated to Dell Technologies’ reportable segments.</w:t>
      </w:r>
    </w:p>
    <w:p>
      <w:pPr>
        <w:ind w:left="300" w:hanging="294"/>
        <w:spacing w:after="0" w:line="234"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Impact of purchase accounting includes non-cash purchase accounting adjustments that are primarily related to the EMC merger transaction.</w:t>
      </w:r>
    </w:p>
    <w:p>
      <w:pPr>
        <w:ind w:left="300" w:right="220" w:hanging="294"/>
        <w:spacing w:after="0" w:line="234"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Transaction-related (income) expenses includes acquisition, integration, and divestiture related costs. From time to time, this category also may include transaction-related income related to divestitures of businesses or asset sales.</w:t>
      </w:r>
    </w:p>
    <w:p>
      <w:pPr>
        <w:spacing w:after="0" w:line="1" w:lineRule="exact"/>
        <w:rPr>
          <w:rFonts w:ascii="Arial" w:cs="Arial" w:eastAsia="Arial" w:hAnsi="Arial"/>
          <w:sz w:val="16"/>
          <w:szCs w:val="16"/>
          <w:color w:val="auto"/>
        </w:rPr>
      </w:pPr>
    </w:p>
    <w:p>
      <w:pPr>
        <w:ind w:left="300" w:hanging="294"/>
        <w:spacing w:after="0" w:line="234"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Stock-based compensation expense consists of equity awards granted based on the estimated fair value of those awards at grant date.</w:t>
      </w:r>
    </w:p>
    <w:p>
      <w:pPr>
        <w:ind w:left="300" w:right="80" w:hanging="294"/>
        <w:spacing w:after="0" w:line="239" w:lineRule="auto"/>
        <w:tabs>
          <w:tab w:leader="none" w:pos="276"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corporate expenses includes impairment charges, incentive charges related to equity investments, severance, payroll taxes associated with stock-based compensation, facilities action, and other costs.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w:t>
      </w:r>
    </w:p>
    <w:p>
      <w:pPr>
        <w:sectPr>
          <w:pgSz w:w="11900" w:h="16840" w:orient="portrait"/>
          <w:cols w:equalWidth="0" w:num="1">
            <w:col w:w="10380"/>
          </w:cols>
          <w:pgMar w:left="660" w:top="1419" w:right="860"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SUPPLEMENTAL SELECTED NON-GAAP FINANCIAL MEASURES</w:t>
      </w:r>
    </w:p>
    <w:p>
      <w:pPr>
        <w:spacing w:after="0" w:line="328"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These tables present information about the Company’s non-GAAP gross margin, non-GAAP operating expenses, non-GAAP operating income, non-GAAP net income, non-GAAP net income attributable to Dell Technologies Inc. - basic and diluted, non-GAAP earnings per share attributable to Dell Technologies Inc. - basic, and non-GAAP earnings per share attributable to Dell Technologies Inc. - diluted, which are non- GAAP financial measures provided as a supplement to the results provided in accordance with generally accepted accounting principles in the United States of America (“GAAP”). A detailed discussion of Dell Technologies’ reasons for including these non-GAAP financial measures, the limitations associated with these measures, the items excluded from these measures, and our reason for excluding those items are presented in “Management’s Discussion and Analysis of Financial Condition and Results of Operations — Non-GAAP Financial Measures” in our periodic reports filed with the SEC. Dell Technologies encourages investors to review the non-GAAP discussion in these reports in conjunction with the presentation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40" w:orient="portrait"/>
          <w:cols w:equalWidth="0" w:num="1">
            <w:col w:w="10560"/>
          </w:cols>
          <w:pgMar w:left="660" w:top="1419" w:right="68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DELL TECHNOLOGIES INC.</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Selected Financial Measures</w:t>
      </w:r>
    </w:p>
    <w:p>
      <w:pPr>
        <w:jc w:val="center"/>
        <w:spacing w:after="0"/>
        <w:rPr>
          <w:sz w:val="20"/>
          <w:szCs w:val="20"/>
          <w:color w:val="auto"/>
        </w:rPr>
      </w:pPr>
      <w:r>
        <w:rPr>
          <w:rFonts w:ascii="Arial" w:cs="Arial" w:eastAsia="Arial" w:hAnsi="Arial"/>
          <w:sz w:val="16"/>
          <w:szCs w:val="16"/>
          <w:b w:val="1"/>
          <w:bCs w:val="1"/>
          <w:color w:val="auto"/>
        </w:rPr>
        <w:t>(in millions, except per share amounts and percentages;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right"/>
              <w:ind w:right="422"/>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6"/>
                <w:szCs w:val="16"/>
                <w:b w:val="1"/>
                <w:bCs w:val="1"/>
                <w:color w:val="auto"/>
              </w:rPr>
              <w:t>May 5, 2023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6"/>
                <w:szCs w:val="16"/>
                <w:b w:val="1"/>
                <w:bCs w:val="1"/>
                <w:color w:val="auto"/>
              </w:rPr>
              <w:t>April 29, 2022</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(a)</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20,922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26,116</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8"/>
              </w:rPr>
              <w:t>(20)%</w:t>
            </w:r>
          </w:p>
        </w:tc>
        <w:tc>
          <w:tcPr>
            <w:tcW w:w="0" w:type="dxa"/>
            <w:vAlign w:val="bottom"/>
          </w:tcPr>
          <w:p>
            <w:pPr>
              <w:spacing w:after="0"/>
              <w:rPr>
                <w:sz w:val="1"/>
                <w:szCs w:val="1"/>
                <w:color w:val="auto"/>
              </w:rPr>
            </w:pPr>
          </w:p>
        </w:tc>
      </w:tr>
      <w:tr>
        <w:trPr>
          <w:trHeight w:val="203"/>
        </w:trPr>
        <w:tc>
          <w:tcPr>
            <w:tcW w:w="58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5,164</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5,941</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8"/>
              </w:rPr>
              <w:t>(13)%</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 of non-GAAP net revenue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24.7</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22.7</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40"/>
              <w:spacing w:after="0"/>
              <w:rPr>
                <w:sz w:val="20"/>
                <w:szCs w:val="20"/>
                <w:color w:val="auto"/>
              </w:rPr>
            </w:pPr>
            <w:r>
              <w:rPr>
                <w:rFonts w:ascii="Arial" w:cs="Arial" w:eastAsia="Arial" w:hAnsi="Arial"/>
                <w:sz w:val="16"/>
                <w:szCs w:val="16"/>
                <w:color w:val="auto"/>
              </w:rPr>
              <w:t>Non-GAAP operating expenses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3,566</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3,806</w:t>
            </w:r>
          </w:p>
        </w:tc>
        <w:tc>
          <w:tcPr>
            <w:tcW w:w="1120" w:type="dxa"/>
            <w:vAlign w:val="bottom"/>
            <w:gridSpan w:val="2"/>
          </w:tcPr>
          <w:p>
            <w:pPr>
              <w:jc w:val="center"/>
              <w:ind w:left="2"/>
              <w:spacing w:after="0"/>
              <w:rPr>
                <w:sz w:val="20"/>
                <w:szCs w:val="20"/>
                <w:color w:val="auto"/>
              </w:rPr>
            </w:pPr>
            <w:r>
              <w:rPr>
                <w:rFonts w:ascii="Arial" w:cs="Arial" w:eastAsia="Arial" w:hAnsi="Arial"/>
                <w:sz w:val="16"/>
                <w:szCs w:val="16"/>
                <w:color w:val="auto"/>
                <w:w w:val="94"/>
              </w:rPr>
              <w:t>(6)%</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 of non-GAAP net revenue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14.5</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Non-GAAP operating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1,598</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2,135</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8"/>
              </w:rPr>
              <w:t>(25)%</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 of non-GAAP net revenue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7.6</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8.2</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963</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1,434</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8"/>
              </w:rPr>
              <w:t>(33)%</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 of non-GAAP net revenue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4.5</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5.5</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20"/>
              <w:spacing w:after="0"/>
              <w:rPr>
                <w:sz w:val="20"/>
                <w:szCs w:val="20"/>
                <w:color w:val="auto"/>
              </w:rPr>
            </w:pPr>
            <w:r>
              <w:rPr>
                <w:rFonts w:ascii="Arial" w:cs="Arial" w:eastAsia="Arial" w:hAnsi="Arial"/>
                <w:sz w:val="16"/>
                <w:szCs w:val="16"/>
                <w:color w:val="auto"/>
              </w:rPr>
              <w:t>Non-GAAP earnings per share - diluted</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1.31</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1.84</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8"/>
              </w:rPr>
              <w:t>(29)%</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68" w:lineRule="exact"/>
        <w:rPr>
          <w:sz w:val="20"/>
          <w:szCs w:val="20"/>
          <w:color w:val="auto"/>
        </w:rPr>
      </w:pPr>
    </w:p>
    <w:p>
      <w:pPr>
        <w:ind w:left="300" w:right="580" w:hanging="294"/>
        <w:spacing w:after="0" w:line="252" w:lineRule="auto"/>
        <w:tabs>
          <w:tab w:leader="none" w:pos="376"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in the first quarter of Fiscal 2023, non-GAAP net revenue no longer differs from net revenue, the most comparable GAAP financial measure.</w:t>
      </w:r>
    </w:p>
    <w:p>
      <w:pPr>
        <w:spacing w:after="0" w:line="27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Amounts are based on underlying data and may not visually foot due to rounding.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40" w:orient="portrait"/>
          <w:cols w:equalWidth="0" w:num="1">
            <w:col w:w="10540"/>
          </w:cols>
          <w:pgMar w:left="660" w:top="1419" w:right="700"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6"/>
          <w:szCs w:val="16"/>
          <w:b w:val="1"/>
          <w:bCs w:val="1"/>
          <w:color w:val="auto"/>
        </w:rPr>
        <w:t>DELL TECHNOLOGIES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Reconciliation of Selected Non-GAAP Financial Measures</w:t>
      </w:r>
    </w:p>
    <w:p>
      <w:pPr>
        <w:jc w:val="center"/>
        <w:ind w:right="60"/>
        <w:spacing w:after="0"/>
        <w:rPr>
          <w:sz w:val="20"/>
          <w:szCs w:val="20"/>
          <w:color w:val="auto"/>
        </w:rPr>
      </w:pPr>
      <w:r>
        <w:rPr>
          <w:rFonts w:ascii="Arial" w:cs="Arial" w:eastAsia="Arial" w:hAnsi="Arial"/>
          <w:sz w:val="16"/>
          <w:szCs w:val="16"/>
          <w:b w:val="1"/>
          <w:bCs w:val="1"/>
          <w:color w:val="auto"/>
        </w:rPr>
        <w:t>(in millions, except percentages; unaudited; continued on next page)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May 5, 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6"/>
              </w:rPr>
              <w:t>April 29, 2022</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5,784</w:t>
            </w:r>
          </w:p>
        </w:tc>
        <w:tc>
          <w:tcPr>
            <w:tcW w:w="114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(13)%</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80"/>
              <w:spacing w:after="0"/>
              <w:rPr>
                <w:sz w:val="20"/>
                <w:szCs w:val="20"/>
                <w:color w:val="auto"/>
              </w:rPr>
            </w:pPr>
            <w:r>
              <w:rPr>
                <w:rFonts w:ascii="Arial" w:cs="Arial" w:eastAsia="Arial" w:hAnsi="Arial"/>
                <w:sz w:val="16"/>
                <w:szCs w:val="16"/>
                <w:color w:val="auto"/>
              </w:rPr>
              <w:t>Impact of purchase accounting</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corporate expenses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Non-GAAP gross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w:t>
            </w:r>
          </w:p>
        </w:tc>
        <w:tc>
          <w:tcPr>
            <w:tcW w:w="114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14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80"/>
              <w:spacing w:after="0"/>
              <w:rPr>
                <w:sz w:val="20"/>
                <w:szCs w:val="20"/>
                <w:color w:val="auto"/>
              </w:rPr>
            </w:pPr>
            <w:r>
              <w:rPr>
                <w:rFonts w:ascii="Arial" w:cs="Arial" w:eastAsia="Arial" w:hAnsi="Arial"/>
                <w:sz w:val="16"/>
                <w:szCs w:val="16"/>
                <w:color w:val="auto"/>
              </w:rPr>
              <w:t>Impact of purchase accounting</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Transaction-related (income) expenses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corporate expenses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40" w:type="dxa"/>
            <w:vAlign w:val="bottom"/>
          </w:tcPr>
          <w:p>
            <w:pPr>
              <w:ind w:left="300"/>
              <w:spacing w:after="0"/>
              <w:rPr>
                <w:sz w:val="20"/>
                <w:szCs w:val="20"/>
                <w:color w:val="auto"/>
              </w:rPr>
            </w:pPr>
            <w:r>
              <w:rPr>
                <w:rFonts w:ascii="Arial" w:cs="Arial" w:eastAsia="Arial" w:hAnsi="Arial"/>
                <w:sz w:val="16"/>
                <w:szCs w:val="16"/>
                <w:color w:val="auto"/>
              </w:rPr>
              <w:t>Non-GAAP operating expenses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3,566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3,806</w:t>
            </w:r>
          </w:p>
        </w:tc>
        <w:tc>
          <w:tcPr>
            <w:tcW w:w="1140" w:type="dxa"/>
            <w:vAlign w:val="bottom"/>
            <w:gridSpan w:val="2"/>
          </w:tcPr>
          <w:p>
            <w:pPr>
              <w:jc w:val="center"/>
              <w:ind w:left="22"/>
              <w:spacing w:after="0"/>
              <w:rPr>
                <w:sz w:val="20"/>
                <w:szCs w:val="20"/>
                <w:color w:val="auto"/>
              </w:rPr>
            </w:pPr>
            <w:r>
              <w:rPr>
                <w:rFonts w:ascii="Arial" w:cs="Arial" w:eastAsia="Arial" w:hAnsi="Arial"/>
                <w:sz w:val="16"/>
                <w:szCs w:val="16"/>
                <w:color w:val="auto"/>
                <w:w w:val="94"/>
              </w:rPr>
              <w:t>(6)%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Operating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1,069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1,550</w:t>
            </w:r>
          </w:p>
        </w:tc>
        <w:tc>
          <w:tcPr>
            <w:tcW w:w="114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(31)%</w:t>
            </w: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Non-GAAP adjustments: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purchase accounting</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80"/>
              <w:spacing w:after="0"/>
              <w:rPr>
                <w:sz w:val="20"/>
                <w:szCs w:val="20"/>
                <w:color w:val="auto"/>
              </w:rPr>
            </w:pPr>
            <w:r>
              <w:rPr>
                <w:rFonts w:ascii="Arial" w:cs="Arial" w:eastAsia="Arial" w:hAnsi="Arial"/>
                <w:sz w:val="16"/>
                <w:szCs w:val="16"/>
                <w:color w:val="auto"/>
              </w:rPr>
              <w:t>Transaction-related expenses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corporate expenses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Non-GAAP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14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(25)%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14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8"/>
              </w:rPr>
              <w:t>(46)%</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80"/>
              <w:spacing w:after="0"/>
              <w:rPr>
                <w:sz w:val="20"/>
                <w:szCs w:val="20"/>
                <w:color w:val="auto"/>
              </w:rPr>
            </w:pPr>
            <w:r>
              <w:rPr>
                <w:rFonts w:ascii="Arial" w:cs="Arial" w:eastAsia="Arial" w:hAnsi="Arial"/>
                <w:sz w:val="16"/>
                <w:szCs w:val="16"/>
                <w:color w:val="auto"/>
              </w:rPr>
              <w:t>Impact of purchase accounting</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Transaction-related (income) expenses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corporate expenses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80"/>
              <w:spacing w:after="0"/>
              <w:rPr>
                <w:sz w:val="20"/>
                <w:szCs w:val="20"/>
                <w:color w:val="auto"/>
              </w:rPr>
            </w:pPr>
            <w:r>
              <w:rPr>
                <w:rFonts w:ascii="Arial" w:cs="Arial" w:eastAsia="Arial" w:hAnsi="Arial"/>
                <w:sz w:val="16"/>
                <w:szCs w:val="16"/>
                <w:color w:val="auto"/>
              </w:rPr>
              <w:t>Fair value adjustments on equity investments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Aggregate adjustment for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40" w:type="dxa"/>
            <w:vAlign w:val="bottom"/>
          </w:tcPr>
          <w:p>
            <w:pPr>
              <w:ind w:left="300"/>
              <w:spacing w:after="0"/>
              <w:rPr>
                <w:sz w:val="20"/>
                <w:szCs w:val="20"/>
                <w:color w:val="auto"/>
              </w:rPr>
            </w:pPr>
            <w:r>
              <w:rPr>
                <w:rFonts w:ascii="Arial" w:cs="Arial" w:eastAsia="Arial" w:hAnsi="Arial"/>
                <w:sz w:val="16"/>
                <w:szCs w:val="16"/>
                <w:color w:val="auto"/>
              </w:rPr>
              <w:t>Non-GAAP 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963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1,434</w:t>
            </w:r>
          </w:p>
        </w:tc>
        <w:tc>
          <w:tcPr>
            <w:tcW w:w="114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40" w:orient="portrait"/>
          <w:cols w:equalWidth="0" w:num="1">
            <w:col w:w="10500"/>
          </w:cols>
          <w:pgMar w:left="700" w:top="1419" w:right="700" w:bottom="1440" w:gutter="0" w:footer="0" w:header="0"/>
        </w:sectPr>
      </w:pPr>
    </w:p>
    <w:bookmarkStart w:id="15" w:name="page16"/>
    <w:bookmarkEnd w:id="15"/>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Selected Non-GAAP Financial Measures</w:t>
      </w:r>
    </w:p>
    <w:p>
      <w:pPr>
        <w:jc w:val="center"/>
        <w:ind w:right="20"/>
        <w:spacing w:after="0"/>
        <w:rPr>
          <w:sz w:val="20"/>
          <w:szCs w:val="20"/>
          <w:color w:val="auto"/>
        </w:rPr>
      </w:pPr>
      <w:r>
        <w:rPr>
          <w:rFonts w:ascii="Arial" w:cs="Arial" w:eastAsia="Arial" w:hAnsi="Arial"/>
          <w:sz w:val="14"/>
          <w:szCs w:val="14"/>
          <w:b w:val="1"/>
          <w:bCs w:val="1"/>
          <w:color w:val="auto"/>
        </w:rPr>
        <w:t>(in millions, except percentages and per share amounts; unaudited; continued)</w:t>
      </w:r>
    </w:p>
    <w:p>
      <w:pPr>
        <w:spacing w:after="0" w:line="200" w:lineRule="exact"/>
        <w:rPr>
          <w:sz w:val="20"/>
          <w:szCs w:val="20"/>
          <w:color w:val="auto"/>
        </w:rPr>
      </w:pPr>
    </w:p>
    <w:p>
      <w:pPr>
        <w:spacing w:after="0" w:line="256"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For the Three Months Ended May 5, 2023</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line="233" w:lineRule="auto"/>
        <w:rPr>
          <w:sz w:val="20"/>
          <w:szCs w:val="20"/>
          <w:color w:val="auto"/>
        </w:rPr>
      </w:pPr>
      <w:r>
        <w:rPr>
          <w:rFonts w:ascii="Arial" w:cs="Arial" w:eastAsia="Arial" w:hAnsi="Arial"/>
          <w:sz w:val="14"/>
          <w:szCs w:val="14"/>
          <w:color w:val="auto"/>
        </w:rPr>
        <w:t>Net income attributable to Dell Technologies Inc. - basic</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Aggregate</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Impact of</w:t>
            </w:r>
          </w:p>
        </w:tc>
        <w:tc>
          <w:tcPr>
            <w:tcW w:w="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Transaction-</w:t>
            </w:r>
          </w:p>
        </w:tc>
        <w:tc>
          <w:tcPr>
            <w:tcW w:w="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Stock-based</w:t>
            </w: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for non-</w:t>
            </w:r>
          </w:p>
        </w:tc>
        <w:tc>
          <w:tcPr>
            <w:tcW w:w="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4"/>
        </w:trPr>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purchase</w:t>
            </w:r>
          </w:p>
        </w:tc>
        <w:tc>
          <w:tcPr>
            <w:tcW w:w="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related</w:t>
            </w:r>
          </w:p>
        </w:tc>
        <w:tc>
          <w:tcPr>
            <w:tcW w:w="8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on equity</w:t>
            </w: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for income</w:t>
            </w: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intangibles</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expense</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investments</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taxes</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436"/>
        </w:trPr>
        <w:tc>
          <w:tcPr>
            <w:tcW w:w="500" w:type="dxa"/>
            <w:vAlign w:val="bottom"/>
          </w:tcPr>
          <w:p>
            <w:pPr>
              <w:jc w:val="right"/>
              <w:spacing w:after="0"/>
              <w:rPr>
                <w:sz w:val="20"/>
                <w:szCs w:val="20"/>
                <w:color w:val="auto"/>
              </w:rPr>
            </w:pPr>
            <w:r>
              <w:rPr>
                <w:rFonts w:ascii="Arial" w:cs="Arial" w:eastAsia="Arial" w:hAnsi="Arial"/>
                <w:sz w:val="16"/>
                <w:szCs w:val="16"/>
                <w:color w:val="auto"/>
              </w:rPr>
              <w:t>$ 583</w:t>
            </w:r>
          </w:p>
        </w:tc>
        <w:tc>
          <w:tcPr>
            <w:tcW w:w="1080" w:type="dxa"/>
            <w:vAlign w:val="bottom"/>
            <w:gridSpan w:val="2"/>
          </w:tcPr>
          <w:p>
            <w:pPr>
              <w:jc w:val="right"/>
              <w:ind w:right="28"/>
              <w:spacing w:after="0"/>
              <w:rPr>
                <w:sz w:val="20"/>
                <w:szCs w:val="20"/>
                <w:color w:val="auto"/>
              </w:rPr>
            </w:pPr>
            <w:r>
              <w:rPr>
                <w:rFonts w:ascii="Arial" w:cs="Arial" w:eastAsia="Arial" w:hAnsi="Arial"/>
                <w:sz w:val="16"/>
                <w:szCs w:val="16"/>
                <w:color w:val="auto"/>
              </w:rPr>
              <w:t>199</w:t>
            </w:r>
          </w:p>
        </w:tc>
        <w:tc>
          <w:tcPr>
            <w:tcW w:w="960" w:type="dxa"/>
            <w:vAlign w:val="bottom"/>
            <w:gridSpan w:val="2"/>
          </w:tcPr>
          <w:p>
            <w:pPr>
              <w:jc w:val="right"/>
              <w:ind w:right="88"/>
              <w:spacing w:after="0"/>
              <w:rPr>
                <w:sz w:val="20"/>
                <w:szCs w:val="20"/>
                <w:color w:val="auto"/>
              </w:rPr>
            </w:pPr>
            <w:r>
              <w:rPr>
                <w:rFonts w:ascii="Arial" w:cs="Arial" w:eastAsia="Arial" w:hAnsi="Arial"/>
                <w:sz w:val="16"/>
                <w:szCs w:val="16"/>
                <w:color w:val="auto"/>
              </w:rPr>
              <w:t>4</w:t>
            </w:r>
          </w:p>
        </w:tc>
        <w:tc>
          <w:tcPr>
            <w:tcW w:w="1040" w:type="dxa"/>
            <w:vAlign w:val="bottom"/>
            <w:gridSpan w:val="2"/>
          </w:tcPr>
          <w:p>
            <w:pPr>
              <w:jc w:val="right"/>
              <w:ind w:right="28"/>
              <w:spacing w:after="0"/>
              <w:rPr>
                <w:sz w:val="20"/>
                <w:szCs w:val="20"/>
                <w:color w:val="auto"/>
              </w:rPr>
            </w:pPr>
            <w:r>
              <w:rPr>
                <w:rFonts w:ascii="Arial" w:cs="Arial" w:eastAsia="Arial" w:hAnsi="Arial"/>
                <w:sz w:val="16"/>
                <w:szCs w:val="16"/>
                <w:color w:val="auto"/>
              </w:rPr>
              <w:t>(1)</w:t>
            </w: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225</w:t>
            </w:r>
          </w:p>
        </w:tc>
        <w:tc>
          <w:tcPr>
            <w:tcW w:w="820" w:type="dxa"/>
            <w:vAlign w:val="bottom"/>
            <w:gridSpan w:val="2"/>
          </w:tcPr>
          <w:p>
            <w:pPr>
              <w:jc w:val="right"/>
              <w:ind w:right="48"/>
              <w:spacing w:after="0"/>
              <w:rPr>
                <w:sz w:val="20"/>
                <w:szCs w:val="20"/>
                <w:color w:val="auto"/>
              </w:rPr>
            </w:pPr>
            <w:r>
              <w:rPr>
                <w:rFonts w:ascii="Arial" w:cs="Arial" w:eastAsia="Arial" w:hAnsi="Arial"/>
                <w:sz w:val="16"/>
                <w:szCs w:val="16"/>
                <w:color w:val="auto"/>
              </w:rPr>
              <w:t>99</w:t>
            </w:r>
          </w:p>
        </w:tc>
        <w:tc>
          <w:tcPr>
            <w:tcW w:w="1020" w:type="dxa"/>
            <w:vAlign w:val="bottom"/>
            <w:gridSpan w:val="2"/>
          </w:tcPr>
          <w:p>
            <w:pPr>
              <w:jc w:val="right"/>
              <w:ind w:right="48"/>
              <w:spacing w:after="0"/>
              <w:rPr>
                <w:sz w:val="20"/>
                <w:szCs w:val="20"/>
                <w:color w:val="auto"/>
              </w:rPr>
            </w:pPr>
            <w:r>
              <w:rPr>
                <w:rFonts w:ascii="Arial" w:cs="Arial" w:eastAsia="Arial" w:hAnsi="Arial"/>
                <w:sz w:val="16"/>
                <w:szCs w:val="16"/>
                <w:color w:val="auto"/>
              </w:rPr>
              <w:t>15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940" w:type="dxa"/>
            <w:vAlign w:val="bottom"/>
            <w:gridSpan w:val="2"/>
          </w:tcPr>
          <w:p>
            <w:pPr>
              <w:jc w:val="right"/>
              <w:ind w:right="28"/>
              <w:spacing w:after="0"/>
              <w:rPr>
                <w:sz w:val="20"/>
                <w:szCs w:val="20"/>
                <w:color w:val="auto"/>
              </w:rPr>
            </w:pPr>
            <w:r>
              <w:rPr>
                <w:rFonts w:ascii="Arial" w:cs="Arial" w:eastAsia="Arial" w:hAnsi="Arial"/>
                <w:sz w:val="16"/>
                <w:szCs w:val="16"/>
                <w:color w:val="auto"/>
              </w:rPr>
              <w:t>(2)</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$ 966</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-319405</wp:posOffset>
            </wp:positionV>
            <wp:extent cx="6707505" cy="30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07505" cy="30480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1500" w:space="20"/>
            <w:col w:w="9040"/>
          </w:cols>
          <w:pgMar w:left="660" w:top="1440" w:right="680"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share -</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$ 0.81</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$ 1.33</w:t>
            </w:r>
          </w:p>
        </w:tc>
        <w:tc>
          <w:tcPr>
            <w:tcW w:w="0" w:type="dxa"/>
            <w:vAlign w:val="bottom"/>
          </w:tcPr>
          <w:p>
            <w:pPr>
              <w:spacing w:after="0"/>
              <w:rPr>
                <w:sz w:val="1"/>
                <w:szCs w:val="1"/>
                <w:color w:val="auto"/>
              </w:rPr>
            </w:pPr>
          </w:p>
        </w:tc>
      </w:tr>
      <w:tr>
        <w:trPr>
          <w:trHeight w:val="188"/>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5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Earnings per share -</w:t>
            </w:r>
          </w:p>
        </w:tc>
        <w:tc>
          <w:tcPr>
            <w:tcW w:w="580" w:type="dxa"/>
            <w:vAlign w:val="bottom"/>
            <w:gridSpan w:val="2"/>
            <w:vMerge w:val="restart"/>
          </w:tcPr>
          <w:p>
            <w:pPr>
              <w:jc w:val="right"/>
              <w:spacing w:after="0"/>
              <w:rPr>
                <w:sz w:val="20"/>
                <w:szCs w:val="20"/>
                <w:color w:val="auto"/>
              </w:rPr>
            </w:pPr>
            <w:r>
              <w:rPr>
                <w:rFonts w:ascii="Arial" w:cs="Arial" w:eastAsia="Arial" w:hAnsi="Arial"/>
                <w:sz w:val="16"/>
                <w:szCs w:val="16"/>
                <w:color w:val="auto"/>
              </w:rPr>
              <w:t>$ 0.79</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$ 1.31</w:t>
            </w:r>
          </w:p>
        </w:tc>
        <w:tc>
          <w:tcPr>
            <w:tcW w:w="0" w:type="dxa"/>
            <w:vAlign w:val="bottom"/>
          </w:tcPr>
          <w:p>
            <w:pPr>
              <w:spacing w:after="0"/>
              <w:rPr>
                <w:sz w:val="1"/>
                <w:szCs w:val="1"/>
                <w:color w:val="auto"/>
              </w:rPr>
            </w:pPr>
          </w:p>
        </w:tc>
      </w:tr>
      <w:tr>
        <w:trPr>
          <w:trHeight w:val="187"/>
        </w:trPr>
        <w:tc>
          <w:tcPr>
            <w:tcW w:w="1440" w:type="dxa"/>
            <w:vAlign w:val="bottom"/>
          </w:tcPr>
          <w:p>
            <w:pPr>
              <w:ind w:left="20"/>
              <w:spacing w:after="0"/>
              <w:rPr>
                <w:sz w:val="20"/>
                <w:szCs w:val="20"/>
                <w:color w:val="auto"/>
              </w:rPr>
            </w:pPr>
            <w:r>
              <w:rPr>
                <w:rFonts w:ascii="Arial" w:cs="Arial" w:eastAsia="Arial" w:hAnsi="Arial"/>
                <w:sz w:val="14"/>
                <w:szCs w:val="14"/>
                <w:color w:val="auto"/>
              </w:rPr>
              <w:t>diluted</w:t>
            </w:r>
          </w:p>
        </w:tc>
        <w:tc>
          <w:tcPr>
            <w:tcW w:w="5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Weighted-average</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20"/>
              <w:spacing w:after="0" w:line="144" w:lineRule="exact"/>
              <w:rPr>
                <w:sz w:val="20"/>
                <w:szCs w:val="20"/>
                <w:color w:val="auto"/>
              </w:rPr>
            </w:pPr>
            <w:r>
              <w:rPr>
                <w:rFonts w:ascii="Arial" w:cs="Arial" w:eastAsia="Arial" w:hAnsi="Arial"/>
                <w:sz w:val="14"/>
                <w:szCs w:val="14"/>
                <w:color w:val="auto"/>
              </w:rPr>
              <w:t>shares outstanding -</w:t>
            </w:r>
          </w:p>
        </w:tc>
        <w:tc>
          <w:tcPr>
            <w:tcW w:w="1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724</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187"/>
        </w:trPr>
        <w:tc>
          <w:tcPr>
            <w:tcW w:w="1440" w:type="dxa"/>
            <w:vAlign w:val="bottom"/>
          </w:tcPr>
          <w:p>
            <w:pPr>
              <w:ind w:left="2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Weighted-average</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shares outstanding -</w:t>
            </w:r>
          </w:p>
        </w:tc>
        <w:tc>
          <w:tcPr>
            <w:tcW w:w="16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188"/>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1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7"/>
          </w:tcPr>
          <w:p>
            <w:pPr>
              <w:jc w:val="right"/>
              <w:ind w:right="488"/>
              <w:spacing w:after="0"/>
              <w:rPr>
                <w:sz w:val="20"/>
                <w:szCs w:val="20"/>
                <w:color w:val="auto"/>
              </w:rPr>
            </w:pPr>
            <w:r>
              <w:rPr>
                <w:rFonts w:ascii="Arial" w:cs="Arial" w:eastAsia="Arial" w:hAnsi="Arial"/>
                <w:sz w:val="14"/>
                <w:szCs w:val="14"/>
                <w:b w:val="1"/>
                <w:bCs w:val="1"/>
                <w:color w:val="auto"/>
              </w:rPr>
              <w:t>For the Three Months Ended April 29, 2022</w:t>
            </w: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Impact of</w:t>
            </w:r>
          </w:p>
        </w:tc>
        <w:tc>
          <w:tcPr>
            <w:tcW w:w="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Transaction-</w:t>
            </w:r>
          </w:p>
        </w:tc>
        <w:tc>
          <w:tcPr>
            <w:tcW w:w="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Stock-based</w:t>
            </w: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for non-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5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GAAP</w:t>
            </w:r>
          </w:p>
        </w:tc>
        <w:tc>
          <w:tcPr>
            <w:tcW w:w="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purchase</w:t>
            </w:r>
          </w:p>
        </w:tc>
        <w:tc>
          <w:tcPr>
            <w:tcW w:w="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related</w:t>
            </w:r>
          </w:p>
        </w:tc>
        <w:tc>
          <w:tcPr>
            <w:tcW w:w="8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on equity</w:t>
            </w: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for income</w:t>
            </w: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intangibles</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investments</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taxes</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128"/>
        </w:trPr>
        <w:tc>
          <w:tcPr>
            <w:tcW w:w="1440" w:type="dxa"/>
            <w:vAlign w:val="bottom"/>
            <w:shd w:val="clear" w:color="auto" w:fill="CCEEFF"/>
          </w:tcPr>
          <w:p>
            <w:pPr>
              <w:ind w:left="20"/>
              <w:spacing w:after="0" w:line="128"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attributable to Dell</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Technologies Inc. -</w:t>
            </w:r>
          </w:p>
        </w:tc>
        <w:tc>
          <w:tcPr>
            <w:tcW w:w="58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1,072</w:t>
            </w:r>
          </w:p>
        </w:tc>
        <w:tc>
          <w:tcPr>
            <w:tcW w:w="10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6"/>
                <w:szCs w:val="16"/>
                <w:color w:val="auto"/>
              </w:rPr>
              <w:t>243</w:t>
            </w:r>
          </w:p>
        </w:tc>
        <w:tc>
          <w:tcPr>
            <w:tcW w:w="9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9</w:t>
            </w:r>
          </w:p>
        </w:tc>
        <w:tc>
          <w:tcPr>
            <w:tcW w:w="10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6"/>
                <w:szCs w:val="16"/>
                <w:color w:val="auto"/>
              </w:rPr>
              <w:t>(2)</w:t>
            </w:r>
          </w:p>
        </w:tc>
        <w:tc>
          <w:tcPr>
            <w:tcW w:w="11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6"/>
                <w:szCs w:val="16"/>
                <w:color w:val="auto"/>
              </w:rPr>
              <w:t>232</w:t>
            </w:r>
          </w:p>
        </w:tc>
        <w:tc>
          <w:tcPr>
            <w:tcW w:w="8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6"/>
                <w:szCs w:val="16"/>
                <w:color w:val="auto"/>
              </w:rPr>
              <w:t>96</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9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6"/>
                <w:szCs w:val="16"/>
                <w:color w:val="auto"/>
              </w:rPr>
              <w:t>(2)</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$ 1,435</w:t>
            </w:r>
          </w:p>
        </w:tc>
        <w:tc>
          <w:tcPr>
            <w:tcW w:w="0" w:type="dxa"/>
            <w:vAlign w:val="bottom"/>
          </w:tcPr>
          <w:p>
            <w:pPr>
              <w:spacing w:after="0"/>
              <w:rPr>
                <w:sz w:val="1"/>
                <w:szCs w:val="1"/>
                <w:color w:val="auto"/>
              </w:rPr>
            </w:pPr>
          </w:p>
        </w:tc>
      </w:tr>
      <w:tr>
        <w:trPr>
          <w:trHeight w:val="184"/>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5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Earnings per share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1.42</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88"/>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6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Earnings per share -</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vMerge w:val="restart"/>
          </w:tcPr>
          <w:p>
            <w:pPr>
              <w:jc w:val="right"/>
              <w:ind w:right="2"/>
              <w:spacing w:after="0"/>
              <w:rPr>
                <w:sz w:val="20"/>
                <w:szCs w:val="20"/>
                <w:color w:val="auto"/>
              </w:rPr>
            </w:pPr>
            <w:r>
              <w:rPr>
                <w:rFonts w:ascii="Arial" w:cs="Arial" w:eastAsia="Arial" w:hAnsi="Arial"/>
                <w:sz w:val="16"/>
                <w:szCs w:val="16"/>
                <w:color w:val="auto"/>
              </w:rPr>
              <w:t>1.37</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87"/>
        </w:trPr>
        <w:tc>
          <w:tcPr>
            <w:tcW w:w="1440" w:type="dxa"/>
            <w:vAlign w:val="bottom"/>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Weighted-average</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20"/>
              <w:spacing w:after="0" w:line="144" w:lineRule="exact"/>
              <w:rPr>
                <w:sz w:val="20"/>
                <w:szCs w:val="20"/>
                <w:color w:val="auto"/>
              </w:rPr>
            </w:pPr>
            <w:r>
              <w:rPr>
                <w:rFonts w:ascii="Arial" w:cs="Arial" w:eastAsia="Arial" w:hAnsi="Arial"/>
                <w:sz w:val="14"/>
                <w:szCs w:val="14"/>
                <w:color w:val="auto"/>
              </w:rPr>
              <w:t>shares outstanding -</w:t>
            </w:r>
          </w:p>
        </w:tc>
        <w:tc>
          <w:tcPr>
            <w:tcW w:w="160" w:type="dxa"/>
            <w:vAlign w:val="bottom"/>
          </w:tcPr>
          <w:p>
            <w:pPr>
              <w:spacing w:after="0"/>
              <w:rPr>
                <w:sz w:val="12"/>
                <w:szCs w:val="12"/>
                <w:color w:val="auto"/>
              </w:rPr>
            </w:pPr>
          </w:p>
        </w:tc>
        <w:tc>
          <w:tcPr>
            <w:tcW w:w="420" w:type="dxa"/>
            <w:vAlign w:val="bottom"/>
            <w:vMerge w:val="restart"/>
          </w:tcPr>
          <w:p>
            <w:pPr>
              <w:jc w:val="right"/>
              <w:ind w:right="2"/>
              <w:spacing w:after="0"/>
              <w:rPr>
                <w:sz w:val="20"/>
                <w:szCs w:val="20"/>
                <w:color w:val="auto"/>
              </w:rPr>
            </w:pPr>
            <w:r>
              <w:rPr>
                <w:rFonts w:ascii="Arial" w:cs="Arial" w:eastAsia="Arial" w:hAnsi="Arial"/>
                <w:sz w:val="16"/>
                <w:szCs w:val="16"/>
                <w:color w:val="auto"/>
              </w:rPr>
              <w:t>754</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187"/>
        </w:trPr>
        <w:tc>
          <w:tcPr>
            <w:tcW w:w="1440" w:type="dxa"/>
            <w:vAlign w:val="bottom"/>
          </w:tcPr>
          <w:p>
            <w:pPr>
              <w:ind w:left="2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Weighted-average</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shares outstanding -</w:t>
            </w:r>
          </w:p>
        </w:tc>
        <w:tc>
          <w:tcPr>
            <w:tcW w:w="16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780</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188"/>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40" w:orient="portrait"/>
          <w:cols w:equalWidth="0" w:num="1">
            <w:col w:w="10560"/>
          </w:cols>
          <w:pgMar w:left="660" w:top="1440" w:right="680" w:bottom="1440" w:gutter="0" w:footer="0" w:header="0"/>
          <w:type w:val="continuous"/>
        </w:sectPr>
      </w:pPr>
    </w:p>
    <w:bookmarkStart w:id="16" w:name="page17"/>
    <w:bookmarkEnd w:id="1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2023-06-02T18:18:33Z</dcterms:created>
  <dcterms:modified xsi:type="dcterms:W3CDTF">2023-06-02T18:18:33Z</dcterms:modified>
</cp:coreProperties>
</file>