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120" w:after="40"/>
        <w:jc w:val="center"/>
        <w:rPr/>
      </w:pPr>
      <w:r>
        <w:rPr>
          <w:color w:val="000000"/>
        </w:rPr>
        <w:t> </w:t>
      </w: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Dell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80-0890963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693"/>
        <w:gridCol w:w="607"/>
        <w:gridCol w:w="610"/>
        <w:gridCol w:w="338"/>
        <w:gridCol w:w="338"/>
        <w:gridCol w:w="338"/>
        <w:gridCol w:w="109"/>
        <w:gridCol w:w="109"/>
        <w:gridCol w:w="109"/>
        <w:gridCol w:w="272"/>
        <w:gridCol w:w="272"/>
        <w:gridCol w:w="385"/>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Dell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Round Rock,</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78682</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289-3355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59" w:type="dxa"/>
        <w:jc w:val="center"/>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C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7962"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 2026, Dell Technologies Inc. (the “Company” or “Dell”) issued a press release announcing its financial results for its fiscal quarter ended July 31, 2026. A copy of the press release is furnished as Exhibit 99.1 to this current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herewith filed or furnished as exhibits to this report: </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hibit991earnings8kq2fy27.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8kq2fy27.htm">
              <w:r>
                <w:rPr>
                  <w:rStyle w:val="InternetLink"/>
                  <w:rFonts w:ascii="Times New Roman;serif" w:hAnsi="Times New Roman;serif"/>
                  <w:b w:val="false"/>
                  <w:color w:val="000080"/>
                  <w:sz w:val="20"/>
                  <w:u w:val="single"/>
                </w:rPr>
                <w:t xml:space="preserve">Press Release of Dell Technologies Inc. dated </w:t>
              </w:r>
            </w:hyperlink>
            <w:hyperlink w:anchor="exhibit991earnings8kq2fy27.htm">
              <w:r>
                <w:rPr>
                  <w:rStyle w:val="InternetLink"/>
                  <w:rFonts w:ascii="Times New Roman;serif" w:hAnsi="Times New Roman;serif"/>
                  <w:b w:val="false"/>
                  <w:color w:val="000080"/>
                  <w:sz w:val="20"/>
                  <w:u w:val="single"/>
                </w:rPr>
                <w:t xml:space="preserve">September </w:t>
              </w:r>
            </w:hyperlink>
            <w:hyperlink w:anchor="exhibit991earnings8kq2fy27.htm">
              <w:r>
                <w:rPr>
                  <w:rStyle w:val="InternetLink"/>
                  <w:rFonts w:ascii="Times New Roman;serif" w:hAnsi="Times New Roman;serif"/>
                  <w:b w:val="false"/>
                  <w:color w:val="000080"/>
                  <w:sz w:val="20"/>
                  <w:u w:val="single"/>
                </w:rPr>
                <w:t>1</w:t>
              </w:r>
            </w:hyperlink>
            <w:hyperlink w:anchor="exhibit991earnings8kq2fy27.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320" w:type="dxa"/>
        <w:jc w:val="center"/>
        <w:tblInd w:w="0" w:type="dxa"/>
        <w:tblLayout w:type="fixed"/>
        <w:tblCellMar>
          <w:top w:w="28" w:type="dxa"/>
          <w:left w:w="28" w:type="dxa"/>
          <w:bottom w:w="28" w:type="dxa"/>
          <w:right w:w="28" w:type="dxa"/>
        </w:tblCellMar>
      </w:tblPr>
      <w:tblGrid>
        <w:gridCol w:w="764"/>
        <w:gridCol w:w="673"/>
        <w:gridCol w:w="677"/>
        <w:gridCol w:w="135"/>
        <w:gridCol w:w="135"/>
        <w:gridCol w:w="135"/>
        <w:gridCol w:w="306"/>
        <w:gridCol w:w="306"/>
        <w:gridCol w:w="306"/>
        <w:gridCol w:w="306"/>
        <w:gridCol w:w="306"/>
        <w:gridCol w:w="306"/>
        <w:gridCol w:w="306"/>
        <w:gridCol w:w="306"/>
        <w:gridCol w:w="306"/>
        <w:gridCol w:w="306"/>
        <w:gridCol w:w="306"/>
        <w:gridCol w:w="43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Dell Technologies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0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A. Garcia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A. Garcia</w:t>
              <w:br/>
              <w:t>Senior Vice President and Assistant Secretary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(Duly Authorized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lineRule="auto" w:line="288" w:before="0" w:after="0"/>
        <w:jc w:val="left"/>
        <w:rPr/>
      </w:pPr>
      <w:r>
        <w:rPr>
          <w:color w:val="000000"/>
        </w:rPr>
        <w:t> </w:t>
      </w:r>
      <w:r>
        <w:rPr/>
        <w:drawing>
          <wp:inline distT="0" distB="0" distL="0" distR="0">
            <wp:extent cx="285750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3619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Dell Technologies Delivers Second Quarter Fiscal 2027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ROUND ROCK, Texas </w:t>
      </w:r>
      <w:r>
        <w:rPr>
          <w:color w:val="000000"/>
        </w:rPr>
        <w:t xml:space="preserve">— </w:t>
      </w:r>
      <w:r>
        <w:rPr>
          <w:rFonts w:ascii="Times New Roman;serif" w:hAnsi="Times New Roman;serif"/>
          <w:b/>
          <w:color w:val="000000"/>
          <w:sz w:val="24"/>
        </w:rPr>
        <w:t>Sept. 1, 2026</w:t>
      </w:r>
      <w:r>
        <w:rPr>
          <w:color w:val="333333"/>
        </w:rPr>
        <w:t xml:space="preserve"> </w:t>
      </w:r>
      <w:r>
        <w:rPr>
          <w:color w:val="000000"/>
        </w:rPr>
        <w:t>—</w:t>
      </w:r>
      <w:r>
        <w:rPr>
          <w:color w:val="333333"/>
        </w:rPr>
        <w:t xml:space="preserve"> </w:t>
      </w:r>
      <w:r>
        <w:rPr>
          <w:rFonts w:ascii="Times New Roman;serif" w:hAnsi="Times New Roman;serif"/>
          <w:b w:val="false"/>
          <w:color w:val="000000"/>
          <w:sz w:val="24"/>
        </w:rPr>
        <w:t xml:space="preserve">Dell Technologies (NYSE: DELL) announces financial results for its fiscal 2027 second quarter and provides guidance for its fiscal 2027 third quarter and full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Second-Quarter Summary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revenue of $47.0 billion, up 58%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diluted earnings per share (EPS) of $6.34, up 273% year over year, and record non-GAAP diluted EPS of $7.04, up 203%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flow from operations of $2.2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Full-year FY27 revenue guidance of $192.0 billion, up 69% year over year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FY27 EPS guidance of $24.37 and non-GAAP EPS guidance of $25.50, up 181% and 148% year over year, respectively</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erif" w:hAnsi="Times New Roman;serif"/>
          <w:b w:val="false"/>
          <w:color w:val="000000"/>
          <w:sz w:val="24"/>
        </w:rPr>
        <w:t xml:space="preserve">IT environments have shifted from cost centers to value drivers that fuel growth and competitive advantage, and customers are investing accordingly </w:t>
      </w:r>
      <w:r>
        <w:rPr>
          <w:color w:val="000000"/>
        </w:rPr>
        <w:t xml:space="preserve">– </w:t>
      </w:r>
      <w:r>
        <w:rPr>
          <w:rFonts w:ascii="Times New Roman;serif" w:hAnsi="Times New Roman;serif"/>
          <w:b w:val="false"/>
          <w:color w:val="000000"/>
          <w:sz w:val="24"/>
        </w:rPr>
        <w:t>creating opportunity across our portfolio,” said Jeff Clarke, vice chairman and chief operating officer, Dell Technologies. “That’s clearest in our AI server business where we booked a record $60.9 billion in orders, recognized a record $16.4 billion in revenue and exited the quarter with a record $95 billion backlog. We’re seeing broader revenue growth as well, with traditional servers and networking up 122%, storage up 26% and our client solutions up 20% year over year. Our second quarter results underscore the compounding benefits of our competitive advantages, the breadth of our portfolio and the strength of our operating model.”</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In our second quarter, we delivered record revenue of $47 billion, record EPS and a record $4.3 billion returned to shareholders,” said David Kennedy, chief financial officer, Dell Technologies. “Our advantages reinforce one another, and throughout the quarter we used these strengths to drive growth, share gains, profitability and cash generation. With AI momentum accelerating and our opportunity expanding across the portfolio, we’re raising our full-year FY27 revenue outlook by $25 billion to $192 billion, up nearly 70% year over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Infrastructure Solutions Group</w:t>
      </w:r>
      <w:r>
        <w:rPr>
          <w:color w:val="000000"/>
        </w:rPr>
        <w:t xml:space="preserve"> </w:t>
      </w:r>
      <w:r>
        <w:rPr>
          <w:rFonts w:ascii="Times New Roman;serif" w:hAnsi="Times New Roman;serif"/>
          <w:b/>
          <w:color w:val="000000"/>
          <w:sz w:val="24"/>
        </w:rPr>
        <w:t>(ISG)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revenue: $31.8 billion, up 89%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AI-Optimized Servers revenue: $16.4 billion, up 100%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Traditional Servers and Networking revenue: $10.5 billion, up 122%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second-quarter Storage revenue: $4.9 billion, up 26%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operating income: $4.8 billion, up 225% year over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Client Solutions Group</w:t>
      </w:r>
      <w:r>
        <w:rPr>
          <w:color w:val="000000"/>
        </w:rPr>
        <w:t xml:space="preserve"> </w:t>
      </w:r>
      <w:r>
        <w:rPr>
          <w:rFonts w:ascii="Times New Roman;serif" w:hAnsi="Times New Roman;serif"/>
          <w:b/>
          <w:color w:val="000000"/>
          <w:sz w:val="24"/>
        </w:rPr>
        <w:t>(CSG)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$15.0 billion, up 20%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Commercial Client revenue: $13.2 billion, up 22% year over year</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4"/>
        </w:rPr>
        <w:t>Consumer revenue: $1.8 billion, up 7% year over year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Operating income: $1.1 billion, up 42% year over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Capital Return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Dell Technologies returned a record $4.3 billion to shareholders in the second quarter through share repurchases and dividends.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Additionally, on Sept. 1 the company’s board of directors declared a quarterly cash dividend of $0.63 per common share, which will be payable on Oct. 30 to shareholders of record as of Oct. 20.</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Guidance Summary</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 billions, except percentages and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Third-Quarter Guidance</w:t>
      </w:r>
    </w:p>
    <w:tbl>
      <w:tblPr>
        <w:tblW w:w="3979" w:type="dxa"/>
        <w:jc w:val="left"/>
        <w:tblInd w:w="0" w:type="dxa"/>
        <w:tblLayout w:type="fixed"/>
        <w:tblCellMar>
          <w:top w:w="28" w:type="dxa"/>
          <w:left w:w="28" w:type="dxa"/>
          <w:bottom w:w="28" w:type="dxa"/>
          <w:right w:w="28" w:type="dxa"/>
        </w:tblCellMar>
      </w:tblPr>
      <w:tblGrid>
        <w:gridCol w:w="737"/>
        <w:gridCol w:w="650"/>
        <w:gridCol w:w="652"/>
        <w:gridCol w:w="211"/>
        <w:gridCol w:w="511"/>
        <w:gridCol w:w="109"/>
        <w:gridCol w:w="109"/>
        <w:gridCol w:w="109"/>
        <w:gridCol w:w="109"/>
        <w:gridCol w:w="232"/>
        <w:gridCol w:w="234"/>
        <w:gridCol w:w="316"/>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Q3FY27 (% Y/Y)</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0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Full-Year Guidance</w:t>
      </w:r>
    </w:p>
    <w:tbl>
      <w:tblPr>
        <w:tblW w:w="6550" w:type="dxa"/>
        <w:jc w:val="left"/>
        <w:tblInd w:w="0" w:type="dxa"/>
        <w:tblLayout w:type="fixed"/>
        <w:tblCellMar>
          <w:top w:w="28" w:type="dxa"/>
          <w:left w:w="28" w:type="dxa"/>
          <w:bottom w:w="28" w:type="dxa"/>
          <w:right w:w="28" w:type="dxa"/>
        </w:tblCellMar>
      </w:tblPr>
      <w:tblGrid>
        <w:gridCol w:w="920"/>
        <w:gridCol w:w="812"/>
        <w:gridCol w:w="818"/>
        <w:gridCol w:w="307"/>
        <w:gridCol w:w="898"/>
        <w:gridCol w:w="159"/>
        <w:gridCol w:w="109"/>
        <w:gridCol w:w="109"/>
        <w:gridCol w:w="109"/>
        <w:gridCol w:w="246"/>
        <w:gridCol w:w="720"/>
        <w:gridCol w:w="127"/>
        <w:gridCol w:w="127"/>
        <w:gridCol w:w="127"/>
        <w:gridCol w:w="127"/>
        <w:gridCol w:w="232"/>
        <w:gridCol w:w="234"/>
        <w:gridCol w:w="369"/>
      </w:tblGrid>
      <w:tr>
        <w:trPr/>
        <w:tc>
          <w:tcPr>
            <w:tcW w:w="9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FY27 Previous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FY27 Updated (% Y/Y)</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 revenue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EPS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 Quarter Fiscal 2027 Financial Results</w:t>
      </w:r>
    </w:p>
    <w:tbl>
      <w:tblPr>
        <w:tblW w:w="10205" w:type="dxa"/>
        <w:jc w:val="left"/>
        <w:tblInd w:w="0" w:type="dxa"/>
        <w:tblLayout w:type="fixed"/>
        <w:tblCellMar>
          <w:top w:w="28" w:type="dxa"/>
          <w:left w:w="28" w:type="dxa"/>
          <w:bottom w:w="28" w:type="dxa"/>
          <w:right w:w="28" w:type="dxa"/>
        </w:tblCellMar>
      </w:tblPr>
      <w:tblGrid>
        <w:gridCol w:w="893"/>
        <w:gridCol w:w="717"/>
        <w:gridCol w:w="698"/>
        <w:gridCol w:w="233"/>
        <w:gridCol w:w="796"/>
        <w:gridCol w:w="120"/>
        <w:gridCol w:w="109"/>
        <w:gridCol w:w="109"/>
        <w:gridCol w:w="109"/>
        <w:gridCol w:w="244"/>
        <w:gridCol w:w="836"/>
        <w:gridCol w:w="126"/>
        <w:gridCol w:w="109"/>
        <w:gridCol w:w="109"/>
        <w:gridCol w:w="109"/>
        <w:gridCol w:w="250"/>
        <w:gridCol w:w="250"/>
        <w:gridCol w:w="251"/>
        <w:gridCol w:w="109"/>
        <w:gridCol w:w="109"/>
        <w:gridCol w:w="109"/>
        <w:gridCol w:w="233"/>
        <w:gridCol w:w="796"/>
        <w:gridCol w:w="120"/>
        <w:gridCol w:w="109"/>
        <w:gridCol w:w="109"/>
        <w:gridCol w:w="109"/>
        <w:gridCol w:w="244"/>
        <w:gridCol w:w="836"/>
        <w:gridCol w:w="126"/>
        <w:gridCol w:w="109"/>
        <w:gridCol w:w="109"/>
        <w:gridCol w:w="109"/>
        <w:gridCol w:w="233"/>
        <w:gridCol w:w="233"/>
        <w:gridCol w:w="335"/>
      </w:tblGrid>
      <w:tr>
        <w:trPr/>
        <w:tc>
          <w:tcPr>
            <w:tcW w:w="8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and percentages; unaudited)</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about Dell Technologies’ non-GAAP financial measures is provided under “Non-GAAP Financial Measures” below. All comparisons in this press release are year over year unless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Operating Segments Results</w:t>
      </w:r>
    </w:p>
    <w:tbl>
      <w:tblPr>
        <w:tblW w:w="10205" w:type="dxa"/>
        <w:jc w:val="left"/>
        <w:tblInd w:w="0" w:type="dxa"/>
        <w:tblLayout w:type="fixed"/>
        <w:tblCellMar>
          <w:top w:w="28" w:type="dxa"/>
          <w:left w:w="28" w:type="dxa"/>
          <w:bottom w:w="28" w:type="dxa"/>
          <w:right w:w="28" w:type="dxa"/>
        </w:tblCellMar>
      </w:tblPr>
      <w:tblGrid>
        <w:gridCol w:w="760"/>
        <w:gridCol w:w="668"/>
        <w:gridCol w:w="671"/>
        <w:gridCol w:w="213"/>
        <w:gridCol w:w="728"/>
        <w:gridCol w:w="273"/>
        <w:gridCol w:w="109"/>
        <w:gridCol w:w="109"/>
        <w:gridCol w:w="109"/>
        <w:gridCol w:w="218"/>
        <w:gridCol w:w="747"/>
        <w:gridCol w:w="280"/>
        <w:gridCol w:w="109"/>
        <w:gridCol w:w="109"/>
        <w:gridCol w:w="109"/>
        <w:gridCol w:w="250"/>
        <w:gridCol w:w="250"/>
        <w:gridCol w:w="251"/>
        <w:gridCol w:w="109"/>
        <w:gridCol w:w="109"/>
        <w:gridCol w:w="109"/>
        <w:gridCol w:w="213"/>
        <w:gridCol w:w="728"/>
        <w:gridCol w:w="273"/>
        <w:gridCol w:w="109"/>
        <w:gridCol w:w="109"/>
        <w:gridCol w:w="109"/>
        <w:gridCol w:w="218"/>
        <w:gridCol w:w="747"/>
        <w:gridCol w:w="280"/>
        <w:gridCol w:w="109"/>
        <w:gridCol w:w="109"/>
        <w:gridCol w:w="109"/>
        <w:gridCol w:w="233"/>
        <w:gridCol w:w="233"/>
        <w:gridCol w:w="33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 unaudited)</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8.8 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Conference call information</w:t>
      </w:r>
    </w:p>
    <w:p>
      <w:pPr>
        <w:pStyle w:val="TextBody"/>
        <w:bidi w:val="0"/>
        <w:spacing w:lineRule="auto" w:line="288" w:before="0" w:after="0"/>
        <w:jc w:val="left"/>
        <w:rPr/>
      </w:pPr>
      <w:r>
        <w:rPr>
          <w:rFonts w:ascii="Times New Roman;serif" w:hAnsi="Times New Roman;serif"/>
          <w:b w:val="false"/>
          <w:color w:val="000000"/>
          <w:sz w:val="24"/>
        </w:rPr>
        <w:t>As previously announced, the company will hold a conference call to discuss its performance and financial guidance on Sept. 1</w:t>
      </w:r>
      <w:r>
        <w:rPr>
          <w:color w:val="000000"/>
        </w:rPr>
        <w:t xml:space="preserve"> </w:t>
      </w:r>
      <w:r>
        <w:rPr>
          <w:rFonts w:ascii="Times New Roman;serif" w:hAnsi="Times New Roman;serif"/>
          <w:b w:val="false"/>
          <w:color w:val="000000"/>
          <w:sz w:val="24"/>
        </w:rPr>
        <w:t>at 3:30 p.m. CST. Prior to the start of the conference call, prepared remarks and a presentation containing additional financial and operating information</w:t>
      </w:r>
      <w:r>
        <w:rPr>
          <w:color w:val="000000"/>
          <w:shd w:fill="FFFFFF" w:val="clear"/>
        </w:rPr>
        <w:t xml:space="preserve"> </w:t>
      </w:r>
      <w:r>
        <w:rPr>
          <w:rFonts w:ascii="Times New Roman;serif" w:hAnsi="Times New Roman;serif"/>
          <w:b w:val="false"/>
          <w:color w:val="000000"/>
          <w:sz w:val="24"/>
        </w:rPr>
        <w:t xml:space="preserve">may be downloaded from investors.delltechnologies.com. The conference call will be presented live over the internet and can be accessed at https://investors.delltechnologies.com/news-events/upcoming-events.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those unable to listen to the live presentation, the final remarks and presentation with additional financial and operating information will be available following the presentation, and an archived version will be available at the same location for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Dell Technologies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Dell Technologies (NYSE: DELL) helps organizations and individuals build their digital future 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transform how they work, live and play. The company provides customers with the industry’s broadest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most innovative technology and services portfolio for the AI era.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 Investor_Relations@Dell.com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Media: Media.Relations@Dell.com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Copyright ©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8"/>
        </w:rPr>
        <w:t xml:space="preserve">Dell Inc. or its subsidiaries. All Rights Reserved. Dell Technologies, Dell, EMC and Dell EMC are trademarks of Dell Inc. or its subsidiaries. Other trademarks may be trademarks of their respective owners.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Non-GAAP Financial Measures: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press release presents information about non-GAAP gross margin, non-GAAP operating expenses, non-GAAP operating income, non-GAAP net income, non-GAAP earnings per share – diluted, free cash flow, and adjusted free cash flow, all of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Special Note on Forward-Looking Statements: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Forward-looking statements include, among others, any statements regarding Dell Technologies’ expectations for third-quarter and full-year fiscal 2027 revenue, GAAP diluted earnings per share and non-GAAP diluted earnings per share, and for full-year fiscal 2027 AI-optimized servers revenue, as well as any other statements regarding Dell Technologies’ prospects and its future operations, financial condition, volumes, cash flows, expenses or other financial items, including management’s plans or strategies and objectives for any of the foregoing and any assumptions, expectations or beliefs underlying any of the foregoing.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18"/>
        </w:rPr>
      </w:pPr>
      <w:r>
        <w:rPr>
          <w:rFonts w:ascii="Times New Roman;serif" w:hAnsi="Times New Roman;serif"/>
          <w:b w:val="false"/>
          <w:i/>
          <w:color w:val="000000"/>
          <w:sz w:val="18"/>
        </w:rPr>
        <w:t xml:space="preserve">Dell Technologies’ results or events in future periods could differ materially from those expressed or implied by these forward-looking statements because of risks, uncertainties, and other factors that include, but are not limited to, the following: adverse global economic conditions; competitive pressures; Dell Technologies’ ability to successfully execute its strategy; Dell Technologies’ relationships with third-party suppliers for products and components; Dell Technologies’ use of single-source or limited-source suppliers; effects on Dell Technologies’ operating performance related to demand for AI solutions; management of Dell Technologies’ AI solutions and use of AI in internal functions and operations; Dell Technologies’ ability to deliver high-quality products, software, and services and to manage solutions and products and services transitions in an effective manner; Dell Technologies’ ability to successfully implement its cost efficiency plans; security incidents, including cyber-attacks; Dell Technologies’ foreign operations and ability to generate substantial non-U.S. net revenue; Dell Technologies’ product, services, customer, and geographic sales mix, and seasonal sales trends; the performance of Dell Technologies’ sales channel partners; Dell Technologies’ ability to successfully execute on strategic initiatives including acquisitions and divestitures; access to the capital markets by Dell Technologies or its customers; weak economic conditions, changing customer mix, and the effect of additional regulation on Dell Technologies’ financial services activities; counterparty default risks; material impairment of the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goodwill or intangible assets;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adverse legislative or regulatory tax changes, expiration of tax holidays or favorable tax rate structures, or unfavorable outcomes in tax audits and other tax compliance matters; declines in fair value or impairment of portfolio investments; unfavorable results of legal proceedings; evolving and varied expectations and regulatory requirements relating to sustainability issues; the effect of global climate change and related legal, regulatory or market measures; compliance with environmental and safety laws; compliance requirements of anti-corruption laws, economic sanctions and other trade laws, human rights laws, or other laws regulating its international operations;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30, 2026,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Related Financial Highlights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 and percentages; unaudited)</w:t>
      </w:r>
    </w:p>
    <w:tbl>
      <w:tblPr>
        <w:tblW w:w="10205" w:type="dxa"/>
        <w:jc w:val="center"/>
        <w:tblInd w:w="0" w:type="dxa"/>
        <w:tblLayout w:type="fixed"/>
        <w:tblCellMar>
          <w:top w:w="28" w:type="dxa"/>
          <w:left w:w="28" w:type="dxa"/>
          <w:bottom w:w="28" w:type="dxa"/>
          <w:right w:w="28" w:type="dxa"/>
        </w:tblCellMar>
      </w:tblPr>
      <w:tblGrid>
        <w:gridCol w:w="849"/>
        <w:gridCol w:w="636"/>
        <w:gridCol w:w="559"/>
        <w:gridCol w:w="214"/>
        <w:gridCol w:w="732"/>
        <w:gridCol w:w="274"/>
        <w:gridCol w:w="109"/>
        <w:gridCol w:w="109"/>
        <w:gridCol w:w="109"/>
        <w:gridCol w:w="222"/>
        <w:gridCol w:w="759"/>
        <w:gridCol w:w="285"/>
        <w:gridCol w:w="109"/>
        <w:gridCol w:w="109"/>
        <w:gridCol w:w="109"/>
        <w:gridCol w:w="250"/>
        <w:gridCol w:w="250"/>
        <w:gridCol w:w="251"/>
        <w:gridCol w:w="109"/>
        <w:gridCol w:w="109"/>
        <w:gridCol w:w="109"/>
        <w:gridCol w:w="214"/>
        <w:gridCol w:w="732"/>
        <w:gridCol w:w="274"/>
        <w:gridCol w:w="109"/>
        <w:gridCol w:w="109"/>
        <w:gridCol w:w="109"/>
        <w:gridCol w:w="222"/>
        <w:gridCol w:w="759"/>
        <w:gridCol w:w="285"/>
        <w:gridCol w:w="109"/>
        <w:gridCol w:w="109"/>
        <w:gridCol w:w="109"/>
        <w:gridCol w:w="233"/>
        <w:gridCol w:w="233"/>
        <w:gridCol w:w="337"/>
      </w:tblGrid>
      <w:tr>
        <w:trPr/>
        <w:tc>
          <w:tcPr>
            <w:tcW w:w="84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net revenue:</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shares: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Percentage of Total Net Revenue:</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rate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Position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8876" w:type="dxa"/>
        <w:jc w:val="center"/>
        <w:tblInd w:w="0" w:type="dxa"/>
        <w:tblLayout w:type="fixed"/>
        <w:tblCellMar>
          <w:top w:w="28" w:type="dxa"/>
          <w:left w:w="28" w:type="dxa"/>
          <w:bottom w:w="28" w:type="dxa"/>
          <w:right w:w="28" w:type="dxa"/>
        </w:tblCellMar>
      </w:tblPr>
      <w:tblGrid>
        <w:gridCol w:w="2050"/>
        <w:gridCol w:w="1805"/>
        <w:gridCol w:w="1815"/>
        <w:gridCol w:w="229"/>
        <w:gridCol w:w="898"/>
        <w:gridCol w:w="118"/>
        <w:gridCol w:w="109"/>
        <w:gridCol w:w="109"/>
        <w:gridCol w:w="109"/>
        <w:gridCol w:w="289"/>
        <w:gridCol w:w="1134"/>
        <w:gridCol w:w="211"/>
      </w:tblGrid>
      <w:tr>
        <w:trPr/>
        <w:tc>
          <w:tcPr>
            <w:tcW w:w="205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88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assets: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$56 and $77</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 of allowance of $186 and $121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 of allowance of $128 and $92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deferred revenue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Shareholders’ equity (deficit):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capital in excess of $0.01 par value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691"/>
        <w:gridCol w:w="1390"/>
        <w:gridCol w:w="1400"/>
        <w:gridCol w:w="235"/>
        <w:gridCol w:w="805"/>
        <w:gridCol w:w="121"/>
        <w:gridCol w:w="109"/>
        <w:gridCol w:w="109"/>
        <w:gridCol w:w="109"/>
        <w:gridCol w:w="266"/>
        <w:gridCol w:w="780"/>
        <w:gridCol w:w="137"/>
        <w:gridCol w:w="109"/>
        <w:gridCol w:w="109"/>
        <w:gridCol w:w="109"/>
        <w:gridCol w:w="235"/>
        <w:gridCol w:w="805"/>
        <w:gridCol w:w="121"/>
        <w:gridCol w:w="109"/>
        <w:gridCol w:w="109"/>
        <w:gridCol w:w="109"/>
        <w:gridCol w:w="264"/>
        <w:gridCol w:w="772"/>
        <w:gridCol w:w="202"/>
      </w:tblGrid>
      <w:tr>
        <w:trPr/>
        <w:tc>
          <w:tcPr>
            <w:tcW w:w="169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sales of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 of businesses and assets,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investing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for employee tax withholdings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dividend equivalents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Debt-related costs and other,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financing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10205" w:type="dxa"/>
        <w:jc w:val="center"/>
        <w:tblInd w:w="0" w:type="dxa"/>
        <w:tblLayout w:type="fixed"/>
        <w:tblCellMar>
          <w:top w:w="28" w:type="dxa"/>
          <w:left w:w="28" w:type="dxa"/>
          <w:bottom w:w="28" w:type="dxa"/>
          <w:right w:w="28" w:type="dxa"/>
        </w:tblCellMar>
      </w:tblPr>
      <w:tblGrid>
        <w:gridCol w:w="760"/>
        <w:gridCol w:w="668"/>
        <w:gridCol w:w="671"/>
        <w:gridCol w:w="213"/>
        <w:gridCol w:w="728"/>
        <w:gridCol w:w="273"/>
        <w:gridCol w:w="109"/>
        <w:gridCol w:w="109"/>
        <w:gridCol w:w="109"/>
        <w:gridCol w:w="218"/>
        <w:gridCol w:w="747"/>
        <w:gridCol w:w="280"/>
        <w:gridCol w:w="109"/>
        <w:gridCol w:w="109"/>
        <w:gridCol w:w="109"/>
        <w:gridCol w:w="250"/>
        <w:gridCol w:w="250"/>
        <w:gridCol w:w="251"/>
        <w:gridCol w:w="109"/>
        <w:gridCol w:w="109"/>
        <w:gridCol w:w="109"/>
        <w:gridCol w:w="213"/>
        <w:gridCol w:w="728"/>
        <w:gridCol w:w="273"/>
        <w:gridCol w:w="109"/>
        <w:gridCol w:w="109"/>
        <w:gridCol w:w="109"/>
        <w:gridCol w:w="218"/>
        <w:gridCol w:w="747"/>
        <w:gridCol w:w="280"/>
        <w:gridCol w:w="109"/>
        <w:gridCol w:w="109"/>
        <w:gridCol w:w="109"/>
        <w:gridCol w:w="233"/>
        <w:gridCol w:w="233"/>
        <w:gridCol w:w="33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8.8 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 continued)</w:t>
      </w:r>
    </w:p>
    <w:tbl>
      <w:tblPr>
        <w:tblW w:w="10205" w:type="dxa"/>
        <w:jc w:val="center"/>
        <w:tblInd w:w="0" w:type="dxa"/>
        <w:tblLayout w:type="fixed"/>
        <w:tblCellMar>
          <w:top w:w="28" w:type="dxa"/>
          <w:left w:w="28" w:type="dxa"/>
          <w:bottom w:w="28" w:type="dxa"/>
          <w:right w:w="28" w:type="dxa"/>
        </w:tblCellMar>
      </w:tblPr>
      <w:tblGrid>
        <w:gridCol w:w="1466"/>
        <w:gridCol w:w="1287"/>
        <w:gridCol w:w="1293"/>
        <w:gridCol w:w="249"/>
        <w:gridCol w:w="854"/>
        <w:gridCol w:w="128"/>
        <w:gridCol w:w="109"/>
        <w:gridCol w:w="109"/>
        <w:gridCol w:w="109"/>
        <w:gridCol w:w="269"/>
        <w:gridCol w:w="923"/>
        <w:gridCol w:w="139"/>
        <w:gridCol w:w="109"/>
        <w:gridCol w:w="109"/>
        <w:gridCol w:w="109"/>
        <w:gridCol w:w="249"/>
        <w:gridCol w:w="854"/>
        <w:gridCol w:w="128"/>
        <w:gridCol w:w="109"/>
        <w:gridCol w:w="109"/>
        <w:gridCol w:w="109"/>
        <w:gridCol w:w="267"/>
        <w:gridCol w:w="915"/>
        <w:gridCol w:w="203"/>
      </w:tblGrid>
      <w:tr>
        <w:trPr/>
        <w:tc>
          <w:tcPr>
            <w:tcW w:w="146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net revenue:</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net revenue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operating income: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 (b)</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(c)</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income (f)</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(a)Corporate and other includes VMware Resale and other items that are managed at the corporate level and are not allocated to reportable segments.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(b)Depreciation expense directly attributable to each reportable segment is included in the operating results of each segment. However, the Chief Operating Decision Maker does not evaluate depreciation expense by operating segment, and therefore such expense is not separately presented.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(c)Amortization of intangibles includes non-cash purchase accounting adjustments that are primarily related to the EMC merger transaction completed in September 2016.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(d)Stock-based compensation expense consists of equity awards granted based on the estimated fair value of those awards at grant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(e)Other corporate expenses includes severance expenses, payroll taxes associated with stock-based compensation, incentive charges related to equity investments, transaction-related expenses, and impairment charges.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(f)Income and expenses within Interest and other, net, is not allocated to the reportable segments. Therefore, the company only reports reportable segment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SELECTED NON-GAAP FINANCIAL MEASURES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tables present information about the company’s non-GAAP gross margin, non-GAAP operating expenses, non-GAAP operating income, non-GAAP net income, non-GAAP earnings per share - diluted, free cash flow and adjusted free cash flow, all of which are non-GAAP financial measures provided as a supplement to the results provided in accordance with generally accepted accounting principles in the United States of America (“GAAP”). A detailed discussion of Dell Technologies’ reasons for including certain of these non-GAAP financial measures, the limitations associated with these measures, the items excluded from these measures, and the company’s reason for excluding those items are presented in “Management’s Discussion and Analysis of Financial Condition and Results of Operations — Non-GAAP Financial Measures” in the company’s periodic reports filed with the SEC. Dell Technologies encourages investors to review the non-GAAP discussion in these reports in conjunction with the presentation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 and percentages; unaudited)</w:t>
      </w:r>
    </w:p>
    <w:tbl>
      <w:tblPr>
        <w:tblW w:w="10205" w:type="dxa"/>
        <w:jc w:val="left"/>
        <w:tblInd w:w="0" w:type="dxa"/>
        <w:tblLayout w:type="fixed"/>
        <w:tblCellMar>
          <w:top w:w="28" w:type="dxa"/>
          <w:left w:w="28" w:type="dxa"/>
          <w:bottom w:w="28" w:type="dxa"/>
          <w:right w:w="28" w:type="dxa"/>
        </w:tblCellMar>
      </w:tblPr>
      <w:tblGrid>
        <w:gridCol w:w="754"/>
        <w:gridCol w:w="664"/>
        <w:gridCol w:w="632"/>
        <w:gridCol w:w="213"/>
        <w:gridCol w:w="731"/>
        <w:gridCol w:w="274"/>
        <w:gridCol w:w="109"/>
        <w:gridCol w:w="109"/>
        <w:gridCol w:w="109"/>
        <w:gridCol w:w="221"/>
        <w:gridCol w:w="758"/>
        <w:gridCol w:w="285"/>
        <w:gridCol w:w="109"/>
        <w:gridCol w:w="109"/>
        <w:gridCol w:w="109"/>
        <w:gridCol w:w="250"/>
        <w:gridCol w:w="250"/>
        <w:gridCol w:w="251"/>
        <w:gridCol w:w="109"/>
        <w:gridCol w:w="109"/>
        <w:gridCol w:w="109"/>
        <w:gridCol w:w="213"/>
        <w:gridCol w:w="731"/>
        <w:gridCol w:w="274"/>
        <w:gridCol w:w="109"/>
        <w:gridCol w:w="109"/>
        <w:gridCol w:w="109"/>
        <w:gridCol w:w="221"/>
        <w:gridCol w:w="758"/>
        <w:gridCol w:w="285"/>
        <w:gridCol w:w="109"/>
        <w:gridCol w:w="109"/>
        <w:gridCol w:w="109"/>
        <w:gridCol w:w="233"/>
        <w:gridCol w:w="233"/>
        <w:gridCol w:w="33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12.6 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12.6 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bl>
    <w:p>
      <w:pPr>
        <w:pStyle w:val="TextBody"/>
        <w:bidi w:val="0"/>
        <w:spacing w:before="100" w:after="283"/>
        <w:ind w:left="0" w:right="0" w:hanging="36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10205" w:type="dxa"/>
        <w:jc w:val="center"/>
        <w:tblInd w:w="0" w:type="dxa"/>
        <w:tblLayout w:type="fixed"/>
        <w:tblCellMar>
          <w:top w:w="28" w:type="dxa"/>
          <w:left w:w="28" w:type="dxa"/>
          <w:bottom w:w="28" w:type="dxa"/>
          <w:right w:w="28" w:type="dxa"/>
        </w:tblCellMar>
      </w:tblPr>
      <w:tblGrid>
        <w:gridCol w:w="968"/>
        <w:gridCol w:w="775"/>
        <w:gridCol w:w="732"/>
        <w:gridCol w:w="244"/>
        <w:gridCol w:w="713"/>
        <w:gridCol w:w="126"/>
        <w:gridCol w:w="109"/>
        <w:gridCol w:w="109"/>
        <w:gridCol w:w="109"/>
        <w:gridCol w:w="255"/>
        <w:gridCol w:w="747"/>
        <w:gridCol w:w="132"/>
        <w:gridCol w:w="109"/>
        <w:gridCol w:w="109"/>
        <w:gridCol w:w="109"/>
        <w:gridCol w:w="250"/>
        <w:gridCol w:w="250"/>
        <w:gridCol w:w="251"/>
        <w:gridCol w:w="109"/>
        <w:gridCol w:w="109"/>
        <w:gridCol w:w="109"/>
        <w:gridCol w:w="230"/>
        <w:gridCol w:w="788"/>
        <w:gridCol w:w="119"/>
        <w:gridCol w:w="109"/>
        <w:gridCol w:w="109"/>
        <w:gridCol w:w="109"/>
        <w:gridCol w:w="240"/>
        <w:gridCol w:w="823"/>
        <w:gridCol w:w="124"/>
        <w:gridCol w:w="109"/>
        <w:gridCol w:w="109"/>
        <w:gridCol w:w="109"/>
        <w:gridCol w:w="233"/>
        <w:gridCol w:w="233"/>
        <w:gridCol w:w="337"/>
      </w:tblGrid>
      <w:tr>
        <w:trPr/>
        <w:tc>
          <w:tcPr>
            <w:tcW w:w="9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continued)</w:t>
      </w:r>
    </w:p>
    <w:tbl>
      <w:tblPr>
        <w:tblW w:w="10205" w:type="dxa"/>
        <w:jc w:val="center"/>
        <w:tblInd w:w="0" w:type="dxa"/>
        <w:tblLayout w:type="fixed"/>
        <w:tblCellMar>
          <w:top w:w="28" w:type="dxa"/>
          <w:left w:w="28" w:type="dxa"/>
          <w:bottom w:w="28" w:type="dxa"/>
          <w:right w:w="28" w:type="dxa"/>
        </w:tblCellMar>
      </w:tblPr>
      <w:tblGrid>
        <w:gridCol w:w="999"/>
        <w:gridCol w:w="735"/>
        <w:gridCol w:w="740"/>
        <w:gridCol w:w="261"/>
        <w:gridCol w:w="633"/>
        <w:gridCol w:w="134"/>
        <w:gridCol w:w="109"/>
        <w:gridCol w:w="109"/>
        <w:gridCol w:w="109"/>
        <w:gridCol w:w="274"/>
        <w:gridCol w:w="663"/>
        <w:gridCol w:w="141"/>
        <w:gridCol w:w="109"/>
        <w:gridCol w:w="109"/>
        <w:gridCol w:w="109"/>
        <w:gridCol w:w="233"/>
        <w:gridCol w:w="233"/>
        <w:gridCol w:w="417"/>
        <w:gridCol w:w="109"/>
        <w:gridCol w:w="109"/>
        <w:gridCol w:w="109"/>
        <w:gridCol w:w="244"/>
        <w:gridCol w:w="713"/>
        <w:gridCol w:w="126"/>
        <w:gridCol w:w="109"/>
        <w:gridCol w:w="109"/>
        <w:gridCol w:w="109"/>
        <w:gridCol w:w="274"/>
        <w:gridCol w:w="663"/>
        <w:gridCol w:w="141"/>
        <w:gridCol w:w="109"/>
        <w:gridCol w:w="109"/>
        <w:gridCol w:w="109"/>
        <w:gridCol w:w="233"/>
        <w:gridCol w:w="233"/>
        <w:gridCol w:w="480"/>
      </w:tblGrid>
      <w:tr>
        <w:trPr/>
        <w:tc>
          <w:tcPr>
            <w:tcW w:w="99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 unaudited; continued)</w:t>
      </w:r>
    </w:p>
    <w:tbl>
      <w:tblPr>
        <w:tblW w:w="10205" w:type="dxa"/>
        <w:jc w:val="center"/>
        <w:tblInd w:w="0" w:type="dxa"/>
        <w:tblLayout w:type="fixed"/>
        <w:tblCellMar>
          <w:top w:w="28" w:type="dxa"/>
          <w:left w:w="28" w:type="dxa"/>
          <w:bottom w:w="28" w:type="dxa"/>
          <w:right w:w="28" w:type="dxa"/>
        </w:tblCellMar>
      </w:tblPr>
      <w:tblGrid>
        <w:gridCol w:w="939"/>
        <w:gridCol w:w="686"/>
        <w:gridCol w:w="688"/>
        <w:gridCol w:w="220"/>
        <w:gridCol w:w="643"/>
        <w:gridCol w:w="113"/>
        <w:gridCol w:w="109"/>
        <w:gridCol w:w="109"/>
        <w:gridCol w:w="109"/>
        <w:gridCol w:w="228"/>
        <w:gridCol w:w="666"/>
        <w:gridCol w:w="117"/>
        <w:gridCol w:w="109"/>
        <w:gridCol w:w="109"/>
        <w:gridCol w:w="109"/>
        <w:gridCol w:w="233"/>
        <w:gridCol w:w="233"/>
        <w:gridCol w:w="392"/>
        <w:gridCol w:w="109"/>
        <w:gridCol w:w="109"/>
        <w:gridCol w:w="109"/>
        <w:gridCol w:w="214"/>
        <w:gridCol w:w="732"/>
        <w:gridCol w:w="110"/>
        <w:gridCol w:w="109"/>
        <w:gridCol w:w="109"/>
        <w:gridCol w:w="109"/>
        <w:gridCol w:w="228"/>
        <w:gridCol w:w="666"/>
        <w:gridCol w:w="117"/>
        <w:gridCol w:w="109"/>
        <w:gridCol w:w="109"/>
        <w:gridCol w:w="109"/>
        <w:gridCol w:w="231"/>
        <w:gridCol w:w="235"/>
        <w:gridCol w:w="392"/>
        <w:gridCol w:w="109"/>
        <w:gridCol w:w="109"/>
        <w:gridCol w:w="109"/>
        <w:gridCol w:w="160"/>
      </w:tblGrid>
      <w:tr>
        <w:trPr/>
        <w:tc>
          <w:tcPr>
            <w:tcW w:w="93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 net (a)</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(b)</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leases (c)</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(a)Capital expenditures and capitalized software development costs, net includes proceeds from sales of facilities, land, and other assets.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(b)Financing receivables represent the operating cash flow impact from the change in financing receivables.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(c)Equipment under operating leases represents the net impact of capital expenditures and depreciation expense for leases and contractually embedded leases identified within flexible consumption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in Summary Guidance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8435" w:type="dxa"/>
        <w:jc w:val="left"/>
        <w:tblInd w:w="0" w:type="dxa"/>
        <w:tblLayout w:type="fixed"/>
        <w:tblCellMar>
          <w:top w:w="28" w:type="dxa"/>
          <w:left w:w="28" w:type="dxa"/>
          <w:bottom w:w="28" w:type="dxa"/>
          <w:right w:w="28" w:type="dxa"/>
        </w:tblCellMar>
      </w:tblPr>
      <w:tblGrid>
        <w:gridCol w:w="1464"/>
        <w:gridCol w:w="1288"/>
        <w:gridCol w:w="1297"/>
        <w:gridCol w:w="461"/>
        <w:gridCol w:w="1116"/>
        <w:gridCol w:w="238"/>
        <w:gridCol w:w="109"/>
        <w:gridCol w:w="109"/>
        <w:gridCol w:w="109"/>
        <w:gridCol w:w="211"/>
        <w:gridCol w:w="616"/>
        <w:gridCol w:w="109"/>
        <w:gridCol w:w="109"/>
        <w:gridCol w:w="109"/>
        <w:gridCol w:w="109"/>
        <w:gridCol w:w="211"/>
        <w:gridCol w:w="616"/>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Ending</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29, 2027</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Previous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Updated</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adjustments:</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(b)</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 (c)</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(d)</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(a)Amortization of intangibles represents an estimate for acquisitions completed as of July 31, 2026 and does not include estimates for potential acquisitions, if any, during fiscal 2027.</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(b)Consists primarily of severance expenses, payroll taxes associated with stock-based compensation, transaction-related expenses, impairment charges, and incentive charges related to equity investments. No estimate is included for severance expense as such expense cannot be reasonably estimated at this time.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 estimates are included for potential fair value adjustments on strategic investments given the potential volatility of either gains or losses on those equity investments.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fiscal 2027 aggregate adjustment to reconcile non-GAAP income tax expense to GAAP income tax expense is approximately $0.3 billion. The aggregate adjustment for income taxes is the estimated combined income tax effect for the adjustments shown above as well as an adjustment for discrete tax items. The company’s non-GAAP income tax is calculated using a fixed estimated annual tax 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5014</Words>
  <Characters>27263</Characters>
  <CharactersWithSpaces>31297</CharactersWithSpaces>
  <Paragraphs>1603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