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300"/>
          </w:cols>
          <w:pgMar w:left="460" w:top="214" w:right="459" w:bottom="462"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Silver Lake Partners IV, L.P.</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Dell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br w:type="column"/>
      </w:r>
    </w:p>
    <w:p>
      <w:pPr>
        <w:ind w:left="4" w:right="620" w:hanging="4"/>
        <w:spacing w:after="0" w:line="282"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4"/>
        <w:spacing w:after="0"/>
        <w:tabs>
          <w:tab w:leader="none" w:pos="172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745"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745"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9" w:lineRule="exact"/>
        <w:rPr>
          <w:sz w:val="24"/>
          <w:szCs w:val="24"/>
          <w:color w:val="auto"/>
        </w:rPr>
      </w:pPr>
    </w:p>
    <w:p>
      <w:pPr>
        <w:jc w:val="right"/>
        <w:ind w:right="3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65" w:lineRule="exact"/>
        <w:rPr>
          <w:sz w:val="24"/>
          <w:szCs w:val="24"/>
          <w:color w:val="auto"/>
        </w:rPr>
      </w:pPr>
    </w:p>
    <w:p>
      <w:pPr>
        <w:sectPr>
          <w:pgSz w:w="11900" w:h="16838" w:orient="portrait"/>
          <w:cols w:equalWidth="0" w:num="3">
            <w:col w:w="3180" w:space="720"/>
            <w:col w:w="3116" w:space="720"/>
            <w:col w:w="3244"/>
          </w:cols>
          <w:pgMar w:left="460" w:top="214" w:right="459" w:bottom="462"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380" w:type="dxa"/>
            <w:vAlign w:val="bottom"/>
            <w:gridSpan w:val="5"/>
          </w:tcPr>
          <w:p>
            <w:pPr>
              <w:jc w:val="center"/>
              <w:ind w:left="18"/>
              <w:spacing w:after="0"/>
              <w:rPr>
                <w:sz w:val="20"/>
                <w:szCs w:val="20"/>
                <w:color w:val="auto"/>
              </w:rPr>
            </w:pPr>
            <w:r>
              <w:rPr>
                <w:rFonts w:ascii="Arial" w:cs="Arial" w:eastAsia="Arial" w:hAnsi="Arial"/>
                <w:sz w:val="12"/>
                <w:szCs w:val="12"/>
                <w:color w:val="auto"/>
              </w:rPr>
              <w:t>4. If Amendment, Date of Original Filed (Month/Day/Year)</w:t>
            </w:r>
          </w:p>
        </w:tc>
        <w:tc>
          <w:tcPr>
            <w:tcW w:w="3840" w:type="dxa"/>
            <w:vAlign w:val="bottom"/>
            <w:gridSpan w:val="6"/>
          </w:tcPr>
          <w:p>
            <w:pPr>
              <w:ind w:left="60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8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2"/>
                <w:szCs w:val="12"/>
                <w:color w:val="auto"/>
                <w:w w:val="97"/>
              </w:rPr>
              <w:t>Line)</w:t>
            </w:r>
          </w:p>
        </w:tc>
        <w:tc>
          <w:tcPr>
            <w:tcW w:w="296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0000FF"/>
              </w:rPr>
              <w:t>94025</w:t>
            </w: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9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00" w:type="dxa"/>
            <w:vAlign w:val="bottom"/>
            <w:tcBorders>
              <w:bottom w:val="single" w:sz="8" w:color="9A9A9A"/>
            </w:tcBorders>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820" w:type="dxa"/>
            <w:vAlign w:val="bottom"/>
          </w:tcPr>
          <w:p>
            <w:pPr>
              <w:ind w:left="100"/>
              <w:spacing w:after="0"/>
              <w:rPr>
                <w:sz w:val="20"/>
                <w:szCs w:val="20"/>
                <w:color w:val="auto"/>
              </w:rPr>
            </w:pPr>
            <w:r>
              <w:rPr>
                <w:rFonts w:ascii="Arial" w:cs="Arial" w:eastAsia="Arial" w:hAnsi="Arial"/>
                <w:sz w:val="12"/>
                <w:szCs w:val="12"/>
                <w:color w:val="auto"/>
              </w:rPr>
              <w:t>(State)</w:t>
            </w:r>
          </w:p>
        </w:tc>
        <w:tc>
          <w:tcPr>
            <w:tcW w:w="196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00" w:type="dxa"/>
            <w:vAlign w:val="bottom"/>
            <w:tcBorders>
              <w:top w:val="single" w:sz="8" w:color="2C2C2C"/>
            </w:tcBorders>
            <w:gridSpan w:val="9"/>
          </w:tcPr>
          <w:p>
            <w:pPr>
              <w:jc w:val="center"/>
              <w:ind w:right="71"/>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196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60" w:type="dxa"/>
            <w:vAlign w:val="bottom"/>
            <w:gridSpan w:val="2"/>
          </w:tcPr>
          <w:p>
            <w:pPr>
              <w:ind w:left="9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4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2"/>
          </w:tcPr>
          <w:p>
            <w:pPr>
              <w:ind w:left="9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60" w:type="dxa"/>
            <w:vAlign w:val="bottom"/>
            <w:gridSpan w:val="4"/>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60" w:type="dxa"/>
            <w:vAlign w:val="bottom"/>
            <w:gridSpan w:val="2"/>
          </w:tcPr>
          <w:p>
            <w:pPr>
              <w:jc w:val="center"/>
              <w:ind w:left="846"/>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0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102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 or</w:t>
            </w: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0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vMerge w:val="continue"/>
          </w:tcPr>
          <w:p>
            <w:pPr>
              <w:spacing w:after="0"/>
              <w:rPr>
                <w:sz w:val="7"/>
                <w:szCs w:val="7"/>
                <w:color w:val="auto"/>
              </w:rPr>
            </w:pPr>
          </w:p>
        </w:tc>
        <w:tc>
          <w:tcPr>
            <w:tcW w:w="1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960" w:type="dxa"/>
            <w:vAlign w:val="bottom"/>
            <w:gridSpan w:val="2"/>
          </w:tcPr>
          <w:p>
            <w:pPr>
              <w:jc w:val="center"/>
              <w:ind w:left="866"/>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tcPr>
          <w:p>
            <w:pPr>
              <w:ind w:left="60"/>
              <w:spacing w:after="0" w:line="200"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34,283</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40" w:type="dxa"/>
            <w:vAlign w:val="bottom"/>
          </w:tcPr>
          <w:p>
            <w:pPr>
              <w:spacing w:after="0"/>
              <w:rPr>
                <w:sz w:val="17"/>
                <w:szCs w:val="17"/>
                <w:color w:val="auto"/>
              </w:rPr>
            </w:pPr>
          </w:p>
        </w:tc>
        <w:tc>
          <w:tcPr>
            <w:tcW w:w="10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0000FF"/>
              </w:rPr>
              <w:t>34,283</w:t>
            </w:r>
          </w:p>
        </w:tc>
        <w:tc>
          <w:tcPr>
            <w:tcW w:w="90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380.49</w:t>
            </w:r>
            <w:r>
              <w:rPr>
                <w:rFonts w:ascii="Times New Roman" w:cs="Times New Roman" w:eastAsia="Times New Roman" w:hAnsi="Times New Roman"/>
                <w:sz w:val="20"/>
                <w:szCs w:val="20"/>
                <w:color w:val="008000"/>
                <w:w w:val="93"/>
                <w:vertAlign w:val="superscript"/>
              </w:rPr>
              <w:t>(10)</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960" w:type="dxa"/>
            <w:vAlign w:val="bottom"/>
            <w:gridSpan w:val="2"/>
          </w:tcPr>
          <w:p>
            <w:pPr>
              <w:jc w:val="center"/>
              <w:ind w:left="866"/>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2,465</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0000FF"/>
              </w:rPr>
              <w:t>31,818</w:t>
            </w:r>
          </w:p>
        </w:tc>
        <w:tc>
          <w:tcPr>
            <w:tcW w:w="90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381.74</w:t>
            </w:r>
            <w:r>
              <w:rPr>
                <w:rFonts w:ascii="Times New Roman" w:cs="Times New Roman" w:eastAsia="Times New Roman" w:hAnsi="Times New Roman"/>
                <w:sz w:val="20"/>
                <w:szCs w:val="20"/>
                <w:color w:val="008000"/>
                <w:w w:val="93"/>
                <w:vertAlign w:val="superscript"/>
              </w:rPr>
              <w:t>(11)</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960" w:type="dxa"/>
            <w:vAlign w:val="bottom"/>
            <w:gridSpan w:val="2"/>
          </w:tcPr>
          <w:p>
            <w:pPr>
              <w:jc w:val="center"/>
              <w:ind w:left="866"/>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5,558</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0000FF"/>
              </w:rPr>
              <w:t>26,261</w:t>
            </w:r>
          </w:p>
        </w:tc>
        <w:tc>
          <w:tcPr>
            <w:tcW w:w="90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382.63</w:t>
            </w:r>
            <w:r>
              <w:rPr>
                <w:rFonts w:ascii="Times New Roman" w:cs="Times New Roman" w:eastAsia="Times New Roman" w:hAnsi="Times New Roman"/>
                <w:sz w:val="20"/>
                <w:szCs w:val="20"/>
                <w:color w:val="008000"/>
                <w:w w:val="93"/>
                <w:vertAlign w:val="superscript"/>
              </w:rPr>
              <w:t>(12)</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960" w:type="dxa"/>
            <w:vAlign w:val="bottom"/>
            <w:gridSpan w:val="2"/>
          </w:tcPr>
          <w:p>
            <w:pPr>
              <w:jc w:val="center"/>
              <w:ind w:left="866"/>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463</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0000FF"/>
              </w:rPr>
              <w:t>25,798</w:t>
            </w:r>
          </w:p>
        </w:tc>
        <w:tc>
          <w:tcPr>
            <w:tcW w:w="90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383.02</w:t>
            </w:r>
            <w:r>
              <w:rPr>
                <w:rFonts w:ascii="Times New Roman" w:cs="Times New Roman" w:eastAsia="Times New Roman" w:hAnsi="Times New Roman"/>
                <w:sz w:val="20"/>
                <w:szCs w:val="20"/>
                <w:color w:val="008000"/>
                <w:w w:val="93"/>
                <w:vertAlign w:val="superscript"/>
              </w:rPr>
              <w:t>(13)</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960" w:type="dxa"/>
            <w:vAlign w:val="bottom"/>
            <w:gridSpan w:val="2"/>
          </w:tcPr>
          <w:p>
            <w:pPr>
              <w:jc w:val="center"/>
              <w:ind w:left="866"/>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210</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0000FF"/>
              </w:rPr>
              <w:t>25,587</w:t>
            </w:r>
          </w:p>
        </w:tc>
        <w:tc>
          <w:tcPr>
            <w:tcW w:w="90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384.15</w:t>
            </w:r>
            <w:r>
              <w:rPr>
                <w:rFonts w:ascii="Times New Roman" w:cs="Times New Roman" w:eastAsia="Times New Roman" w:hAnsi="Times New Roman"/>
                <w:sz w:val="20"/>
                <w:szCs w:val="20"/>
                <w:color w:val="008000"/>
                <w:w w:val="93"/>
                <w:vertAlign w:val="superscript"/>
              </w:rPr>
              <w:t>(14)</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960" w:type="dxa"/>
            <w:vAlign w:val="bottom"/>
            <w:gridSpan w:val="2"/>
          </w:tcPr>
          <w:p>
            <w:pPr>
              <w:jc w:val="center"/>
              <w:ind w:left="866"/>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84</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0000FF"/>
              </w:rPr>
              <w:t>25,503</w:t>
            </w:r>
          </w:p>
        </w:tc>
        <w:tc>
          <w:tcPr>
            <w:tcW w:w="90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386.25</w:t>
            </w:r>
            <w:r>
              <w:rPr>
                <w:rFonts w:ascii="Times New Roman" w:cs="Times New Roman" w:eastAsia="Times New Roman" w:hAnsi="Times New Roman"/>
                <w:sz w:val="20"/>
                <w:szCs w:val="20"/>
                <w:color w:val="008000"/>
                <w:w w:val="93"/>
                <w:vertAlign w:val="superscript"/>
              </w:rPr>
              <w:t>(15)</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960" w:type="dxa"/>
            <w:vAlign w:val="bottom"/>
            <w:gridSpan w:val="2"/>
          </w:tcPr>
          <w:p>
            <w:pPr>
              <w:jc w:val="center"/>
              <w:ind w:left="866"/>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589</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0000FF"/>
              </w:rPr>
              <w:t>24,914</w:t>
            </w:r>
          </w:p>
        </w:tc>
        <w:tc>
          <w:tcPr>
            <w:tcW w:w="90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387.41</w:t>
            </w:r>
            <w:r>
              <w:rPr>
                <w:rFonts w:ascii="Times New Roman" w:cs="Times New Roman" w:eastAsia="Times New Roman" w:hAnsi="Times New Roman"/>
                <w:sz w:val="20"/>
                <w:szCs w:val="20"/>
                <w:color w:val="008000"/>
                <w:w w:val="93"/>
                <w:vertAlign w:val="superscript"/>
              </w:rPr>
              <w:t>(16)</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960" w:type="dxa"/>
            <w:vAlign w:val="bottom"/>
            <w:gridSpan w:val="2"/>
          </w:tcPr>
          <w:p>
            <w:pPr>
              <w:jc w:val="center"/>
              <w:ind w:left="866"/>
              <w:spacing w:after="0"/>
              <w:rPr>
                <w:sz w:val="20"/>
                <w:szCs w:val="20"/>
                <w:color w:val="auto"/>
              </w:rPr>
            </w:pPr>
            <w:r>
              <w:rPr>
                <w:rFonts w:ascii="Times New Roman" w:cs="Times New Roman" w:eastAsia="Times New Roman" w:hAnsi="Times New Roman"/>
                <w:sz w:val="16"/>
                <w:szCs w:val="16"/>
                <w:color w:val="0000FF"/>
              </w:rPr>
              <w:t>06/09/2026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6"/>
              <w:spacing w:after="0"/>
              <w:rPr>
                <w:sz w:val="20"/>
                <w:szCs w:val="20"/>
                <w:color w:val="auto"/>
              </w:rPr>
            </w:pPr>
            <w:r>
              <w:rPr>
                <w:rFonts w:ascii="Times New Roman" w:cs="Times New Roman" w:eastAsia="Times New Roman" w:hAnsi="Times New Roman"/>
                <w:sz w:val="16"/>
                <w:szCs w:val="16"/>
                <w:color w:val="0000FF"/>
                <w:w w:val="99"/>
              </w:rPr>
              <w:t>421</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ind w:right="231"/>
              <w:spacing w:after="0"/>
              <w:rPr>
                <w:sz w:val="20"/>
                <w:szCs w:val="20"/>
                <w:color w:val="auto"/>
              </w:rPr>
            </w:pPr>
            <w:r>
              <w:rPr>
                <w:rFonts w:ascii="Times New Roman" w:cs="Times New Roman" w:eastAsia="Times New Roman" w:hAnsi="Times New Roman"/>
                <w:sz w:val="16"/>
                <w:szCs w:val="16"/>
                <w:color w:val="0000FF"/>
              </w:rPr>
              <w:t>24,493</w:t>
            </w:r>
          </w:p>
        </w:tc>
        <w:tc>
          <w:tcPr>
            <w:tcW w:w="90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114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520" w:type="dxa"/>
            <w:vAlign w:val="bottom"/>
            <w:tcBorders>
              <w:bottom w:val="single" w:sz="8" w:color="808080"/>
            </w:tcBorders>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1040" w:type="dxa"/>
            <w:vAlign w:val="bottom"/>
            <w:tcBorders>
              <w:bottom w:val="single" w:sz="8" w:color="808080"/>
            </w:tcBorders>
          </w:tcPr>
          <w:p>
            <w:pPr>
              <w:spacing w:after="0"/>
              <w:rPr>
                <w:sz w:val="22"/>
                <w:szCs w:val="22"/>
                <w:color w:val="auto"/>
              </w:rPr>
            </w:pPr>
          </w:p>
        </w:tc>
        <w:tc>
          <w:tcPr>
            <w:tcW w:w="900" w:type="dxa"/>
            <w:vAlign w:val="bottom"/>
            <w:tcBorders>
              <w:bottom w:val="single" w:sz="8" w:color="808080"/>
            </w:tcBorders>
          </w:tcPr>
          <w:p>
            <w:pPr>
              <w:spacing w:after="0"/>
              <w:rPr>
                <w:sz w:val="22"/>
                <w:szCs w:val="22"/>
                <w:color w:val="auto"/>
              </w:rPr>
            </w:pPr>
          </w:p>
        </w:tc>
        <w:tc>
          <w:tcPr>
            <w:tcW w:w="1000" w:type="dxa"/>
            <w:vAlign w:val="bottom"/>
            <w:tcBorders>
              <w:bottom w:val="single" w:sz="8" w:color="808080"/>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4" w:right="459" w:bottom="46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4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6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2"/>
                <w:szCs w:val="12"/>
                <w:color w:val="auto"/>
              </w:rPr>
            </w:pPr>
          </w:p>
        </w:tc>
        <w:tc>
          <w:tcPr>
            <w:tcW w:w="212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6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6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100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388.67</w:t>
            </w:r>
            <w:r>
              <w:rPr>
                <w:rFonts w:ascii="Times New Roman" w:cs="Times New Roman" w:eastAsia="Times New Roman" w:hAnsi="Times New Roman"/>
                <w:sz w:val="20"/>
                <w:szCs w:val="20"/>
                <w:color w:val="008000"/>
                <w:vertAlign w:val="superscript"/>
              </w:rPr>
              <w:t>(17)</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589</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23,904</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390.54</w:t>
            </w:r>
            <w:r>
              <w:rPr>
                <w:rFonts w:ascii="Times New Roman" w:cs="Times New Roman" w:eastAsia="Times New Roman" w:hAnsi="Times New Roman"/>
                <w:sz w:val="20"/>
                <w:szCs w:val="20"/>
                <w:color w:val="008000"/>
                <w:vertAlign w:val="superscript"/>
              </w:rPr>
              <w:t>(18)</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4,080</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19,824</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391.43</w:t>
            </w:r>
            <w:r>
              <w:rPr>
                <w:rFonts w:ascii="Times New Roman" w:cs="Times New Roman" w:eastAsia="Times New Roman" w:hAnsi="Times New Roman"/>
                <w:sz w:val="20"/>
                <w:szCs w:val="20"/>
                <w:color w:val="008000"/>
                <w:vertAlign w:val="superscript"/>
              </w:rPr>
              <w:t>(19)</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2,666</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17,158</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392.04</w:t>
            </w:r>
            <w:r>
              <w:rPr>
                <w:rFonts w:ascii="Times New Roman" w:cs="Times New Roman" w:eastAsia="Times New Roman" w:hAnsi="Times New Roman"/>
                <w:sz w:val="20"/>
                <w:szCs w:val="20"/>
                <w:color w:val="008000"/>
                <w:vertAlign w:val="superscript"/>
              </w:rPr>
              <w:t>(20)</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43</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0000FF"/>
                <w:w w:val="99"/>
              </w:rPr>
              <w:t>17,115</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395.11</w:t>
            </w:r>
            <w:r>
              <w:rPr>
                <w:rFonts w:ascii="Times New Roman" w:cs="Times New Roman" w:eastAsia="Times New Roman" w:hAnsi="Times New Roman"/>
                <w:sz w:val="20"/>
                <w:szCs w:val="20"/>
                <w:color w:val="008000"/>
                <w:vertAlign w:val="superscript"/>
              </w:rPr>
              <w:t>(21)</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358</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16,757</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396.18</w:t>
            </w:r>
            <w:r>
              <w:rPr>
                <w:rFonts w:ascii="Times New Roman" w:cs="Times New Roman" w:eastAsia="Times New Roman" w:hAnsi="Times New Roman"/>
                <w:sz w:val="20"/>
                <w:szCs w:val="20"/>
                <w:color w:val="008000"/>
                <w:vertAlign w:val="superscript"/>
              </w:rPr>
              <w:t>(22)</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1,412</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15,346</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396.99</w:t>
            </w:r>
            <w:r>
              <w:rPr>
                <w:rFonts w:ascii="Times New Roman" w:cs="Times New Roman" w:eastAsia="Times New Roman" w:hAnsi="Times New Roman"/>
                <w:sz w:val="20"/>
                <w:szCs w:val="20"/>
                <w:color w:val="008000"/>
                <w:vertAlign w:val="superscript"/>
              </w:rPr>
              <w:t>(23)</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2,535</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12,810</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398.17</w:t>
            </w:r>
            <w:r>
              <w:rPr>
                <w:rFonts w:ascii="Times New Roman" w:cs="Times New Roman" w:eastAsia="Times New Roman" w:hAnsi="Times New Roman"/>
                <w:sz w:val="20"/>
                <w:szCs w:val="20"/>
                <w:color w:val="008000"/>
                <w:vertAlign w:val="superscript"/>
              </w:rPr>
              <w:t>(24)</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2,017</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10,793</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399.01</w:t>
            </w:r>
            <w:r>
              <w:rPr>
                <w:rFonts w:ascii="Times New Roman" w:cs="Times New Roman" w:eastAsia="Times New Roman" w:hAnsi="Times New Roman"/>
                <w:sz w:val="20"/>
                <w:szCs w:val="20"/>
                <w:color w:val="008000"/>
                <w:vertAlign w:val="superscript"/>
              </w:rPr>
              <w:t>(25)</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804</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9,989</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400.07</w:t>
            </w:r>
            <w:r>
              <w:rPr>
                <w:rFonts w:ascii="Times New Roman" w:cs="Times New Roman" w:eastAsia="Times New Roman" w:hAnsi="Times New Roman"/>
                <w:sz w:val="20"/>
                <w:szCs w:val="20"/>
                <w:color w:val="008000"/>
                <w:vertAlign w:val="superscript"/>
              </w:rPr>
              <w:t>(26)</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1,317</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8,672</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401.09</w:t>
            </w:r>
            <w:r>
              <w:rPr>
                <w:rFonts w:ascii="Times New Roman" w:cs="Times New Roman" w:eastAsia="Times New Roman" w:hAnsi="Times New Roman"/>
                <w:sz w:val="20"/>
                <w:szCs w:val="20"/>
                <w:color w:val="008000"/>
                <w:vertAlign w:val="superscript"/>
              </w:rPr>
              <w:t>(27)</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552</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8,120</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402.24</w:t>
            </w:r>
            <w:r>
              <w:rPr>
                <w:rFonts w:ascii="Times New Roman" w:cs="Times New Roman" w:eastAsia="Times New Roman" w:hAnsi="Times New Roman"/>
                <w:sz w:val="20"/>
                <w:szCs w:val="20"/>
                <w:color w:val="008000"/>
                <w:vertAlign w:val="superscript"/>
              </w:rPr>
              <w:t>(28)</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0000FF"/>
              </w:rPr>
              <w:t>06/09/2026</w:t>
            </w:r>
          </w:p>
        </w:tc>
        <w:tc>
          <w:tcPr>
            <w:tcW w:w="1140" w:type="dxa"/>
            <w:vAlign w:val="bottom"/>
          </w:tcPr>
          <w:p>
            <w:pPr>
              <w:ind w:left="700"/>
              <w:spacing w:after="0"/>
              <w:rPr>
                <w:sz w:val="20"/>
                <w:szCs w:val="20"/>
                <w:color w:val="auto"/>
              </w:rPr>
            </w:pPr>
            <w:r>
              <w:rPr>
                <w:rFonts w:ascii="Times New Roman" w:cs="Times New Roman" w:eastAsia="Times New Roman" w:hAnsi="Times New Roman"/>
                <w:sz w:val="12"/>
                <w:szCs w:val="12"/>
                <w:color w:val="0000FF"/>
              </w:rPr>
              <w:t>S</w:t>
            </w:r>
          </w:p>
        </w:tc>
        <w:tc>
          <w:tcPr>
            <w:tcW w:w="9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0000FF"/>
                <w:w w:val="99"/>
              </w:rPr>
              <w:t>801</w:t>
            </w: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020" w:type="dxa"/>
            <w:vAlign w:val="bottom"/>
            <w:vMerge w:val="continue"/>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7,319</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Partners IV,</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0000FF"/>
              </w:rPr>
              <w:t>9,359</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Silver Lake</w:t>
            </w: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Group,</w:t>
            </w:r>
          </w:p>
        </w:tc>
        <w:tc>
          <w:tcPr>
            <w:tcW w:w="0" w:type="dxa"/>
            <w:vAlign w:val="bottom"/>
          </w:tcPr>
          <w:p>
            <w:pPr>
              <w:spacing w:after="0"/>
              <w:rPr>
                <w:sz w:val="1"/>
                <w:szCs w:val="1"/>
                <w:color w:val="auto"/>
              </w:rPr>
            </w:pPr>
          </w:p>
        </w:tc>
      </w:tr>
      <w:tr>
        <w:trPr>
          <w:trHeight w:val="267"/>
        </w:trPr>
        <w:tc>
          <w:tcPr>
            <w:tcW w:w="236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ind w:left="240"/>
              <w:spacing w:after="0" w:line="262"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(4)(5)</w:t>
            </w:r>
          </w:p>
        </w:tc>
        <w:tc>
          <w:tcPr>
            <w:tcW w:w="0" w:type="dxa"/>
            <w:vAlign w:val="bottom"/>
          </w:tcPr>
          <w:p>
            <w:pPr>
              <w:spacing w:after="0"/>
              <w:rPr>
                <w:sz w:val="1"/>
                <w:szCs w:val="1"/>
                <w:color w:val="auto"/>
              </w:rPr>
            </w:pPr>
          </w:p>
        </w:tc>
      </w:tr>
      <w:tr>
        <w:trPr>
          <w:trHeight w:val="237"/>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2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vMerge w:val="restart"/>
          </w:tcPr>
          <w:p>
            <w:pPr>
              <w:jc w:val="center"/>
              <w:ind w:right="99"/>
              <w:spacing w:after="0"/>
              <w:rPr>
                <w:sz w:val="20"/>
                <w:szCs w:val="20"/>
                <w:color w:val="auto"/>
              </w:rPr>
            </w:pPr>
            <w:r>
              <w:rPr>
                <w:rFonts w:ascii="Times New Roman" w:cs="Times New Roman" w:eastAsia="Times New Roman" w:hAnsi="Times New Roman"/>
                <w:sz w:val="16"/>
                <w:szCs w:val="16"/>
                <w:color w:val="0000FF"/>
              </w:rPr>
              <w:t>4,845</w:t>
            </w:r>
          </w:p>
        </w:tc>
        <w:tc>
          <w:tcPr>
            <w:tcW w:w="68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11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360" w:type="dxa"/>
            <w:vAlign w:val="bottom"/>
            <w:vMerge w:val="continue"/>
          </w:tcPr>
          <w:p>
            <w:pPr>
              <w:spacing w:after="0"/>
              <w:rPr>
                <w:sz w:val="9"/>
                <w:szCs w:val="9"/>
                <w:color w:val="auto"/>
              </w:rPr>
            </w:pPr>
          </w:p>
        </w:tc>
        <w:tc>
          <w:tcPr>
            <w:tcW w:w="2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52"/>
        </w:trPr>
        <w:tc>
          <w:tcPr>
            <w:tcW w:w="2360" w:type="dxa"/>
            <w:vAlign w:val="bottom"/>
            <w:tcBorders>
              <w:bottom w:val="single" w:sz="8" w:color="808080"/>
            </w:tcBorders>
          </w:tcPr>
          <w:p>
            <w:pPr>
              <w:spacing w:after="0"/>
              <w:rPr>
                <w:sz w:val="13"/>
                <w:szCs w:val="13"/>
                <w:color w:val="auto"/>
              </w:rPr>
            </w:pPr>
          </w:p>
        </w:tc>
        <w:tc>
          <w:tcPr>
            <w:tcW w:w="220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4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189" w:right="479" w:bottom="0" w:gutter="0" w:footer="0" w:header="0"/>
        </w:sectPr>
      </w:pPr>
    </w:p>
    <w:bookmarkStart w:id="2" w:name="page3"/>
    <w:bookmarkEnd w:id="2"/>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520" w:type="dxa"/>
            <w:vAlign w:val="bottom"/>
            <w:gridSpan w:val="3"/>
          </w:tcPr>
          <w:p>
            <w:pPr>
              <w:ind w:left="54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5"/>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40" w:type="dxa"/>
            <w:vAlign w:val="bottom"/>
            <w:gridSpan w:val="2"/>
          </w:tcPr>
          <w:p>
            <w:pPr>
              <w:ind w:left="34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540"/>
              <w:spacing w:after="0" w:line="125"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rPr>
              <w:t>Form: Direct</w:t>
            </w:r>
          </w:p>
        </w:tc>
        <w:tc>
          <w:tcPr>
            <w:tcW w:w="10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tcPr>
          <w:p>
            <w:pPr>
              <w:ind w:left="540"/>
              <w:spacing w:after="0" w:line="125" w:lineRule="exact"/>
              <w:rPr>
                <w:sz w:val="20"/>
                <w:szCs w:val="20"/>
                <w:color w:val="auto"/>
              </w:rPr>
            </w:pPr>
            <w:r>
              <w:rPr>
                <w:rFonts w:ascii="Arial" w:cs="Arial" w:eastAsia="Arial" w:hAnsi="Arial"/>
                <w:sz w:val="11"/>
                <w:szCs w:val="11"/>
                <w:b w:val="1"/>
                <w:bCs w:val="1"/>
                <w:color w:val="auto"/>
              </w:rPr>
              <w:t>(Month/Day/Year)</w:t>
            </w:r>
          </w:p>
        </w:tc>
        <w:tc>
          <w:tcPr>
            <w:tcW w:w="3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w w:val="97"/>
              </w:rPr>
              <w:t>if any</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124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rPr>
              <w:t>(D) or Indirect</w:t>
            </w:r>
          </w:p>
        </w:tc>
        <w:tc>
          <w:tcPr>
            <w:tcW w:w="10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4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6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(Instr. 3 and 4)</w:t>
            </w: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vMerge w:val="restart"/>
          </w:tcPr>
          <w:p>
            <w:pPr>
              <w:jc w:val="center"/>
              <w:ind w:left="177"/>
              <w:spacing w:after="0"/>
              <w:rPr>
                <w:sz w:val="20"/>
                <w:szCs w:val="20"/>
                <w:color w:val="auto"/>
              </w:rPr>
            </w:pPr>
            <w:r>
              <w:rPr>
                <w:rFonts w:ascii="Times New Roman" w:cs="Times New Roman" w:eastAsia="Times New Roman" w:hAnsi="Times New Roman"/>
                <w:sz w:val="16"/>
                <w:szCs w:val="16"/>
                <w:color w:val="0000FF"/>
              </w:rPr>
              <w:t>164,214</w:t>
            </w:r>
          </w:p>
        </w:tc>
        <w:tc>
          <w:tcPr>
            <w:tcW w:w="840" w:type="dxa"/>
            <w:vAlign w:val="bottom"/>
            <w:vMerge w:val="restart"/>
          </w:tcPr>
          <w:p>
            <w:pPr>
              <w:ind w:left="720"/>
              <w:spacing w:after="0"/>
              <w:rPr>
                <w:sz w:val="20"/>
                <w:szCs w:val="20"/>
                <w:color w:val="auto"/>
              </w:rPr>
            </w:pPr>
            <w:r>
              <w:rPr>
                <w:rFonts w:ascii="Times New Roman" w:cs="Times New Roman" w:eastAsia="Times New Roman" w:hAnsi="Times New Roman"/>
                <w:sz w:val="16"/>
                <w:szCs w:val="16"/>
                <w:color w:val="0000FF"/>
              </w:rPr>
              <w:t>I</w:t>
            </w:r>
          </w:p>
        </w:tc>
        <w:tc>
          <w:tcPr>
            <w:tcW w:w="40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Borders>
              <w:top w:val="single" w:sz="8" w:color="2C2C2C"/>
            </w:tcBorders>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gridSpan w:val="2"/>
            <w:vMerge w:val="restart"/>
          </w:tcPr>
          <w:p>
            <w:pPr>
              <w:jc w:val="center"/>
              <w:ind w:left="177"/>
              <w:spacing w:after="0"/>
              <w:rPr>
                <w:sz w:val="20"/>
                <w:szCs w:val="20"/>
                <w:color w:val="auto"/>
              </w:rPr>
            </w:pPr>
            <w:r>
              <w:rPr>
                <w:rFonts w:ascii="Times New Roman" w:cs="Times New Roman" w:eastAsia="Times New Roman" w:hAnsi="Times New Roman"/>
                <w:sz w:val="16"/>
                <w:szCs w:val="16"/>
                <w:color w:val="0000FF"/>
              </w:rPr>
              <w:t>47,234</w:t>
            </w:r>
          </w:p>
        </w:tc>
        <w:tc>
          <w:tcPr>
            <w:tcW w:w="840" w:type="dxa"/>
            <w:vAlign w:val="bottom"/>
            <w:tcBorders>
              <w:top w:val="single" w:sz="8" w:color="2C2C2C"/>
            </w:tcBorders>
            <w:vMerge w:val="restart"/>
          </w:tcPr>
          <w:p>
            <w:pPr>
              <w:ind w:left="720"/>
              <w:spacing w:after="0"/>
              <w:rPr>
                <w:sz w:val="20"/>
                <w:szCs w:val="20"/>
                <w:color w:val="auto"/>
              </w:rPr>
            </w:pPr>
            <w:r>
              <w:rPr>
                <w:rFonts w:ascii="Times New Roman" w:cs="Times New Roman" w:eastAsia="Times New Roman" w:hAnsi="Times New Roman"/>
                <w:sz w:val="16"/>
                <w:szCs w:val="16"/>
                <w:color w:val="0000FF"/>
              </w:rPr>
              <w:t>I</w:t>
            </w:r>
          </w:p>
        </w:tc>
        <w:tc>
          <w:tcPr>
            <w:tcW w:w="4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(8)(9)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Borders>
              <w:top w:val="single" w:sz="8" w:color="2C2C2C"/>
            </w:tcBorders>
            <w:gridSpan w:val="8"/>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0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gridSpan w:val="2"/>
            <w:vMerge w:val="restart"/>
          </w:tcPr>
          <w:p>
            <w:pPr>
              <w:jc w:val="center"/>
              <w:ind w:left="177"/>
              <w:spacing w:after="0"/>
              <w:rPr>
                <w:sz w:val="20"/>
                <w:szCs w:val="20"/>
                <w:color w:val="auto"/>
              </w:rPr>
            </w:pPr>
            <w:r>
              <w:rPr>
                <w:rFonts w:ascii="Times New Roman" w:cs="Times New Roman" w:eastAsia="Times New Roman" w:hAnsi="Times New Roman"/>
                <w:sz w:val="16"/>
                <w:szCs w:val="16"/>
                <w:color w:val="0000FF"/>
              </w:rPr>
              <w:t>5,322</w:t>
            </w:r>
          </w:p>
        </w:tc>
        <w:tc>
          <w:tcPr>
            <w:tcW w:w="840" w:type="dxa"/>
            <w:vAlign w:val="bottom"/>
            <w:tcBorders>
              <w:top w:val="single" w:sz="8" w:color="2C2C2C"/>
            </w:tcBorders>
            <w:vMerge w:val="restart"/>
          </w:tcPr>
          <w:p>
            <w:pPr>
              <w:ind w:left="720"/>
              <w:spacing w:after="0"/>
              <w:rPr>
                <w:sz w:val="20"/>
                <w:szCs w:val="20"/>
                <w:color w:val="auto"/>
              </w:rPr>
            </w:pPr>
            <w:r>
              <w:rPr>
                <w:rFonts w:ascii="Times New Roman" w:cs="Times New Roman" w:eastAsia="Times New Roman" w:hAnsi="Times New Roman"/>
                <w:sz w:val="16"/>
                <w:szCs w:val="16"/>
                <w:color w:val="0000FF"/>
              </w:rPr>
              <w:t>I</w:t>
            </w:r>
          </w:p>
        </w:tc>
        <w:tc>
          <w:tcPr>
            <w:tcW w:w="40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8"/>
            <w:vMerge w:val="continue"/>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(29)</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00" w:type="dxa"/>
            <w:vAlign w:val="bottom"/>
            <w:gridSpan w:val="15"/>
          </w:tcPr>
          <w:p>
            <w:pPr>
              <w:jc w:val="center"/>
              <w:ind w:right="16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gridSpan w:val="13"/>
          </w:tcPr>
          <w:p>
            <w:pPr>
              <w:jc w:val="center"/>
              <w:ind w:left="49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4"/>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4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8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Code</w:t>
            </w:r>
          </w:p>
        </w:tc>
        <w:tc>
          <w:tcPr>
            <w:tcW w:w="380" w:type="dxa"/>
            <w:vAlign w:val="bottom"/>
            <w:gridSpan w:val="3"/>
          </w:tcPr>
          <w:p>
            <w:pPr>
              <w:ind w:left="6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20" w:type="dxa"/>
            <w:vAlign w:val="bottom"/>
            <w:vMerge w:val="restart"/>
          </w:tcPr>
          <w:p>
            <w:pPr>
              <w:jc w:val="right"/>
              <w:ind w:right="56"/>
              <w:spacing w:after="0"/>
              <w:rPr>
                <w:sz w:val="20"/>
                <w:szCs w:val="20"/>
                <w:color w:val="auto"/>
              </w:rPr>
            </w:pPr>
            <w:r>
              <w:rPr>
                <w:rFonts w:ascii="Times New Roman" w:cs="Times New Roman" w:eastAsia="Times New Roman" w:hAnsi="Times New Roman"/>
                <w:sz w:val="16"/>
                <w:szCs w:val="16"/>
                <w:color w:val="0000FF"/>
              </w:rPr>
              <w:t>34,283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0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0000FF"/>
              </w:rPr>
              <w:t>06/09/2026</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0000FF"/>
              </w:rPr>
              <w:t>34,283</w:t>
            </w:r>
          </w:p>
        </w:tc>
        <w:tc>
          <w:tcPr>
            <w:tcW w:w="780" w:type="dxa"/>
            <w:vAlign w:val="bottom"/>
          </w:tcPr>
          <w:p>
            <w:pPr>
              <w:jc w:val="center"/>
              <w:ind w:left="5"/>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17,773,759</w:t>
            </w:r>
          </w:p>
        </w:tc>
        <w:tc>
          <w:tcPr>
            <w:tcW w:w="4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3"/>
                <w:szCs w:val="13"/>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Partners IV,</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right w:val="single" w:sz="8" w:color="2C2C2C"/>
            </w:tcBorders>
            <w:gridSpan w:val="3"/>
          </w:tcPr>
          <w:p>
            <w:pPr>
              <w:ind w:left="60"/>
              <w:spacing w:after="0" w:line="22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jc w:val="center"/>
              <w:ind w:left="5"/>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27,314,419</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vMerge w:val="restart"/>
          </w:tcPr>
          <w:p>
            <w:pPr>
              <w:ind w:left="100"/>
              <w:spacing w:after="0" w:line="101" w:lineRule="exact"/>
              <w:rPr>
                <w:sz w:val="20"/>
                <w:szCs w:val="20"/>
                <w:color w:val="auto"/>
              </w:rPr>
            </w:pPr>
            <w:r>
              <w:rPr>
                <w:rFonts w:ascii="Times New Roman" w:cs="Times New Roman" w:eastAsia="Times New Roman" w:hAnsi="Times New Roman"/>
                <w:sz w:val="11"/>
                <w:szCs w:val="11"/>
                <w:color w:val="0000FF"/>
              </w:rPr>
              <w:t>27,314,419</w:t>
            </w:r>
          </w:p>
        </w:tc>
        <w:tc>
          <w:tcPr>
            <w:tcW w:w="400" w:type="dxa"/>
            <w:vAlign w:val="bottom"/>
            <w:vMerge w:val="restart"/>
          </w:tcPr>
          <w:p>
            <w:pPr>
              <w:ind w:left="32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8"/>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IV, L.P.</w:t>
              </w:r>
            </w:hyperlink>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8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8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8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8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Borders>
              <w:bottom w:val="single" w:sz="8" w:color="0000EE"/>
            </w:tcBorders>
            <w:gridSpan w:val="8"/>
          </w:tcPr>
          <w:p>
            <w:pPr>
              <w:spacing w:after="0" w:line="212" w:lineRule="exact"/>
              <w:rPr>
                <w:rFonts w:ascii="Times New Roman" w:cs="Times New Roman" w:eastAsia="Times New Roman" w:hAnsi="Times New Roman"/>
                <w:sz w:val="20"/>
                <w:szCs w:val="20"/>
                <w:color w:val="0000EE"/>
                <w:w w:val="97"/>
              </w:rPr>
            </w:pPr>
            <w:hyperlink r:id="rId18">
              <w:r>
                <w:rPr>
                  <w:rFonts w:ascii="Times New Roman" w:cs="Times New Roman" w:eastAsia="Times New Roman" w:hAnsi="Times New Roman"/>
                  <w:sz w:val="20"/>
                  <w:szCs w:val="20"/>
                  <w:color w:val="0000EE"/>
                  <w:w w:val="97"/>
                </w:rPr>
                <w:t>Silver Lake Technology Associates IV, L.P.</w:t>
              </w:r>
            </w:hyperlink>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8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8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8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8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SLTA IV (GP), L.L.C.</w:t>
              </w:r>
            </w:hyperlink>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8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8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8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(State)</w:t>
            </w:r>
          </w:p>
        </w:tc>
        <w:tc>
          <w:tcPr>
            <w:tcW w:w="108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Silver Lake Group, L.L.C.</w:t>
              </w:r>
            </w:hyperlink>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8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rPr>
              <w:t>(First)</w:t>
            </w:r>
          </w:p>
        </w:tc>
        <w:tc>
          <w:tcPr>
            <w:tcW w:w="108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94025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-8670925</wp:posOffset>
            </wp:positionV>
            <wp:extent cx="28575" cy="2323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8575" cy="2323465"/>
                    </a:xfrm>
                    <a:prstGeom prst="rect">
                      <a:avLst/>
                    </a:prstGeom>
                    <a:noFill/>
                  </pic:spPr>
                </pic:pic>
              </a:graphicData>
            </a:graphic>
          </wp:anchor>
        </w:drawing>
      </w:r>
    </w:p>
    <w:p>
      <w:pPr>
        <w:sectPr>
          <w:pgSz w:w="11900" w:h="16883" w:orient="portrait"/>
          <w:cols w:equalWidth="0" w:num="1">
            <w:col w:w="11080"/>
          </w:cols>
          <w:pgMar w:left="460" w:top="189" w:right="359" w:bottom="0" w:gutter="0" w:footer="0" w:header="0"/>
        </w:sectPr>
      </w:pPr>
    </w:p>
    <w:bookmarkStart w:id="3" w:name="page4"/>
    <w:bookmarkEnd w:id="3"/>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4320" cy="2017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814320" cy="2017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gridSpan w:val="2"/>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2"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Durban Egon</w:t>
              </w:r>
            </w:hyperlink>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1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jc w:val="both"/>
        <w:ind w:left="20" w:right="4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9, 2026 and initiated in-kind distributions of shares of Class C Common Stock on June 9, 2026. The receipt of shares of Class C Common Stock by each of the Reporting Persons in connection with such distributions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20" w:right="2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9, 2026, certain of the Reporting Persons converted shares of Class B Common Stock into an equal number of shares of Class C Common Stock in connection with the sales and distributions described in footnote (1) above.</w:t>
      </w:r>
    </w:p>
    <w:p>
      <w:pPr>
        <w:spacing w:after="0" w:line="13" w:lineRule="exact"/>
        <w:rPr>
          <w:rFonts w:ascii="Times New Roman" w:cs="Times New Roman" w:eastAsia="Times New Roman" w:hAnsi="Times New Roman"/>
          <w:sz w:val="12"/>
          <w:szCs w:val="12"/>
          <w:color w:val="008000"/>
        </w:rPr>
      </w:pPr>
    </w:p>
    <w:p>
      <w:pPr>
        <w:ind w:left="20" w:right="6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IV, L.P. The general partner of Silver Lake Partners IV, L.P. is Silver Lake Technology Associates IV, L.P. and the general partner of Silver Lake Technology Associates IV, L.P. is SLTA IV (GP), L.L.C.</w:t>
      </w:r>
    </w:p>
    <w:p>
      <w:pPr>
        <w:ind w:left="20" w:right="30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IV (GP), L.L.C. Egon Durban, who serves as a director of the Issuer, also serves as a Co-CEO and Managing Member of SLG. Each of the Reporting Persons may be deemed a director by deputization of the Issuer.</w:t>
      </w:r>
    </w:p>
    <w:p>
      <w:pPr>
        <w:ind w:left="20" w:right="28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 Shares held include shares of Class C Common Stock received in connection with the distributions described herein on June 9, 2026. The receipt of such shares of Class C Common Stock was exempt from reporting pursuant to Rule 16a-13 of the Exchange Act.</w:t>
      </w:r>
    </w:p>
    <w:p>
      <w:pPr>
        <w:ind w:left="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 including shares received in connection with the distributions of shares of Class C Common Stock on June 9, 2026. The receipt of such shares of Class C Common Stock indirectly by Mr. Durban was exempt from reporting pursuant to Rule 16a-13 of the Exchange Act.</w:t>
      </w:r>
    </w:p>
    <w:p>
      <w:pPr>
        <w:ind w:left="20" w:right="40" w:hanging="3"/>
        <w:spacing w:after="0" w:line="260"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distributions described in footnote (1) above, distributions of certain shares were initiated to certain employees and managing members of SLG or its affiliates, including Mr. Durban. This amount reflects 24,563, 24,932, 114,663 and 56 shares held by SLTA SPV-2, L.P., Silver Lake Technology Associates V, L.P., SLG and Silver Lake Secondary Holdings L.P., respectively, on behalf of such individuals, including shares distributed in the June 9, 2026 distributions. The receipt of such shares of Class C Common Stock was exempt from reporting pursuant to Rule 16a-13 of the Exchange Act.</w:t>
      </w:r>
    </w:p>
    <w:p>
      <w:pPr>
        <w:spacing w:after="0" w:line="13"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RESERVED</w:t>
      </w:r>
    </w:p>
    <w:p>
      <w:pPr>
        <w:spacing w:after="0" w:line="49" w:lineRule="exact"/>
        <w:rPr>
          <w:rFonts w:ascii="Times New Roman" w:cs="Times New Roman" w:eastAsia="Times New Roman" w:hAnsi="Times New Roman"/>
          <w:sz w:val="12"/>
          <w:szCs w:val="12"/>
          <w:color w:val="008000"/>
        </w:rPr>
      </w:pPr>
    </w:p>
    <w:p>
      <w:pPr>
        <w:ind w:left="20" w:right="120" w:hanging="3"/>
        <w:spacing w:after="0" w:line="282" w:lineRule="auto"/>
        <w:tabs>
          <w:tab w:leader="none" w:pos="14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 including shares received in connection with the distributions of shares of Class C Common Stock on June 9, 2026. The receipt of such shares of Class C Common Stock indirectly by Mr. Durban was exempt from reporting pursuant to Rule 16a-13 of the Exchange Act.</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$380.0000 to $380.9800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80" w:hanging="3"/>
        <w:spacing w:after="0" w:line="282" w:lineRule="auto"/>
        <w:tabs>
          <w:tab w:leader="none" w:pos="20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$381.0000 to $381.9300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$382.0500 to $382.8500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$383.0000 to $383.1200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$384.1200 to $384.1800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$385.7600 to $386.7000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$386.9900 to $387.9300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8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$388.3200 to $389.1100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$390.0000 to $390.9983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$391.0000 to $391.9818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$392.0187 to $392.0794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$394.4800 to $395.4268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$395.5264 to $396.4800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$396.5300 to $397.5167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$397.5900 to $398.5700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$398.5900 to $399.5097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$399.6000 to $400.5786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$400.7600 to $401.7224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60" w:hanging="3"/>
        <w:spacing w:after="0" w:line="282"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$401.8262 to $402.7200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jc w:val="both"/>
        <w:ind w:left="20" w:hanging="3"/>
        <w:spacing w:after="0" w:line="260"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0 shares of Class C Common Stock, Silver Lake Partners V DE (AIV), L.P. directly holds 5,322 shares of Class C Common Stock, Silver Lake Technology Investors IV, L.P. directly holds 0 shares of Class C Common Stock, and Silver Lake Technology Investors V, L.P. directly holds 0 shares of Class C Common Stock, which securities and related transactions are reported on separate Form 4 filings.</w:t>
      </w:r>
    </w:p>
    <w:p>
      <w:pPr>
        <w:spacing w:after="0" w:line="13" w:lineRule="exact"/>
        <w:rPr>
          <w:rFonts w:ascii="Times New Roman" w:cs="Times New Roman" w:eastAsia="Times New Roman" w:hAnsi="Times New Roman"/>
          <w:sz w:val="12"/>
          <w:szCs w:val="12"/>
          <w:color w:val="008000"/>
        </w:rPr>
      </w:pPr>
    </w:p>
    <w:p>
      <w:pPr>
        <w:ind w:left="20" w:right="160" w:hanging="3"/>
        <w:spacing w:after="0" w:line="260" w:lineRule="auto"/>
        <w:tabs>
          <w:tab w:leader="none" w:pos="20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17,314,068 shares of Class B Common Stock, Silver Lake Partners V DE (AIV), L.P. directly holds 9,620,914 shares of Class B Common Stock, Silver Lake Technology Investors IV, L.P. directly holds 261,510 shares of Class B Common Stock and Silver Lake Technology Investors V, L.P. directly holds 117,927 shares of Class B Common Stock, which securities are reported on separate Form 4 filings.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20" w:right="60"/>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-5080</wp:posOffset>
            </wp:positionV>
            <wp:extent cx="10013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153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1703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0439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80"/>
        <w:spacing w:after="0"/>
        <w:tabs>
          <w:tab w:leader="none" w:pos="8760" w:val="left"/>
        </w:tabs>
        <w:rPr>
          <w:sz w:val="20"/>
          <w:szCs w:val="20"/>
          <w:color w:val="auto"/>
        </w:rPr>
      </w:pPr>
      <w:r>
        <w:rPr>
          <w:rFonts w:ascii="Times New Roman" w:cs="Times New Roman" w:eastAsia="Times New Roman" w:hAnsi="Times New Roman"/>
          <w:sz w:val="16"/>
          <w:szCs w:val="16"/>
          <w:color w:val="0000FF"/>
        </w:rPr>
        <w:t>member of SLTA IV (GP),</w:t>
      </w:r>
      <w:r>
        <w:rPr>
          <w:sz w:val="20"/>
          <w:szCs w:val="20"/>
          <w:color w:val="auto"/>
        </w:rPr>
        <w:tab/>
      </w: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85991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8599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3271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3296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12153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Lake Partners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-12065</wp:posOffset>
            </wp:positionV>
            <wp:extent cx="9023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902335" cy="7620"/>
                    </a:xfrm>
                    <a:prstGeom prst="rect">
                      <a:avLst/>
                    </a:prstGeom>
                    <a:noFill/>
                  </pic:spPr>
                </pic:pic>
              </a:graphicData>
            </a:graphic>
          </wp:anchor>
        </w:drawing>
      </w:r>
    </w:p>
    <w:p>
      <w:pPr>
        <w:spacing w:after="0" w:line="26"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0000FF"/>
              </w:rPr>
              <w:t>By: /s/ Justin G. Hamill,</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06/11/2026</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ectPr>
          <w:pgSz w:w="11900" w:h="16885" w:orient="portrait"/>
          <w:cols w:equalWidth="0" w:num="1">
            <w:col w:w="10900"/>
          </w:cols>
          <w:pgMar w:left="480" w:top="401" w:right="519" w:bottom="0" w:gutter="0" w:footer="0" w:header="0"/>
        </w:sectPr>
      </w:pPr>
    </w:p>
    <w:bookmarkStart w:id="4" w:name="page5"/>
    <w:bookmarkEnd w:id="4"/>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215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0045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71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96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296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600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002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004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0045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579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4654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63" w:space="100"/>
            <w:col w:w="1199"/>
          </w:cols>
          <w:pgMar w:left="497" w:top="127" w:right="1440" w:bottom="1440" w:gutter="0" w:footer="0" w:header="0"/>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13" Type="http://schemas.openxmlformats.org/officeDocument/2006/relationships/hyperlink" Target="http://www.sec.gov/cgi-bin/browse-edgar?action=getcompany&amp;CIK=0001552054" TargetMode="External"/><Relationship Id="rId14" Type="http://schemas.openxmlformats.org/officeDocument/2006/relationships/hyperlink" Target="http://www.sec.gov/cgi-bin/browse-edgar?action=getcompany&amp;CIK=0001571996" TargetMode="External"/><Relationship Id="rId18" Type="http://schemas.openxmlformats.org/officeDocument/2006/relationships/hyperlink" Target="http://www.sec.gov/cgi-bin/browse-edgar?action=getcompany&amp;CIK=0001672566" TargetMode="External"/><Relationship Id="rId19" Type="http://schemas.openxmlformats.org/officeDocument/2006/relationships/hyperlink" Target="http://www.sec.gov/cgi-bin/browse-edgar?action=getcompany&amp;CIK=0001672568" TargetMode="External"/><Relationship Id="rId20" Type="http://schemas.openxmlformats.org/officeDocument/2006/relationships/hyperlink" Target="http://www.sec.gov/cgi-bin/browse-edgar?action=getcompany&amp;CIK=0001418226" TargetMode="External"/><Relationship Id="rId23"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2026-06-11T15:55:56Z</dcterms:created>
  <dcterms:modified xsi:type="dcterms:W3CDTF">2026-06-11T15:55:56Z</dcterms:modified>
</cp:coreProperties>
</file>