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58"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(First)</w:t>
            </w:r>
          </w:p>
        </w:tc>
        <w:tc>
          <w:tcPr>
            <w:tcW w:w="1680" w:type="dxa"/>
            <w:vAlign w:val="bottom"/>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680" w:type="dxa"/>
            <w:vAlign w:val="bottom"/>
          </w:tcPr>
          <w:p>
            <w:pPr>
              <w:spacing w:after="0"/>
              <w:rPr>
                <w:sz w:val="19"/>
                <w:szCs w:val="19"/>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280" w:type="dxa"/>
            <w:vAlign w:val="bottom"/>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680" w:type="dxa"/>
            <w:vAlign w:val="bottom"/>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18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00" w:type="dxa"/>
            <w:vAlign w:val="bottom"/>
            <w:gridSpan w:val="4"/>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gridSpan w:val="4"/>
          </w:tcPr>
          <w:p>
            <w:pPr>
              <w:jc w:val="center"/>
              <w:ind w:left="9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3"/>
            <w:vMerge w:val="restart"/>
          </w:tcPr>
          <w:p>
            <w:pPr>
              <w:jc w:val="right"/>
              <w:ind w:right="30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vMerge w:val="restart"/>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91,809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210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SL SPV-2,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vMerge w:val="restart"/>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69,916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Lake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2100" w:type="dxa"/>
            <w:vAlign w:val="bottom"/>
            <w:gridSpan w:val="4"/>
          </w:tcPr>
          <w:p>
            <w:pPr>
              <w:jc w:val="center"/>
              <w:ind w:left="925"/>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50,381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right"/>
              <w:ind w:right="1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Lake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 (AIV),</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10,765</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Lake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(5)(6)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5,914</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150,338</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06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1,374,245</w:t>
            </w:r>
          </w:p>
        </w:tc>
        <w:tc>
          <w:tcPr>
            <w:tcW w:w="700" w:type="dxa"/>
            <w:vAlign w:val="bottom"/>
            <w:tcBorders>
              <w:top w:val="single" w:sz="8" w:color="2C2C2C"/>
              <w:bottom w:val="single" w:sz="8" w:color="2C2C2C"/>
            </w:tcBorders>
          </w:tcPr>
          <w:p>
            <w:pPr>
              <w:jc w:val="center"/>
              <w:ind w:left="165"/>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(9)</w:t>
            </w:r>
          </w:p>
        </w:tc>
        <w:tc>
          <w:tcPr>
            <w:tcW w:w="24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49,237</w:t>
            </w:r>
          </w:p>
        </w:tc>
        <w:tc>
          <w:tcPr>
            <w:tcW w:w="700" w:type="dxa"/>
            <w:vAlign w:val="bottom"/>
            <w:vMerge w:val="restart"/>
          </w:tcPr>
          <w:p>
            <w:pPr>
              <w:jc w:val="center"/>
              <w:ind w:left="165"/>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7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8"/>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3"/>
          </w:tcPr>
          <w:p>
            <w:pPr>
              <w:ind w:left="4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5"/>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80" w:type="dxa"/>
            <w:vAlign w:val="bottom"/>
            <w:gridSpan w:val="3"/>
          </w:tcPr>
          <w:p>
            <w:pPr>
              <w:ind w:left="100"/>
              <w:spacing w:after="0"/>
              <w:rPr>
                <w:sz w:val="20"/>
                <w:szCs w:val="20"/>
                <w:color w:val="auto"/>
              </w:rPr>
            </w:pPr>
            <w:r>
              <w:rPr>
                <w:rFonts w:ascii="Arial" w:cs="Arial" w:eastAsia="Arial" w:hAnsi="Arial"/>
                <w:sz w:val="2"/>
                <w:szCs w:val="2"/>
                <w:b w:val="1"/>
                <w:bCs w:val="1"/>
                <w:color w:val="auto"/>
              </w:rPr>
              <w:t>(Month/Day/Year)</w:t>
            </w:r>
          </w:p>
        </w:tc>
        <w:tc>
          <w:tcPr>
            <w:tcW w:w="5260" w:type="dxa"/>
            <w:vAlign w:val="bottom"/>
            <w:gridSpan w:val="15"/>
          </w:tcPr>
          <w:p>
            <w:pPr>
              <w:ind w:left="40"/>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7"/>
                <w:szCs w:val="7"/>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380" w:type="dxa"/>
            <w:vAlign w:val="bottom"/>
          </w:tcPr>
          <w:p>
            <w:pPr>
              <w:spacing w:after="0"/>
              <w:rPr>
                <w:sz w:val="7"/>
                <w:szCs w:val="7"/>
                <w:color w:val="auto"/>
              </w:rPr>
            </w:pPr>
          </w:p>
        </w:tc>
        <w:tc>
          <w:tcPr>
            <w:tcW w:w="680" w:type="dxa"/>
            <w:vAlign w:val="bottom"/>
            <w:gridSpan w:val="2"/>
          </w:tcPr>
          <w:p>
            <w:pPr>
              <w:ind w:left="80"/>
              <w:spacing w:after="0" w:line="87" w:lineRule="exact"/>
              <w:rPr>
                <w:sz w:val="20"/>
                <w:szCs w:val="20"/>
                <w:color w:val="auto"/>
              </w:rPr>
            </w:pPr>
            <w:r>
              <w:rPr>
                <w:rFonts w:ascii="Arial" w:cs="Arial" w:eastAsia="Arial" w:hAnsi="Arial"/>
                <w:sz w:val="10"/>
                <w:szCs w:val="10"/>
                <w:b w:val="1"/>
                <w:bCs w:val="1"/>
                <w:color w:val="auto"/>
              </w:rPr>
              <w:t>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3"/>
          </w:tcPr>
          <w:p>
            <w:pPr>
              <w:ind w:left="60"/>
              <w:spacing w:after="0" w:line="67" w:lineRule="exact"/>
              <w:rPr>
                <w:sz w:val="20"/>
                <w:szCs w:val="20"/>
                <w:color w:val="auto"/>
              </w:rPr>
            </w:pPr>
            <w:r>
              <w:rPr>
                <w:rFonts w:ascii="Arial" w:cs="Arial" w:eastAsia="Arial" w:hAnsi="Arial"/>
                <w:sz w:val="7"/>
                <w:szCs w:val="7"/>
                <w:b w:val="1"/>
                <w:bCs w:val="1"/>
                <w:color w:val="auto"/>
              </w:rPr>
              <w:t>7. Title and</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5"/>
                <w:szCs w:val="5"/>
                <w:color w:val="auto"/>
              </w:rPr>
            </w:pPr>
          </w:p>
        </w:tc>
        <w:tc>
          <w:tcPr>
            <w:tcW w:w="110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5"/>
                <w:szCs w:val="5"/>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5"/>
                <w:szCs w:val="5"/>
                <w:color w:val="auto"/>
              </w:rPr>
            </w:pPr>
          </w:p>
        </w:tc>
        <w:tc>
          <w:tcPr>
            <w:tcW w:w="6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60" w:type="dxa"/>
            <w:vAlign w:val="bottom"/>
            <w:gridSpan w:val="3"/>
          </w:tcPr>
          <w:p>
            <w:pPr>
              <w:ind w:left="60"/>
              <w:spacing w:after="0" w:line="67" w:lineRule="exact"/>
              <w:rPr>
                <w:sz w:val="20"/>
                <w:szCs w:val="20"/>
                <w:color w:val="auto"/>
              </w:rPr>
            </w:pPr>
            <w:r>
              <w:rPr>
                <w:rFonts w:ascii="Arial" w:cs="Arial" w:eastAsia="Arial" w:hAnsi="Arial"/>
                <w:sz w:val="7"/>
                <w:szCs w:val="7"/>
                <w:b w:val="1"/>
                <w:bCs w:val="1"/>
                <w:color w:val="auto"/>
              </w:rPr>
              <w:t>Amount of</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vMerge w:val="restart"/>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Date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Expiration</w:t>
            </w:r>
          </w:p>
        </w:tc>
        <w:tc>
          <w:tcPr>
            <w:tcW w:w="380" w:type="dxa"/>
            <w:vAlign w:val="bottom"/>
          </w:tcPr>
          <w:p>
            <w:pPr>
              <w:spacing w:after="0"/>
              <w:rPr>
                <w:sz w:val="5"/>
                <w:szCs w:val="5"/>
                <w:color w:val="auto"/>
              </w:rPr>
            </w:pPr>
          </w:p>
        </w:tc>
        <w:tc>
          <w:tcPr>
            <w:tcW w:w="6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820" w:type="dxa"/>
            <w:vAlign w:val="bottom"/>
            <w:gridSpan w:val="5"/>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540" w:type="dxa"/>
            <w:vAlign w:val="bottom"/>
            <w:gridSpan w:val="2"/>
          </w:tcPr>
          <w:p>
            <w:pPr>
              <w:ind w:left="60"/>
              <w:spacing w:after="0" w:line="67" w:lineRule="exact"/>
              <w:rPr>
                <w:sz w:val="20"/>
                <w:szCs w:val="20"/>
                <w:color w:val="auto"/>
              </w:rPr>
            </w:pPr>
            <w:r>
              <w:rPr>
                <w:rFonts w:ascii="Arial" w:cs="Arial" w:eastAsia="Arial" w:hAnsi="Arial"/>
                <w:sz w:val="7"/>
                <w:szCs w:val="7"/>
                <w:b w:val="1"/>
                <w:bCs w:val="1"/>
                <w:color w:val="auto"/>
              </w:rPr>
              <w:t>(Month/Day/Year)</w:t>
            </w:r>
          </w:p>
        </w:tc>
        <w:tc>
          <w:tcPr>
            <w:tcW w:w="1060" w:type="dxa"/>
            <w:vAlign w:val="bottom"/>
            <w:gridSpan w:val="3"/>
          </w:tcPr>
          <w:p>
            <w:pPr>
              <w:ind w:left="60"/>
              <w:spacing w:after="0" w:line="67" w:lineRule="exact"/>
              <w:rPr>
                <w:sz w:val="20"/>
                <w:szCs w:val="20"/>
                <w:color w:val="auto"/>
              </w:rPr>
            </w:pPr>
            <w:r>
              <w:rPr>
                <w:rFonts w:ascii="Arial" w:cs="Arial" w:eastAsia="Arial" w:hAnsi="Arial"/>
                <w:sz w:val="7"/>
                <w:szCs w:val="7"/>
                <w:b w:val="1"/>
                <w:bCs w:val="1"/>
                <w:color w:val="auto"/>
              </w:rPr>
              <w:t>Securities</w:t>
            </w:r>
          </w:p>
        </w:tc>
        <w:tc>
          <w:tcPr>
            <w:tcW w:w="6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Code</w:t>
            </w:r>
          </w:p>
        </w:tc>
        <w:tc>
          <w:tcPr>
            <w:tcW w:w="380" w:type="dxa"/>
            <w:vAlign w:val="bottom"/>
            <w:gridSpan w:val="4"/>
          </w:tcPr>
          <w:p>
            <w:pPr>
              <w:ind w:left="60"/>
              <w:spacing w:after="0" w:line="67" w:lineRule="exact"/>
              <w:rPr>
                <w:sz w:val="20"/>
                <w:szCs w:val="20"/>
                <w:color w:val="auto"/>
              </w:rPr>
            </w:pPr>
            <w:r>
              <w:rPr>
                <w:rFonts w:ascii="Arial" w:cs="Arial" w:eastAsia="Arial" w:hAnsi="Arial"/>
                <w:sz w:val="7"/>
                <w:szCs w:val="7"/>
                <w:b w:val="1"/>
                <w:bCs w:val="1"/>
                <w:color w:val="auto"/>
              </w:rPr>
              <w:t>V</w:t>
            </w:r>
          </w:p>
        </w:tc>
        <w:tc>
          <w:tcPr>
            <w:tcW w:w="4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w:t>
            </w:r>
          </w:p>
        </w:tc>
        <w:tc>
          <w:tcPr>
            <w:tcW w:w="300" w:type="dxa"/>
            <w:vAlign w:val="bottom"/>
          </w:tcPr>
          <w:p>
            <w:pPr>
              <w:spacing w:after="0" w:line="67" w:lineRule="exact"/>
              <w:rPr>
                <w:sz w:val="20"/>
                <w:szCs w:val="20"/>
                <w:color w:val="auto"/>
              </w:rPr>
            </w:pPr>
            <w:r>
              <w:rPr>
                <w:rFonts w:ascii="Arial" w:cs="Arial" w:eastAsia="Arial" w:hAnsi="Arial"/>
                <w:sz w:val="7"/>
                <w:szCs w:val="7"/>
                <w:b w:val="1"/>
                <w:bCs w:val="1"/>
                <w:color w:val="auto"/>
              </w:rPr>
              <w:t>(D)</w:t>
            </w:r>
          </w:p>
        </w:tc>
        <w:tc>
          <w:tcPr>
            <w:tcW w:w="80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Exercisable</w:t>
            </w: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Date</w:t>
            </w:r>
          </w:p>
        </w:tc>
        <w:tc>
          <w:tcPr>
            <w:tcW w:w="38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Title</w:t>
            </w:r>
          </w:p>
        </w:tc>
        <w:tc>
          <w:tcPr>
            <w:tcW w:w="680" w:type="dxa"/>
            <w:vAlign w:val="bottom"/>
            <w:gridSpan w:val="2"/>
          </w:tcPr>
          <w:p>
            <w:pPr>
              <w:ind w:left="80"/>
              <w:spacing w:after="0" w:line="67" w:lineRule="exact"/>
              <w:rPr>
                <w:sz w:val="20"/>
                <w:szCs w:val="20"/>
                <w:color w:val="auto"/>
              </w:rPr>
            </w:pPr>
            <w:r>
              <w:rPr>
                <w:rFonts w:ascii="Arial" w:cs="Arial" w:eastAsia="Arial" w:hAnsi="Arial"/>
                <w:sz w:val="7"/>
                <w:szCs w:val="7"/>
                <w:b w:val="1"/>
                <w:bCs w:val="1"/>
                <w:color w:val="auto"/>
              </w:rPr>
              <w:t>Shares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vMerge w:val="continue"/>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3"/>
            <w:vMerge w:val="continue"/>
          </w:tcPr>
          <w:p>
            <w:pPr>
              <w:spacing w:after="0"/>
              <w:rPr>
                <w:sz w:val="9"/>
                <w:szCs w:val="9"/>
                <w:color w:val="auto"/>
              </w:rPr>
            </w:pPr>
          </w:p>
        </w:tc>
        <w:tc>
          <w:tcPr>
            <w:tcW w:w="440" w:type="dxa"/>
            <w:vAlign w:val="bottom"/>
            <w:tcBorders>
              <w:bottom w:val="single" w:sz="8" w:color="2C2C2C"/>
            </w:tcBorders>
          </w:tcPr>
          <w:p>
            <w:pPr>
              <w:ind w:left="60"/>
              <w:spacing w:after="0" w:line="80" w:lineRule="exact"/>
              <w:rPr>
                <w:sz w:val="20"/>
                <w:szCs w:val="20"/>
                <w:color w:val="auto"/>
              </w:rPr>
            </w:pPr>
            <w:r>
              <w:rPr>
                <w:rFonts w:ascii="Arial" w:cs="Arial" w:eastAsia="Arial" w:hAnsi="Arial"/>
                <w:sz w:val="8"/>
                <w:szCs w:val="8"/>
                <w:b w:val="1"/>
                <w:bCs w:val="1"/>
                <w:color w:val="auto"/>
              </w:rPr>
              <w:t>8)</w:t>
            </w: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Securities</w:t>
            </w: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3"/>
          </w:tcPr>
          <w:p>
            <w:pPr>
              <w:ind w:left="60"/>
              <w:spacing w:after="0" w:line="80" w:lineRule="exact"/>
              <w:rPr>
                <w:sz w:val="20"/>
                <w:szCs w:val="20"/>
                <w:color w:val="auto"/>
              </w:rPr>
            </w:pPr>
            <w:r>
              <w:rPr>
                <w:rFonts w:ascii="Arial" w:cs="Arial" w:eastAsia="Arial" w:hAnsi="Arial"/>
                <w:sz w:val="8"/>
                <w:szCs w:val="8"/>
                <w:b w:val="1"/>
                <w:bCs w:val="1"/>
                <w:color w:val="auto"/>
              </w:rPr>
              <w:t>Underlying</w:t>
            </w:r>
          </w:p>
        </w:tc>
        <w:tc>
          <w:tcPr>
            <w:tcW w:w="640" w:type="dxa"/>
            <w:vAlign w:val="bottom"/>
            <w:tcBorders>
              <w:bottom w:val="single" w:sz="8" w:color="2C2C2C"/>
            </w:tcBorders>
            <w:vMerge w:val="continue"/>
          </w:tcPr>
          <w:p>
            <w:pPr>
              <w:spacing w:after="0"/>
              <w:rPr>
                <w:sz w:val="9"/>
                <w:szCs w:val="9"/>
                <w:color w:val="auto"/>
              </w:rPr>
            </w:pPr>
          </w:p>
        </w:tc>
        <w:tc>
          <w:tcPr>
            <w:tcW w:w="960" w:type="dxa"/>
            <w:vAlign w:val="bottom"/>
            <w:tcBorders>
              <w:bottom w:val="single" w:sz="8" w:color="2C2C2C"/>
            </w:tcBorders>
            <w:vMerge w:val="continue"/>
          </w:tcPr>
          <w:p>
            <w:pPr>
              <w:spacing w:after="0"/>
              <w:rPr>
                <w:sz w:val="9"/>
                <w:szCs w:val="9"/>
                <w:color w:val="auto"/>
              </w:rPr>
            </w:pPr>
          </w:p>
        </w:tc>
        <w:tc>
          <w:tcPr>
            <w:tcW w:w="760" w:type="dxa"/>
            <w:vAlign w:val="bottom"/>
            <w:tcBorders>
              <w:bottom w:val="single" w:sz="8" w:color="2C2C2C"/>
            </w:tcBorders>
            <w:vMerge w:val="continue"/>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Borders>
              <w:top w:val="single" w:sz="8" w:color="808080"/>
            </w:tcBorders>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620" w:type="dxa"/>
            <w:vAlign w:val="bottom"/>
            <w:tcBorders>
              <w:top w:val="single" w:sz="8" w:color="808080"/>
            </w:tcBorders>
          </w:tcPr>
          <w:p>
            <w:pPr>
              <w:spacing w:after="0"/>
              <w:rPr>
                <w:sz w:val="6"/>
                <w:szCs w:val="6"/>
                <w:color w:val="auto"/>
              </w:rPr>
            </w:pPr>
          </w:p>
        </w:tc>
        <w:tc>
          <w:tcPr>
            <w:tcW w:w="760" w:type="dxa"/>
            <w:vAlign w:val="bottom"/>
            <w:tcBorders>
              <w:top w:val="single" w:sz="8" w:color="808080"/>
            </w:tcBorders>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460" w:type="dxa"/>
            <w:vAlign w:val="bottom"/>
            <w:tcBorders>
              <w:top w:val="single" w:sz="8" w:color="808080"/>
            </w:tcBorders>
          </w:tcPr>
          <w:p>
            <w:pPr>
              <w:spacing w:after="0"/>
              <w:rPr>
                <w:sz w:val="6"/>
                <w:szCs w:val="6"/>
                <w:color w:val="auto"/>
              </w:rPr>
            </w:pPr>
          </w:p>
        </w:tc>
        <w:tc>
          <w:tcPr>
            <w:tcW w:w="460" w:type="dxa"/>
            <w:vAlign w:val="bottom"/>
            <w:tcBorders>
              <w:top w:val="single" w:sz="8" w:color="808080"/>
            </w:tcBorders>
          </w:tcPr>
          <w:p>
            <w:pPr>
              <w:spacing w:after="0"/>
              <w:rPr>
                <w:sz w:val="6"/>
                <w:szCs w:val="6"/>
                <w:color w:val="auto"/>
              </w:rPr>
            </w:pPr>
          </w:p>
        </w:tc>
        <w:tc>
          <w:tcPr>
            <w:tcW w:w="260" w:type="dxa"/>
            <w:vAlign w:val="bottom"/>
            <w:tcBorders>
              <w:top w:val="single" w:sz="8" w:color="808080"/>
            </w:tcBorders>
          </w:tcPr>
          <w:p>
            <w:pPr>
              <w:spacing w:after="0"/>
              <w:rPr>
                <w:sz w:val="6"/>
                <w:szCs w:val="6"/>
                <w:color w:val="auto"/>
              </w:rPr>
            </w:pPr>
          </w:p>
        </w:tc>
        <w:tc>
          <w:tcPr>
            <w:tcW w:w="740" w:type="dxa"/>
            <w:vAlign w:val="bottom"/>
            <w:tcBorders>
              <w:top w:val="single" w:sz="8" w:color="808080"/>
            </w:tcBorders>
          </w:tcPr>
          <w:p>
            <w:pPr>
              <w:spacing w:after="0"/>
              <w:rPr>
                <w:sz w:val="6"/>
                <w:szCs w:val="6"/>
                <w:color w:val="auto"/>
              </w:rPr>
            </w:pPr>
          </w:p>
        </w:tc>
        <w:tc>
          <w:tcPr>
            <w:tcW w:w="34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440" w:type="dxa"/>
            <w:vAlign w:val="bottom"/>
            <w:tcBorders>
              <w:top w:val="single" w:sz="8" w:color="808080"/>
            </w:tcBorders>
          </w:tcPr>
          <w:p>
            <w:pPr>
              <w:spacing w:after="0"/>
              <w:rPr>
                <w:sz w:val="6"/>
                <w:szCs w:val="6"/>
                <w:color w:val="auto"/>
              </w:rPr>
            </w:pPr>
          </w:p>
        </w:tc>
        <w:tc>
          <w:tcPr>
            <w:tcW w:w="60" w:type="dxa"/>
            <w:vAlign w:val="bottom"/>
            <w:tcBorders>
              <w:top w:val="single" w:sz="8" w:color="808080"/>
            </w:tcBorders>
          </w:tcPr>
          <w:p>
            <w:pPr>
              <w:spacing w:after="0"/>
              <w:rPr>
                <w:sz w:val="6"/>
                <w:szCs w:val="6"/>
                <w:color w:val="auto"/>
              </w:rPr>
            </w:pPr>
          </w:p>
        </w:tc>
        <w:tc>
          <w:tcPr>
            <w:tcW w:w="10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Acquired</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6"/>
                <w:szCs w:val="6"/>
                <w:color w:val="auto"/>
              </w:rPr>
            </w:pPr>
          </w:p>
        </w:tc>
        <w:tc>
          <w:tcPr>
            <w:tcW w:w="9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Owned</w:t>
            </w:r>
          </w:p>
        </w:tc>
        <w:tc>
          <w:tcPr>
            <w:tcW w:w="76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or Indirect</w:t>
            </w:r>
          </w:p>
        </w:tc>
        <w:tc>
          <w:tcPr>
            <w:tcW w:w="78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(Instr. 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gridSpan w:val="6"/>
          </w:tcPr>
          <w:p>
            <w:pPr>
              <w:ind w:left="60"/>
              <w:spacing w:after="0" w:line="147" w:lineRule="exact"/>
              <w:rPr>
                <w:sz w:val="20"/>
                <w:szCs w:val="20"/>
                <w:color w:val="auto"/>
              </w:rPr>
            </w:pPr>
            <w:r>
              <w:rPr>
                <w:rFonts w:ascii="Arial" w:cs="Arial" w:eastAsia="Arial" w:hAnsi="Arial"/>
                <w:sz w:val="10"/>
                <w:szCs w:val="10"/>
                <w:color w:val="auto"/>
              </w:rPr>
              <w:t>1. Name and</w:t>
            </w:r>
            <w:r>
              <w:rPr>
                <w:rFonts w:ascii="Arial" w:cs="Arial" w:eastAsia="Arial" w:hAnsi="Arial"/>
                <w:sz w:val="9"/>
                <w:szCs w:val="9"/>
                <w:b w:val="1"/>
                <w:bCs w:val="1"/>
                <w:color w:val="auto"/>
              </w:rPr>
              <w:t>Security</w:t>
            </w:r>
            <w:r>
              <w:rPr>
                <w:rFonts w:ascii="Arial" w:cs="Arial" w:eastAsia="Arial" w:hAnsi="Arial"/>
                <w:sz w:val="10"/>
                <w:szCs w:val="10"/>
                <w:color w:val="auto"/>
              </w:rPr>
              <w:t>Address of Reporting Person</w:t>
            </w:r>
            <w:r>
              <w:rPr>
                <w:rFonts w:ascii="Arial" w:cs="Arial" w:eastAsia="Arial" w:hAnsi="Arial"/>
                <w:sz w:val="16"/>
                <w:szCs w:val="16"/>
                <w:color w:val="auto"/>
                <w:vertAlign w:val="superscript"/>
              </w:rPr>
              <w:t>*</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ind w:left="80"/>
              <w:spacing w:after="0" w:line="11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1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7"/>
                <w:szCs w:val="7"/>
                <w:color w:val="auto"/>
              </w:rPr>
            </w:pPr>
          </w:p>
        </w:tc>
        <w:tc>
          <w:tcPr>
            <w:tcW w:w="1100" w:type="dxa"/>
            <w:vAlign w:val="bottom"/>
            <w:gridSpan w:val="3"/>
            <w:vMerge w:val="restart"/>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SILVER LAKE</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2775 SAND HILL ROAD, SUITE 100</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gridSpan w:val="8"/>
            <w:vMerge w:val="continue"/>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Silver Lake Technology Associates V,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Silver Lake Partners V DE (AIV),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26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6832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44055" cy="68326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Silver Lake Partners IV, L.P., Silver Lake Partners V DE (AIV), L.P. and certain of their respective affiliates initiated in-kind distributions of Class C Common Stock, par value $0.01 per share ("Class C Common Stock") of Dell Technologies Inc. (the "Issuer") on June 15, 2026. The receipt of shares of Class C Common Stock by each of the Reporting Persons in connection with such distributions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 SPV-2, L.P. The general partner of SL SPV-2, L.P. is SLTA SPV-2, L.P. ("SLTA SPV") and the general partner of SLTA SPV is SLTA SPV-2 (GP), L.L.C ("SLTA SPV GP").</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IV, L.P. The general partner of Silver Lake Partners IV, L.P.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Partners V DE (AIV), L.P. The general partner of Silver Lake Partners V DE (AIV), L.P.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held by SLG. Shares held include shares of Class C Common Stock received in connection with the distributions described herein on June 15,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entities in which Mr. Egon Durban may be deemed to have an indirect pecuniary interest. Shares held include shares of Class C Common Stock received in connection with the distributions described herein on June 15, 2026. The receipt of such shares of Class C Common Stock was exempt from reporting pursuant to Rule 16a-13 of the Exchange Act.</w:t>
      </w:r>
    </w:p>
    <w:p>
      <w:pPr>
        <w:spacing w:after="0" w:line="171"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distributions of certain shares were initiated to certain employees and managing members of SLG or its affiliates, including Mr. Durban. This amount reflects 29,494, 11,109, 28,109, 81,500 and 126 shares held by SLTA SPV-2, L.P., SLTA IV, SLTA V, SLG and Silver Lake Secondary Holdings L.P., respectively, on behalf of such individuals, including shares distributed in the June 15, 2026 distributions.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Egon Durban immediately following the receipt of shares in connection with the distributions of shares of Class C Common Stock on June 15,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June 15, 2026. The receipt of such shares of Class C Common Stock indirectly by Mr. Durban was exempt from reporting pursuant to Rule 16a-13 of the Exchange Act.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80"/>
        <w:spacing w:after="0" w:line="247"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1080"/>
          </w:cols>
          <w:pgMar w:left="460" w:top="175" w:right="359" w:bottom="0" w:gutter="0" w:footer="0" w:header="0"/>
        </w:sectPr>
      </w:pP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06/17/2026</w:t>
            </w:r>
          </w:p>
        </w:tc>
      </w:tr>
      <w:tr>
        <w:trPr>
          <w:trHeight w:val="193"/>
        </w:trPr>
        <w:tc>
          <w:tcPr>
            <w:tcW w:w="20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Managing Director and Chief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080"/>
          </w:cols>
          <w:pgMar w:left="460" w:top="175" w:right="35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0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34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13" Type="http://schemas.openxmlformats.org/officeDocument/2006/relationships/hyperlink" Target="http://www.sec.gov/cgi-bin/browse-edgar?action=getcompany&amp;CIK=0001737652" TargetMode="External"/><Relationship Id="rId14" Type="http://schemas.openxmlformats.org/officeDocument/2006/relationships/hyperlink" Target="http://www.sec.gov/cgi-bin/browse-edgar?action=getcompany&amp;CIK=0001571996" TargetMode="External"/><Relationship Id="rId15" Type="http://schemas.openxmlformats.org/officeDocument/2006/relationships/hyperlink" Target="http://www.sec.gov/cgi-bin/browse-edgar?action=getcompany&amp;CIK=0001737657" TargetMode="External"/><Relationship Id="rId16" Type="http://schemas.openxmlformats.org/officeDocument/2006/relationships/hyperlink" Target="http://www.sec.gov/cgi-bin/browse-edgar?action=getcompany&amp;CIK=0001737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2026-06-17T15:34:28Z</dcterms:created>
  <dcterms:modified xsi:type="dcterms:W3CDTF">2026-06-17T15:34:28Z</dcterms:modified>
</cp:coreProperties>
</file>