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95,960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119,044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420.21</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11,967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420.99</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421.96</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96,216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422.96</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93,121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424.05</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89,179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425.11</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85,703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426.14</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84,268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427.19</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82,747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428.2</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78,563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429.16</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74,548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430.23</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70,423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431.15</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64,308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432.29</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58,444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433.2</w:t>
            </w:r>
            <w:r>
              <w:rPr>
                <w:rFonts w:ascii="Times;serif" w:hAnsi="Times;serif"/>
                <w:color w:val="008000"/>
                <w:position w:val="7"/>
                <w:sz w:val="16"/>
                <w:sz w:val="20"/>
                <w:shd w:fill="FFFFFF" w:val="clear"/>
              </w:rPr>
              <w:t>(23)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53,815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434.18</w:t>
            </w:r>
            <w:r>
              <w:rPr>
                <w:rFonts w:ascii="Times;serif" w:hAnsi="Times;serif"/>
                <w:color w:val="008000"/>
                <w:position w:val="7"/>
                <w:sz w:val="16"/>
                <w:sz w:val="20"/>
                <w:shd w:fill="FFFFFF" w:val="clear"/>
              </w:rPr>
              <w:t>(24)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51,880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435.23</w:t>
            </w:r>
            <w:r>
              <w:rPr>
                <w:rFonts w:ascii="Times;serif" w:hAnsi="Times;serif"/>
                <w:color w:val="008000"/>
                <w:position w:val="7"/>
                <w:sz w:val="16"/>
                <w:sz w:val="20"/>
                <w:shd w:fill="FFFFFF" w:val="clear"/>
              </w:rPr>
              <w:t>(25)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436.33</w:t>
            </w:r>
            <w:r>
              <w:rPr>
                <w:rFonts w:ascii="Times;serif" w:hAnsi="Times;serif"/>
                <w:color w:val="008000"/>
                <w:position w:val="7"/>
                <w:sz w:val="16"/>
                <w:sz w:val="20"/>
                <w:shd w:fill="FFFFFF" w:val="clear"/>
              </w:rPr>
              <w:t>(26)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47,985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437.13</w:t>
            </w:r>
            <w:r>
              <w:rPr>
                <w:rFonts w:ascii="Times;serif" w:hAnsi="Times;serif"/>
                <w:color w:val="008000"/>
                <w:position w:val="7"/>
                <w:sz w:val="16"/>
                <w:sz w:val="20"/>
                <w:shd w:fill="FFFFFF" w:val="clear"/>
              </w:rPr>
              <w:t>(27)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46,359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w:t>
            </w:r>
            <w:r>
              <w:rPr>
                <w:rFonts w:ascii="Times;serif" w:hAnsi="Times;serif"/>
                <w:color w:val="008000"/>
                <w:position w:val="7"/>
                <w:sz w:val="16"/>
                <w:sz w:val="20"/>
                <w:shd w:fill="FFFFFF" w:val="clear"/>
              </w:rPr>
              <w:t>(28)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46,192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90,391</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(29)</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95,960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17,291,507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IV,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26,573,304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26,573,304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(30)</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8,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IV, L.P. The general partner of Silver Lake Partners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$419.5400 to $420.5300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$420.5400 to $421.5100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$421.5400 to $422.5302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$422.5400 to $423.5200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$423.5679 to $424.5340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$424.5904 to $425.5890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$425.5900 to $426.5840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$426.6523 to $427.6200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$427.7000 to $428.6900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$428.7000 to $429.6900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$429.7000 to $430.6700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$430.7000 to $431.6900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$431.7167 to $432.7000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$432.7133 to $433.6700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$433.7300 to $434.7268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$434.7400 to $435.7349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$435.7604 to $436.7300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These shares were sold in multiple transactions at prices ranging from $436.7978 to $437.5863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These shares were sold in multiple transactions at prices ranging from $437.8600 to $438.2800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Following the transactions described in footnote (1), SL SPV-2, L.P. directly holds 60,551 shares of Class C Common Stock, Silver Lake Partners V DE (AIV), L.P. directly holds 29,840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Following the transactions described in footnote (1), SL SPV-2, L.P. directly holds 16,844,290 shares of Class B Common Stock, Silver Lake Partners V DE (AIV), L.P. directly holds 9,359,872 shares of Class B Common Stock, Silver Lake Technology Investors IV, L.P. directly holds 254,415 shares of Class B Common Stock and Silver Lake Technology Investors V, L.P. directly holds 114,727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 general partner of Silver Lake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05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552054"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3251</Words>
  <Characters>16685</Characters>
  <CharactersWithSpaces>19615</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