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333-269159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1977390</wp:posOffset>
            </wp:positionH>
            <wp:positionV relativeFrom="paragraph">
              <wp:posOffset>160020</wp:posOffset>
            </wp:positionV>
            <wp:extent cx="3042920"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42920"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International L.L.C.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Co-Issuers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229"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$1,000,000,000 5.250% Senior Notes due 2028</w:t>
      </w:r>
    </w:p>
    <w:p>
      <w:pPr>
        <w:spacing w:after="0" w:line="27"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$1,000,000,000 5.750% Senior Notes due 2033</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3" w:lineRule="exact"/>
        <w:rPr>
          <w:sz w:val="24"/>
          <w:szCs w:val="24"/>
          <w:color w:val="auto"/>
        </w:rPr>
      </w:pPr>
    </w:p>
    <w:p>
      <w:pPr>
        <w:ind w:right="340" w:firstLine="440"/>
        <w:spacing w:after="0" w:line="256" w:lineRule="auto"/>
        <w:rPr>
          <w:sz w:val="20"/>
          <w:szCs w:val="20"/>
          <w:color w:val="auto"/>
        </w:rPr>
      </w:pPr>
      <w:r>
        <w:rPr>
          <w:rFonts w:ascii="Times New Roman" w:cs="Times New Roman" w:eastAsia="Times New Roman" w:hAnsi="Times New Roman"/>
          <w:sz w:val="18"/>
          <w:szCs w:val="18"/>
          <w:color w:val="auto"/>
        </w:rPr>
        <w:t>This supplement (this “Pricing Term Sheet”) is qualified in its entirety by reference to the preliminary prospectus supplement dated January 9, 2023 (the “Preliminary Prospectus Supplement”) supplementing the base prospectus dated January 9, 2023 (the “Base Prospectus”) included in the registration statement (File No. 333-269159) filed with the Securities and Exchange Commission (the “SEC”). The information in this Pricing Term Sheet supplements the Preliminary Prospectus Supplement and supersedes the information in the Preliminary Prospectus Supplement and Base Prospectus to the extent inconsistent with the information contained therein. Terms used but not defined in the Pricing Term Sheet will have the meanings assigned in the Preliminary Prospectus Supplement.</w:t>
      </w:r>
    </w:p>
    <w:p>
      <w:pPr>
        <w:spacing w:after="0" w:line="39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4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Terms Applicable to All Notes</w:t>
            </w:r>
          </w:p>
        </w:tc>
        <w:tc>
          <w:tcPr>
            <w:tcW w:w="4220" w:type="dxa"/>
            <w:vAlign w:val="bottom"/>
          </w:tcPr>
          <w:p>
            <w:pPr>
              <w:spacing w:after="0"/>
              <w:rPr>
                <w:sz w:val="17"/>
                <w:szCs w:val="17"/>
                <w:color w:val="auto"/>
              </w:rPr>
            </w:pPr>
          </w:p>
        </w:tc>
      </w:tr>
      <w:tr>
        <w:trPr>
          <w:trHeight w:val="479"/>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Co-Issuers:</w:t>
            </w:r>
          </w:p>
        </w:tc>
        <w:tc>
          <w:tcPr>
            <w:tcW w:w="84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Dell International L.L.C. and EMC Corporation (the “Issuers”)</w:t>
            </w:r>
          </w:p>
        </w:tc>
      </w:tr>
      <w:tr>
        <w:trPr>
          <w:trHeight w:val="324"/>
        </w:trPr>
        <w:tc>
          <w:tcPr>
            <w:tcW w:w="10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Aggregate Principal Amount of the Notes:  </w:t>
            </w:r>
            <w:r>
              <w:rPr>
                <w:rFonts w:ascii="Times New Roman" w:cs="Times New Roman" w:eastAsia="Times New Roman" w:hAnsi="Times New Roman"/>
                <w:sz w:val="18"/>
                <w:szCs w:val="18"/>
                <w:color w:val="auto"/>
              </w:rPr>
              <w:t>$2,000,000,000</w:t>
            </w:r>
          </w:p>
        </w:tc>
      </w:tr>
      <w:tr>
        <w:trPr>
          <w:trHeight w:val="324"/>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Notes Ratings:</w:t>
            </w:r>
          </w:p>
        </w:tc>
        <w:tc>
          <w:tcPr>
            <w:tcW w:w="84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Baa2 / BBB / BBB*</w:t>
            </w:r>
          </w:p>
        </w:tc>
      </w:tr>
      <w:tr>
        <w:trPr>
          <w:trHeight w:val="324"/>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84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January 9, 2023</w:t>
            </w:r>
          </w:p>
        </w:tc>
      </w:tr>
      <w:tr>
        <w:trPr>
          <w:trHeight w:val="324"/>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 Date:</w:t>
            </w:r>
          </w:p>
        </w:tc>
        <w:tc>
          <w:tcPr>
            <w:tcW w:w="84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January 24, 2023 (T+10)</w:t>
            </w:r>
          </w:p>
        </w:tc>
      </w:tr>
      <w:tr>
        <w:trPr>
          <w:trHeight w:val="319"/>
        </w:trPr>
        <w:tc>
          <w:tcPr>
            <w:tcW w:w="2440" w:type="dxa"/>
            <w:vAlign w:val="bottom"/>
          </w:tcPr>
          <w:p>
            <w:pPr>
              <w:spacing w:after="0"/>
              <w:rPr>
                <w:sz w:val="24"/>
                <w:szCs w:val="24"/>
                <w:color w:val="auto"/>
              </w:rPr>
            </w:pPr>
          </w:p>
        </w:tc>
        <w:tc>
          <w:tcPr>
            <w:tcW w:w="84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The settlement date of January 24, 2023 is the tenth business day following the trade date (such</w:t>
            </w:r>
          </w:p>
        </w:tc>
      </w:tr>
      <w:tr>
        <w:trPr>
          <w:trHeight w:val="216"/>
        </w:trPr>
        <w:tc>
          <w:tcPr>
            <w:tcW w:w="2440" w:type="dxa"/>
            <w:vAlign w:val="bottom"/>
          </w:tcPr>
          <w:p>
            <w:pPr>
              <w:spacing w:after="0"/>
              <w:rPr>
                <w:sz w:val="18"/>
                <w:szCs w:val="18"/>
                <w:color w:val="auto"/>
              </w:rPr>
            </w:pPr>
          </w:p>
        </w:tc>
        <w:tc>
          <w:tcPr>
            <w:tcW w:w="84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settlement being referred to as “T+10”). Under Rule 15c6-1 under the Exchange Act, trades in the</w:t>
            </w:r>
          </w:p>
        </w:tc>
      </w:tr>
      <w:tr>
        <w:trPr>
          <w:trHeight w:val="216"/>
        </w:trPr>
        <w:tc>
          <w:tcPr>
            <w:tcW w:w="2440" w:type="dxa"/>
            <w:vAlign w:val="bottom"/>
          </w:tcPr>
          <w:p>
            <w:pPr>
              <w:spacing w:after="0"/>
              <w:rPr>
                <w:sz w:val="18"/>
                <w:szCs w:val="18"/>
                <w:color w:val="auto"/>
              </w:rPr>
            </w:pPr>
          </w:p>
        </w:tc>
        <w:tc>
          <w:tcPr>
            <w:tcW w:w="84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secondary market are required to settle in two business days, unless the parties to any such trade</w:t>
            </w:r>
          </w:p>
        </w:tc>
      </w:tr>
      <w:tr>
        <w:trPr>
          <w:trHeight w:val="216"/>
        </w:trPr>
        <w:tc>
          <w:tcPr>
            <w:tcW w:w="2440" w:type="dxa"/>
            <w:vAlign w:val="bottom"/>
          </w:tcPr>
          <w:p>
            <w:pPr>
              <w:spacing w:after="0"/>
              <w:rPr>
                <w:sz w:val="18"/>
                <w:szCs w:val="18"/>
                <w:color w:val="auto"/>
              </w:rPr>
            </w:pPr>
          </w:p>
        </w:tc>
        <w:tc>
          <w:tcPr>
            <w:tcW w:w="84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9"/>
              </w:rPr>
              <w:t>expressly agree otherwise. Accordingly, purchasers who wish to trade the Notes on any date prior to the</w:t>
            </w:r>
          </w:p>
        </w:tc>
      </w:tr>
      <w:tr>
        <w:trPr>
          <w:trHeight w:val="216"/>
        </w:trPr>
        <w:tc>
          <w:tcPr>
            <w:tcW w:w="2440" w:type="dxa"/>
            <w:vAlign w:val="bottom"/>
          </w:tcPr>
          <w:p>
            <w:pPr>
              <w:spacing w:after="0"/>
              <w:rPr>
                <w:sz w:val="18"/>
                <w:szCs w:val="18"/>
                <w:color w:val="auto"/>
              </w:rPr>
            </w:pPr>
          </w:p>
        </w:tc>
        <w:tc>
          <w:tcPr>
            <w:tcW w:w="84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second business day before delivery will be required, by virtue of the fact that the Notes initially will</w:t>
            </w:r>
          </w:p>
        </w:tc>
      </w:tr>
      <w:tr>
        <w:trPr>
          <w:trHeight w:val="216"/>
        </w:trPr>
        <w:tc>
          <w:tcPr>
            <w:tcW w:w="2440" w:type="dxa"/>
            <w:vAlign w:val="bottom"/>
          </w:tcPr>
          <w:p>
            <w:pPr>
              <w:spacing w:after="0"/>
              <w:rPr>
                <w:sz w:val="18"/>
                <w:szCs w:val="18"/>
                <w:color w:val="auto"/>
              </w:rPr>
            </w:pPr>
          </w:p>
        </w:tc>
        <w:tc>
          <w:tcPr>
            <w:tcW w:w="84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settle in T+10, to specify an alternate settlement cycle at the time of any such trade to prevent a failed</w:t>
            </w:r>
          </w:p>
        </w:tc>
      </w:tr>
      <w:tr>
        <w:trPr>
          <w:trHeight w:val="216"/>
        </w:trPr>
        <w:tc>
          <w:tcPr>
            <w:tcW w:w="2440" w:type="dxa"/>
            <w:vAlign w:val="bottom"/>
          </w:tcPr>
          <w:p>
            <w:pPr>
              <w:spacing w:after="0"/>
              <w:rPr>
                <w:sz w:val="18"/>
                <w:szCs w:val="18"/>
                <w:color w:val="auto"/>
              </w:rPr>
            </w:pPr>
          </w:p>
        </w:tc>
        <w:tc>
          <w:tcPr>
            <w:tcW w:w="84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9"/>
              </w:rPr>
              <w:t>settlement. Purchasers of the Notes who wish to trade the Notes during such period should consult their</w:t>
            </w:r>
          </w:p>
        </w:tc>
      </w:tr>
      <w:tr>
        <w:trPr>
          <w:trHeight w:val="234"/>
        </w:trPr>
        <w:tc>
          <w:tcPr>
            <w:tcW w:w="2440" w:type="dxa"/>
            <w:vAlign w:val="bottom"/>
          </w:tcPr>
          <w:p>
            <w:pPr>
              <w:spacing w:after="0"/>
              <w:rPr>
                <w:sz w:val="20"/>
                <w:szCs w:val="20"/>
                <w:color w:val="auto"/>
              </w:rPr>
            </w:pPr>
          </w:p>
        </w:tc>
        <w:tc>
          <w:tcPr>
            <w:tcW w:w="84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advisors.</w:t>
            </w: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Distribution:</w:t>
            </w:r>
          </w:p>
        </w:tc>
        <w:tc>
          <w:tcPr>
            <w:tcW w:w="84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SEC Registered</w:t>
            </w:r>
          </w:p>
        </w:tc>
      </w:tr>
      <w:tr>
        <w:trPr>
          <w:trHeight w:val="306"/>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of Control:</w:t>
            </w:r>
          </w:p>
        </w:tc>
        <w:tc>
          <w:tcPr>
            <w:tcW w:w="84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Upon the occurrence of a Change of Control Triggering Event, the Issuers will be required to make an</w:t>
            </w:r>
          </w:p>
        </w:tc>
      </w:tr>
      <w:tr>
        <w:trPr>
          <w:trHeight w:val="216"/>
        </w:trPr>
        <w:tc>
          <w:tcPr>
            <w:tcW w:w="2440" w:type="dxa"/>
            <w:vAlign w:val="bottom"/>
          </w:tcPr>
          <w:p>
            <w:pPr>
              <w:spacing w:after="0"/>
              <w:rPr>
                <w:sz w:val="18"/>
                <w:szCs w:val="18"/>
                <w:color w:val="auto"/>
              </w:rPr>
            </w:pPr>
          </w:p>
        </w:tc>
        <w:tc>
          <w:tcPr>
            <w:tcW w:w="84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offer to purchase the Notes at a price equal to 101% of their principal amount plus accrued and unpaid</w:t>
            </w:r>
          </w:p>
        </w:tc>
      </w:tr>
      <w:tr>
        <w:trPr>
          <w:trHeight w:val="234"/>
        </w:trPr>
        <w:tc>
          <w:tcPr>
            <w:tcW w:w="2440" w:type="dxa"/>
            <w:vAlign w:val="bottom"/>
          </w:tcPr>
          <w:p>
            <w:pPr>
              <w:spacing w:after="0"/>
              <w:rPr>
                <w:sz w:val="20"/>
                <w:szCs w:val="20"/>
                <w:color w:val="auto"/>
              </w:rPr>
            </w:pPr>
          </w:p>
        </w:tc>
        <w:tc>
          <w:tcPr>
            <w:tcW w:w="84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interest to, but not including, the repurchase date.</w:t>
            </w:r>
          </w:p>
        </w:tc>
      </w:tr>
    </w:tbl>
    <w:p>
      <w:pPr>
        <w:sectPr>
          <w:pgSz w:w="11900" w:h="16838" w:orient="portrait"/>
          <w:cols w:equalWidth="0" w:num="1">
            <w:col w:w="11020"/>
          </w:cols>
          <w:pgMar w:left="440" w:top="225" w:right="4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Minimum Denominations:</w:t>
            </w:r>
          </w:p>
        </w:tc>
        <w:tc>
          <w:tcPr>
            <w:tcW w:w="140" w:type="dxa"/>
            <w:vAlign w:val="bottom"/>
          </w:tcPr>
          <w:p>
            <w:pPr>
              <w:spacing w:after="0"/>
              <w:rPr>
                <w:sz w:val="20"/>
                <w:szCs w:val="20"/>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$2,000 and $1,000 increments in excess thereof</w:t>
            </w:r>
          </w:p>
        </w:tc>
      </w:tr>
      <w:tr>
        <w:trPr>
          <w:trHeight w:val="302"/>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Joint Book-Running Managers (in tiered</w:t>
            </w:r>
          </w:p>
        </w:tc>
        <w:tc>
          <w:tcPr>
            <w:tcW w:w="140" w:type="dxa"/>
            <w:vAlign w:val="bottom"/>
          </w:tcPr>
          <w:p>
            <w:pPr>
              <w:spacing w:after="0"/>
              <w:rPr>
                <w:sz w:val="24"/>
                <w:szCs w:val="24"/>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Barclays Capital Inc.</w:t>
            </w:r>
          </w:p>
        </w:tc>
      </w:tr>
      <w:tr>
        <w:trPr>
          <w:trHeight w:val="220"/>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alphabetical order):</w:t>
            </w:r>
          </w:p>
        </w:tc>
        <w:tc>
          <w:tcPr>
            <w:tcW w:w="140" w:type="dxa"/>
            <w:vAlign w:val="bottom"/>
          </w:tcPr>
          <w:p>
            <w:pPr>
              <w:spacing w:after="0"/>
              <w:rPr>
                <w:sz w:val="19"/>
                <w:szCs w:val="19"/>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Goldman Sachs &amp; Co.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Morgan Stanley &amp; Co.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Wells Fargo Securities,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BNP Paribas Securities Corp.</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Suisse Securities (USA)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Deutsche Bank Securities Inc.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HSBC Securities (USA) Inc.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Mizuho Securities USA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MUFG Securities Americas Inc.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PNC Capital Markets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RBC Capital Markets,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Scotia Capital (USA) Inc.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SG Americas Securities, LLC</w:t>
            </w:r>
          </w:p>
        </w:tc>
      </w:tr>
      <w:tr>
        <w:trPr>
          <w:trHeight w:val="234"/>
        </w:trPr>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TD Securities (USA) LLC</w:t>
            </w:r>
          </w:p>
        </w:tc>
      </w:tr>
      <w:tr>
        <w:trPr>
          <w:trHeight w:val="319"/>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Co-Managers (in alphabetical order):</w:t>
            </w:r>
          </w:p>
        </w:tc>
        <w:tc>
          <w:tcPr>
            <w:tcW w:w="140" w:type="dxa"/>
            <w:vAlign w:val="bottom"/>
          </w:tcPr>
          <w:p>
            <w:pPr>
              <w:spacing w:after="0"/>
              <w:rPr>
                <w:sz w:val="24"/>
                <w:szCs w:val="24"/>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BNY Mellon Capital Markets,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ING Financial Markets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Santander Investment Securities Inc.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SMBC Nikko Securities America, Inc.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Standard Chartered Bank</w:t>
            </w:r>
          </w:p>
        </w:tc>
      </w:tr>
      <w:tr>
        <w:trPr>
          <w:trHeight w:val="234"/>
        </w:trPr>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Truist Securities, Inc.</w:t>
            </w:r>
          </w:p>
        </w:tc>
      </w:tr>
      <w:tr>
        <w:trPr>
          <w:trHeight w:val="315"/>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Co-Syndicate Managers (in alphabetical</w:t>
            </w:r>
          </w:p>
        </w:tc>
        <w:tc>
          <w:tcPr>
            <w:tcW w:w="140" w:type="dxa"/>
            <w:vAlign w:val="bottom"/>
          </w:tcPr>
          <w:p>
            <w:pPr>
              <w:spacing w:after="0"/>
              <w:rPr>
                <w:sz w:val="24"/>
                <w:szCs w:val="24"/>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Roberts &amp; Ryan Investments Inc.</w:t>
            </w: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order):</w:t>
            </w:r>
          </w:p>
        </w:tc>
        <w:tc>
          <w:tcPr>
            <w:tcW w:w="140" w:type="dxa"/>
            <w:vAlign w:val="bottom"/>
          </w:tcPr>
          <w:p>
            <w:pPr>
              <w:spacing w:after="0"/>
              <w:rPr>
                <w:sz w:val="20"/>
                <w:szCs w:val="20"/>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Siebert Williams Shank &amp; Co., LLC</w:t>
            </w:r>
          </w:p>
        </w:tc>
      </w:tr>
      <w:tr>
        <w:trPr>
          <w:trHeight w:val="621"/>
        </w:trPr>
        <w:tc>
          <w:tcPr>
            <w:tcW w:w="3260" w:type="dxa"/>
            <w:vAlign w:val="bottom"/>
          </w:tcPr>
          <w:p>
            <w:pPr>
              <w:spacing w:after="0"/>
              <w:rPr>
                <w:sz w:val="24"/>
                <w:szCs w:val="24"/>
                <w:color w:val="auto"/>
              </w:rPr>
            </w:pPr>
          </w:p>
        </w:tc>
        <w:tc>
          <w:tcPr>
            <w:tcW w:w="45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Terms Applicable to the 5.250% Senior Notes due 2028</w:t>
            </w:r>
          </w:p>
        </w:tc>
      </w:tr>
      <w:tr>
        <w:trPr>
          <w:trHeight w:val="480"/>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of Securities:</w:t>
            </w:r>
          </w:p>
        </w:tc>
        <w:tc>
          <w:tcPr>
            <w:tcW w:w="140" w:type="dxa"/>
            <w:vAlign w:val="bottom"/>
          </w:tcPr>
          <w:p>
            <w:pPr>
              <w:spacing w:after="0"/>
              <w:rPr>
                <w:sz w:val="24"/>
                <w:szCs w:val="24"/>
                <w:color w:val="auto"/>
              </w:rPr>
            </w:pPr>
          </w:p>
        </w:tc>
        <w:tc>
          <w:tcPr>
            <w:tcW w:w="4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5.250% Senior Notes due 2028 (the “2028 Notes”)</w:t>
            </w:r>
          </w:p>
        </w:tc>
        <w:tc>
          <w:tcPr>
            <w:tcW w:w="180" w:type="dxa"/>
            <w:vAlign w:val="bottom"/>
          </w:tcPr>
          <w:p>
            <w:pPr>
              <w:spacing w:after="0"/>
              <w:rPr>
                <w:sz w:val="24"/>
                <w:szCs w:val="24"/>
                <w:color w:val="auto"/>
              </w:rPr>
            </w:pPr>
          </w:p>
        </w:tc>
      </w:tr>
      <w:tr>
        <w:trPr>
          <w:trHeight w:val="324"/>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$1,000,000,000</w:t>
            </w:r>
          </w:p>
        </w:tc>
        <w:tc>
          <w:tcPr>
            <w:tcW w:w="180" w:type="dxa"/>
            <w:vAlign w:val="bottom"/>
          </w:tcPr>
          <w:p>
            <w:pPr>
              <w:spacing w:after="0"/>
              <w:rPr>
                <w:sz w:val="24"/>
                <w:szCs w:val="24"/>
                <w:color w:val="auto"/>
              </w:rPr>
            </w:pPr>
          </w:p>
        </w:tc>
      </w:tr>
      <w:tr>
        <w:trPr>
          <w:trHeight w:val="324"/>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140" w:type="dxa"/>
            <w:vAlign w:val="bottom"/>
          </w:tcPr>
          <w:p>
            <w:pPr>
              <w:spacing w:after="0"/>
              <w:rPr>
                <w:sz w:val="24"/>
                <w:szCs w:val="24"/>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2028</w:t>
            </w:r>
          </w:p>
        </w:tc>
      </w:tr>
      <w:tr>
        <w:trPr>
          <w:trHeight w:val="324"/>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 Price:</w:t>
            </w:r>
          </w:p>
        </w:tc>
        <w:tc>
          <w:tcPr>
            <w:tcW w:w="140" w:type="dxa"/>
            <w:vAlign w:val="bottom"/>
          </w:tcPr>
          <w:p>
            <w:pPr>
              <w:spacing w:after="0"/>
              <w:rPr>
                <w:sz w:val="24"/>
                <w:szCs w:val="24"/>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99.955% plus accrued interest, if any, from January 24, 2023</w:t>
            </w:r>
          </w:p>
        </w:tc>
      </w:tr>
      <w:tr>
        <w:trPr>
          <w:trHeight w:val="324"/>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Coupon:</w:t>
            </w: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5.250%</w:t>
            </w:r>
          </w:p>
        </w:tc>
        <w:tc>
          <w:tcPr>
            <w:tcW w:w="180" w:type="dxa"/>
            <w:vAlign w:val="bottom"/>
          </w:tcPr>
          <w:p>
            <w:pPr>
              <w:spacing w:after="0"/>
              <w:rPr>
                <w:sz w:val="24"/>
                <w:szCs w:val="24"/>
                <w:color w:val="auto"/>
              </w:rPr>
            </w:pPr>
          </w:p>
        </w:tc>
      </w:tr>
      <w:tr>
        <w:trPr>
          <w:trHeight w:val="324"/>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Yield to Maturity:</w:t>
            </w: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5.260%</w:t>
            </w:r>
          </w:p>
        </w:tc>
        <w:tc>
          <w:tcPr>
            <w:tcW w:w="180" w:type="dxa"/>
            <w:vAlign w:val="bottom"/>
          </w:tcPr>
          <w:p>
            <w:pPr>
              <w:spacing w:after="0"/>
              <w:rPr>
                <w:sz w:val="24"/>
                <w:szCs w:val="24"/>
                <w:color w:val="auto"/>
              </w:rPr>
            </w:pPr>
          </w:p>
        </w:tc>
      </w:tr>
      <w:tr>
        <w:trPr>
          <w:trHeight w:val="324"/>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Proceeds:</w:t>
            </w: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$999,550,000</w:t>
            </w:r>
          </w:p>
        </w:tc>
        <w:tc>
          <w:tcPr>
            <w:tcW w:w="180" w:type="dxa"/>
            <w:vAlign w:val="bottom"/>
          </w:tcPr>
          <w:p>
            <w:pPr>
              <w:spacing w:after="0"/>
              <w:rPr>
                <w:sz w:val="24"/>
                <w:szCs w:val="24"/>
                <w:color w:val="auto"/>
              </w:rPr>
            </w:pPr>
          </w:p>
        </w:tc>
      </w:tr>
      <w:tr>
        <w:trPr>
          <w:trHeight w:val="324"/>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Spread to Benchmark:</w:t>
            </w:r>
          </w:p>
        </w:tc>
        <w:tc>
          <w:tcPr>
            <w:tcW w:w="140" w:type="dxa"/>
            <w:vAlign w:val="bottom"/>
          </w:tcPr>
          <w:p>
            <w:pPr>
              <w:spacing w:after="0"/>
              <w:rPr>
                <w:sz w:val="24"/>
                <w:szCs w:val="24"/>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T+160 basis points</w:t>
            </w:r>
          </w:p>
        </w:tc>
      </w:tr>
      <w:tr>
        <w:trPr>
          <w:trHeight w:val="365"/>
        </w:trPr>
        <w:tc>
          <w:tcPr>
            <w:tcW w:w="3260" w:type="dxa"/>
            <w:vAlign w:val="bottom"/>
          </w:tcPr>
          <w:p>
            <w:pPr>
              <w:spacing w:after="0"/>
              <w:rPr>
                <w:sz w:val="24"/>
                <w:szCs w:val="24"/>
                <w:color w:val="auto"/>
              </w:rPr>
            </w:pPr>
          </w:p>
        </w:tc>
        <w:tc>
          <w:tcPr>
            <w:tcW w:w="4360" w:type="dxa"/>
            <w:vAlign w:val="bottom"/>
            <w:gridSpan w:val="2"/>
          </w:tcPr>
          <w:p>
            <w:pPr>
              <w:jc w:val="right"/>
              <w:ind w:right="193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4"/>
                <w:szCs w:val="24"/>
                <w:color w:val="auto"/>
              </w:rPr>
            </w:pPr>
          </w:p>
        </w:tc>
      </w:tr>
    </w:tbl>
    <w:p>
      <w:pPr>
        <w:sectPr>
          <w:pgSz w:w="11900" w:h="16838" w:orient="portrait"/>
          <w:cols w:equalWidth="0" w:num="1">
            <w:col w:w="10019"/>
          </w:cols>
          <w:pgMar w:left="440" w:top="266" w:right="1440"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Benchmark:</w:t>
            </w:r>
          </w:p>
        </w:tc>
        <w:tc>
          <w:tcPr>
            <w:tcW w:w="740" w:type="dxa"/>
            <w:vAlign w:val="bottom"/>
          </w:tcPr>
          <w:p>
            <w:pPr>
              <w:spacing w:after="0"/>
              <w:rPr>
                <w:sz w:val="20"/>
                <w:szCs w:val="20"/>
                <w:color w:val="auto"/>
              </w:rPr>
            </w:pPr>
          </w:p>
        </w:tc>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3.875% UST due December 31, 2027</w:t>
            </w:r>
          </w:p>
        </w:tc>
        <w:tc>
          <w:tcPr>
            <w:tcW w:w="0" w:type="dxa"/>
            <w:vAlign w:val="bottom"/>
          </w:tcPr>
          <w:p>
            <w:pPr>
              <w:spacing w:after="0"/>
              <w:rPr>
                <w:sz w:val="1"/>
                <w:szCs w:val="1"/>
                <w:color w:val="auto"/>
              </w:rPr>
            </w:pPr>
          </w:p>
        </w:tc>
      </w:tr>
      <w:tr>
        <w:trPr>
          <w:trHeight w:val="324"/>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Benchmark Price / Yield:</w:t>
            </w:r>
          </w:p>
        </w:tc>
        <w:tc>
          <w:tcPr>
            <w:tcW w:w="49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100-31 / 3.660%</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740" w:type="dxa"/>
            <w:vAlign w:val="bottom"/>
          </w:tcPr>
          <w:p>
            <w:pPr>
              <w:spacing w:after="0"/>
              <w:rPr>
                <w:sz w:val="24"/>
                <w:szCs w:val="24"/>
                <w:color w:val="auto"/>
              </w:rPr>
            </w:pPr>
          </w:p>
        </w:tc>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and August 1 of each year, commencing August 1, 2023</w:t>
            </w:r>
          </w:p>
        </w:tc>
        <w:tc>
          <w:tcPr>
            <w:tcW w:w="0" w:type="dxa"/>
            <w:vAlign w:val="bottom"/>
          </w:tcPr>
          <w:p>
            <w:pPr>
              <w:spacing w:after="0"/>
              <w:rPr>
                <w:sz w:val="1"/>
                <w:szCs w:val="1"/>
                <w:color w:val="auto"/>
              </w:rPr>
            </w:pPr>
          </w:p>
        </w:tc>
      </w:tr>
      <w:tr>
        <w:trPr>
          <w:trHeight w:val="324"/>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Dates:</w:t>
            </w:r>
          </w:p>
        </w:tc>
        <w:tc>
          <w:tcPr>
            <w:tcW w:w="740" w:type="dxa"/>
            <w:vAlign w:val="bottom"/>
          </w:tcPr>
          <w:p>
            <w:pPr>
              <w:spacing w:after="0"/>
              <w:rPr>
                <w:sz w:val="24"/>
                <w:szCs w:val="24"/>
                <w:color w:val="auto"/>
              </w:rPr>
            </w:pPr>
          </w:p>
        </w:tc>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15 and July 15 of each year</w:t>
            </w:r>
          </w:p>
        </w:tc>
        <w:tc>
          <w:tcPr>
            <w:tcW w:w="0" w:type="dxa"/>
            <w:vAlign w:val="bottom"/>
          </w:tcPr>
          <w:p>
            <w:pPr>
              <w:spacing w:after="0"/>
              <w:rPr>
                <w:sz w:val="1"/>
                <w:szCs w:val="1"/>
                <w:color w:val="auto"/>
              </w:rPr>
            </w:pPr>
          </w:p>
        </w:tc>
      </w:tr>
      <w:tr>
        <w:trPr>
          <w:trHeight w:val="306"/>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740" w:type="dxa"/>
            <w:vAlign w:val="bottom"/>
          </w:tcPr>
          <w:p>
            <w:pPr>
              <w:spacing w:after="0"/>
              <w:rPr>
                <w:sz w:val="24"/>
                <w:szCs w:val="24"/>
                <w:color w:val="auto"/>
              </w:rPr>
            </w:pPr>
          </w:p>
        </w:tc>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Make-whole call @ T+25 bps prior to January 1, 2028 (one (1) month prior to maturity)</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 call on or after January 1, 2028 (one (1) month prior to maturity)</w:t>
            </w:r>
          </w:p>
        </w:tc>
        <w:tc>
          <w:tcPr>
            <w:tcW w:w="0" w:type="dxa"/>
            <w:vAlign w:val="bottom"/>
          </w:tcPr>
          <w:p>
            <w:pPr>
              <w:spacing w:after="0"/>
              <w:rPr>
                <w:sz w:val="1"/>
                <w:szCs w:val="1"/>
                <w:color w:val="auto"/>
              </w:rPr>
            </w:pPr>
          </w:p>
        </w:tc>
      </w:tr>
      <w:tr>
        <w:trPr>
          <w:trHeight w:val="338"/>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CUSIP/ISIN:</w:t>
            </w:r>
          </w:p>
        </w:tc>
        <w:tc>
          <w:tcPr>
            <w:tcW w:w="740" w:type="dxa"/>
            <w:vAlign w:val="bottom"/>
          </w:tcPr>
          <w:p>
            <w:pPr>
              <w:spacing w:after="0"/>
              <w:rPr>
                <w:sz w:val="24"/>
                <w:szCs w:val="24"/>
                <w:color w:val="auto"/>
              </w:rPr>
            </w:pPr>
          </w:p>
        </w:tc>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24703DBJ9 / US24703DBJ90</w:t>
            </w:r>
          </w:p>
        </w:tc>
        <w:tc>
          <w:tcPr>
            <w:tcW w:w="0" w:type="dxa"/>
            <w:vAlign w:val="bottom"/>
          </w:tcPr>
          <w:p>
            <w:pPr>
              <w:spacing w:after="0"/>
              <w:rPr>
                <w:sz w:val="1"/>
                <w:szCs w:val="1"/>
                <w:color w:val="auto"/>
              </w:rPr>
            </w:pPr>
          </w:p>
        </w:tc>
      </w:tr>
      <w:tr>
        <w:trPr>
          <w:trHeight w:val="608"/>
        </w:trPr>
        <w:tc>
          <w:tcPr>
            <w:tcW w:w="2660" w:type="dxa"/>
            <w:vAlign w:val="bottom"/>
          </w:tcPr>
          <w:p>
            <w:pPr>
              <w:spacing w:after="0"/>
              <w:rPr>
                <w:sz w:val="24"/>
                <w:szCs w:val="24"/>
                <w:color w:val="auto"/>
              </w:rPr>
            </w:pPr>
          </w:p>
        </w:tc>
        <w:tc>
          <w:tcPr>
            <w:tcW w:w="786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Terms Applicable to the 5.750% Senior Notes due 2033</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Title of Securities:</w:t>
            </w:r>
          </w:p>
        </w:tc>
        <w:tc>
          <w:tcPr>
            <w:tcW w:w="74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6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5.750% Senior Notes due 2033 (the “2033 Notes” and, together with the 2028 Notes, the “Notes”)</w:t>
            </w:r>
          </w:p>
        </w:tc>
        <w:tc>
          <w:tcPr>
            <w:tcW w:w="0" w:type="dxa"/>
            <w:vAlign w:val="bottom"/>
          </w:tcPr>
          <w:p>
            <w:pPr>
              <w:spacing w:after="0"/>
              <w:rPr>
                <w:sz w:val="1"/>
                <w:szCs w:val="1"/>
                <w:color w:val="auto"/>
              </w:rPr>
            </w:pPr>
          </w:p>
        </w:tc>
      </w:tr>
      <w:tr>
        <w:trPr>
          <w:trHeight w:val="324"/>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49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$1,000,000,000</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740" w:type="dxa"/>
            <w:vAlign w:val="bottom"/>
          </w:tcPr>
          <w:p>
            <w:pPr>
              <w:spacing w:after="0"/>
              <w:rPr>
                <w:sz w:val="24"/>
                <w:szCs w:val="24"/>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1, 2033</w:t>
            </w:r>
          </w:p>
        </w:tc>
        <w:tc>
          <w:tcPr>
            <w:tcW w:w="0" w:type="dxa"/>
            <w:vAlign w:val="bottom"/>
          </w:tcPr>
          <w:p>
            <w:pPr>
              <w:spacing w:after="0"/>
              <w:rPr>
                <w:sz w:val="1"/>
                <w:szCs w:val="1"/>
                <w:color w:val="auto"/>
              </w:rPr>
            </w:pPr>
          </w:p>
        </w:tc>
      </w:tr>
      <w:tr>
        <w:trPr>
          <w:trHeight w:val="324"/>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 Price:</w:t>
            </w:r>
          </w:p>
        </w:tc>
        <w:tc>
          <w:tcPr>
            <w:tcW w:w="740" w:type="dxa"/>
            <w:vAlign w:val="bottom"/>
          </w:tcPr>
          <w:p>
            <w:pPr>
              <w:spacing w:after="0"/>
              <w:rPr>
                <w:sz w:val="24"/>
                <w:szCs w:val="24"/>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99.788% plus accrued interest, if any, from January 24, 2023</w:t>
            </w:r>
          </w:p>
        </w:tc>
        <w:tc>
          <w:tcPr>
            <w:tcW w:w="0" w:type="dxa"/>
            <w:vAlign w:val="bottom"/>
          </w:tcPr>
          <w:p>
            <w:pPr>
              <w:spacing w:after="0"/>
              <w:rPr>
                <w:sz w:val="1"/>
                <w:szCs w:val="1"/>
                <w:color w:val="auto"/>
              </w:rPr>
            </w:pPr>
          </w:p>
        </w:tc>
      </w:tr>
      <w:tr>
        <w:trPr>
          <w:trHeight w:val="324"/>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Coupon:</w:t>
            </w:r>
          </w:p>
        </w:tc>
        <w:tc>
          <w:tcPr>
            <w:tcW w:w="49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5.750%</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Yield to Maturity:</w:t>
            </w:r>
          </w:p>
        </w:tc>
        <w:tc>
          <w:tcPr>
            <w:tcW w:w="49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5.778%</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Proceeds:</w:t>
            </w:r>
          </w:p>
        </w:tc>
        <w:tc>
          <w:tcPr>
            <w:tcW w:w="49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$997,880,000</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Spread to Benchmark:</w:t>
            </w:r>
          </w:p>
        </w:tc>
        <w:tc>
          <w:tcPr>
            <w:tcW w:w="740" w:type="dxa"/>
            <w:vAlign w:val="bottom"/>
          </w:tcPr>
          <w:p>
            <w:pPr>
              <w:spacing w:after="0"/>
              <w:rPr>
                <w:sz w:val="24"/>
                <w:szCs w:val="24"/>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T+225 basis points</w:t>
            </w:r>
          </w:p>
        </w:tc>
        <w:tc>
          <w:tcPr>
            <w:tcW w:w="0" w:type="dxa"/>
            <w:vAlign w:val="bottom"/>
          </w:tcPr>
          <w:p>
            <w:pPr>
              <w:spacing w:after="0"/>
              <w:rPr>
                <w:sz w:val="1"/>
                <w:szCs w:val="1"/>
                <w:color w:val="auto"/>
              </w:rPr>
            </w:pPr>
          </w:p>
        </w:tc>
      </w:tr>
      <w:tr>
        <w:trPr>
          <w:trHeight w:val="324"/>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Benchmark:</w:t>
            </w:r>
          </w:p>
        </w:tc>
        <w:tc>
          <w:tcPr>
            <w:tcW w:w="740" w:type="dxa"/>
            <w:vAlign w:val="bottom"/>
          </w:tcPr>
          <w:p>
            <w:pPr>
              <w:spacing w:after="0"/>
              <w:rPr>
                <w:sz w:val="24"/>
                <w:szCs w:val="24"/>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4.125% UST due November 15, 2032</w:t>
            </w:r>
          </w:p>
        </w:tc>
        <w:tc>
          <w:tcPr>
            <w:tcW w:w="0" w:type="dxa"/>
            <w:vAlign w:val="bottom"/>
          </w:tcPr>
          <w:p>
            <w:pPr>
              <w:spacing w:after="0"/>
              <w:rPr>
                <w:sz w:val="1"/>
                <w:szCs w:val="1"/>
                <w:color w:val="auto"/>
              </w:rPr>
            </w:pPr>
          </w:p>
        </w:tc>
      </w:tr>
      <w:tr>
        <w:trPr>
          <w:trHeight w:val="324"/>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Benchmark Price / Yield:</w:t>
            </w:r>
          </w:p>
        </w:tc>
        <w:tc>
          <w:tcPr>
            <w:tcW w:w="49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104-29+ / 3.528%</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740" w:type="dxa"/>
            <w:vAlign w:val="bottom"/>
          </w:tcPr>
          <w:p>
            <w:pPr>
              <w:spacing w:after="0"/>
              <w:rPr>
                <w:sz w:val="24"/>
                <w:szCs w:val="24"/>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1 and August 1 of each year, commencing August 1, 2023</w:t>
            </w:r>
          </w:p>
        </w:tc>
        <w:tc>
          <w:tcPr>
            <w:tcW w:w="0" w:type="dxa"/>
            <w:vAlign w:val="bottom"/>
          </w:tcPr>
          <w:p>
            <w:pPr>
              <w:spacing w:after="0"/>
              <w:rPr>
                <w:sz w:val="1"/>
                <w:szCs w:val="1"/>
                <w:color w:val="auto"/>
              </w:rPr>
            </w:pPr>
          </w:p>
        </w:tc>
      </w:tr>
      <w:tr>
        <w:trPr>
          <w:trHeight w:val="324"/>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Dates:</w:t>
            </w:r>
          </w:p>
        </w:tc>
        <w:tc>
          <w:tcPr>
            <w:tcW w:w="740" w:type="dxa"/>
            <w:vAlign w:val="bottom"/>
          </w:tcPr>
          <w:p>
            <w:pPr>
              <w:spacing w:after="0"/>
              <w:rPr>
                <w:sz w:val="24"/>
                <w:szCs w:val="24"/>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January 15 and July 15 of each year</w:t>
            </w:r>
          </w:p>
        </w:tc>
        <w:tc>
          <w:tcPr>
            <w:tcW w:w="0" w:type="dxa"/>
            <w:vAlign w:val="bottom"/>
          </w:tcPr>
          <w:p>
            <w:pPr>
              <w:spacing w:after="0"/>
              <w:rPr>
                <w:sz w:val="1"/>
                <w:szCs w:val="1"/>
                <w:color w:val="auto"/>
              </w:rPr>
            </w:pPr>
          </w:p>
        </w:tc>
      </w:tr>
      <w:tr>
        <w:trPr>
          <w:trHeight w:val="306"/>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740" w:type="dxa"/>
            <w:vAlign w:val="bottom"/>
          </w:tcPr>
          <w:p>
            <w:pPr>
              <w:spacing w:after="0"/>
              <w:rPr>
                <w:sz w:val="24"/>
                <w:szCs w:val="24"/>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Make-whole call @ T+35 bps prior to November 1, 2032 (three (3) months prior to maturity)</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Par call on or after November 1, 2032 (three (3) months prior to maturity)</w:t>
            </w:r>
          </w:p>
        </w:tc>
        <w:tc>
          <w:tcPr>
            <w:tcW w:w="0" w:type="dxa"/>
            <w:vAlign w:val="bottom"/>
          </w:tcPr>
          <w:p>
            <w:pPr>
              <w:spacing w:after="0"/>
              <w:rPr>
                <w:sz w:val="1"/>
                <w:szCs w:val="1"/>
                <w:color w:val="auto"/>
              </w:rPr>
            </w:pPr>
          </w:p>
        </w:tc>
      </w:tr>
      <w:tr>
        <w:trPr>
          <w:trHeight w:val="338"/>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CUSIP/ISIN:</w:t>
            </w:r>
          </w:p>
        </w:tc>
        <w:tc>
          <w:tcPr>
            <w:tcW w:w="740" w:type="dxa"/>
            <w:vAlign w:val="bottom"/>
          </w:tcPr>
          <w:p>
            <w:pPr>
              <w:spacing w:after="0"/>
              <w:rPr>
                <w:sz w:val="24"/>
                <w:szCs w:val="24"/>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24703DBL4 / US24703DBL47</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The Issuers have filed a registration statement (including a prospectus) and a preliminary prospectus supplement with the SEC for the offering to which this communication relates. Before you invest, you should read the prospectus and the preliminary prospectus supplement in that registration statement and other documents the Issuers have filed with the SEC for more complete information about the Issuers and this offering.</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66" w:right="519" w:bottom="1440" w:gutter="0" w:footer="0" w:header="0"/>
        </w:sectPr>
      </w:pPr>
    </w:p>
    <w:bookmarkStart w:id="3" w:name="page4"/>
    <w:bookmarkEnd w:id="3"/>
    <w:p>
      <w:pPr>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 may obtain these documents for free by visiting EDGAR on the SEC website at www.sec.gov. Alternatively, the Issuers, any underwriter or any dealer participating in the offering will arrange to send you the prospectus and the prospectus supplement if you request them by calling Barclays Capital Inc., by telephone: (888) 603-5847, BofA Securities, Inc., by telephone toll free: 1-800-294-1322, Goldman Sachs &amp; Co. LLC, by telephone: 866-471-2526, J.P. Morgan Securities LLC, by telephone: 1-866-803-9204, Morgan Stanley &amp; Co. LLC, by telephone: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1-866-718-1649 and Wells Fargo Securities, LLC, by telephone toll free: 1-800-645-3751.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securities rating is not a recommendation to buy, sell or hold securities and may be subject to revision or withdrawal at any time.</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disclaimers or other notices that may appear below are not applicable to this communication and should be disregarded. Such disclaimers were automatically generated as a result of this communication being sent via Bloomberg email or another communication system.</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2023-01-09T16:28:14Z</dcterms:created>
  <dcterms:modified xsi:type="dcterms:W3CDTF">2023-01-09T16:28:14Z</dcterms:modified>
</cp:coreProperties>
</file>