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7458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7458710"/>
                    </a:xfrm>
                    <a:prstGeom prst="rect">
                      <a:avLst/>
                    </a:prstGeom>
                    <a:noFill/>
                  </pic:spPr>
                </pic:pic>
              </a:graphicData>
            </a:graphic>
          </wp:anchor>
        </w:drawing>
      </w:r>
    </w:p>
    <w:p>
      <w:pPr>
        <w:spacing w:after="0" w:line="38" w:lineRule="exact"/>
        <w:rPr>
          <w:sz w:val="24"/>
          <w:szCs w:val="24"/>
          <w:color w:val="auto"/>
        </w:rPr>
      </w:pPr>
    </w:p>
    <w:p>
      <w:pPr>
        <w:sectPr>
          <w:pgSz w:w="11900" w:h="16853"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8"/>
          </w:tcPr>
          <w:p>
            <w:pPr>
              <w:ind w:left="2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6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7"/>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Dell Technologies Inc</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gridSpan w:val="7"/>
          </w:tcPr>
          <w:p>
            <w:pPr>
              <w:ind w:left="2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VMWARE,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VMW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7"/>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7"/>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8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60" w:type="dxa"/>
            <w:vAlign w:val="bottom"/>
            <w:gridSpan w:val="4"/>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80" w:type="dxa"/>
            <w:vAlign w:val="bottom"/>
          </w:tcPr>
          <w:p>
            <w:pPr>
              <w:spacing w:after="0"/>
              <w:rPr>
                <w:sz w:val="6"/>
                <w:szCs w:val="6"/>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gridSpan w:val="8"/>
          </w:tcPr>
          <w:p>
            <w:pPr>
              <w:ind w:left="2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ONE DELL WAY</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ind w:left="20"/>
              <w:spacing w:after="0"/>
              <w:rPr>
                <w:sz w:val="20"/>
                <w:szCs w:val="20"/>
                <w:color w:val="auto"/>
              </w:rPr>
            </w:pPr>
            <w:r>
              <w:rPr>
                <w:rFonts w:ascii="Arial" w:cs="Arial" w:eastAsia="Arial" w:hAnsi="Arial"/>
                <w:sz w:val="17"/>
                <w:szCs w:val="17"/>
                <w:color w:val="0000FF"/>
              </w:rPr>
              <w:t>12/30/2019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40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gridSpan w:val="3"/>
          </w:tcPr>
          <w:p>
            <w:pPr>
              <w:spacing w:after="0"/>
              <w:rPr>
                <w:sz w:val="22"/>
                <w:szCs w:val="22"/>
                <w:color w:val="auto"/>
              </w:rPr>
            </w:pPr>
          </w:p>
        </w:tc>
        <w:tc>
          <w:tcPr>
            <w:tcW w:w="2040" w:type="dxa"/>
            <w:vAlign w:val="bottom"/>
            <w:tcBorders>
              <w:bottom w:val="single" w:sz="8" w:color="808080"/>
            </w:tcBorders>
            <w:gridSpan w:val="3"/>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020" w:type="dxa"/>
            <w:vAlign w:val="bottom"/>
            <w:tcBorders>
              <w:bottom w:val="single" w:sz="8" w:color="808080"/>
            </w:tcBorders>
            <w:gridSpan w:val="6"/>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3620" w:type="dxa"/>
            <w:vAlign w:val="bottom"/>
            <w:tcBorders>
              <w:top w:val="single" w:sz="8" w:color="2C2C2C"/>
            </w:tcBorders>
            <w:gridSpan w:val="9"/>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Borders>
              <w:top w:val="single" w:sz="8" w:color="2C2C2C"/>
            </w:tcBorders>
          </w:tcPr>
          <w:p>
            <w:pPr>
              <w:spacing w:after="0"/>
              <w:rPr>
                <w:sz w:val="17"/>
                <w:szCs w:val="17"/>
                <w:color w:val="auto"/>
              </w:rPr>
            </w:pPr>
          </w:p>
        </w:tc>
        <w:tc>
          <w:tcPr>
            <w:tcW w:w="346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ind w:left="20"/>
              <w:spacing w:after="0" w:line="187" w:lineRule="exact"/>
              <w:rPr>
                <w:sz w:val="20"/>
                <w:szCs w:val="20"/>
                <w:color w:val="auto"/>
              </w:rPr>
            </w:pPr>
            <w:r>
              <w:rPr>
                <w:rFonts w:ascii="Arial" w:cs="Arial" w:eastAsia="Arial" w:hAnsi="Arial"/>
                <w:sz w:val="17"/>
                <w:szCs w:val="17"/>
                <w:color w:val="0000FF"/>
              </w:rPr>
              <w:t>ROUND ROCK</w:t>
            </w:r>
          </w:p>
        </w:tc>
        <w:tc>
          <w:tcPr>
            <w:tcW w:w="1240" w:type="dxa"/>
            <w:vAlign w:val="bottom"/>
            <w:gridSpan w:val="3"/>
          </w:tcPr>
          <w:p>
            <w:pPr>
              <w:ind w:left="20"/>
              <w:spacing w:after="0" w:line="187" w:lineRule="exact"/>
              <w:rPr>
                <w:sz w:val="20"/>
                <w:szCs w:val="20"/>
                <w:color w:val="auto"/>
              </w:rPr>
            </w:pPr>
            <w:r>
              <w:rPr>
                <w:rFonts w:ascii="Arial" w:cs="Arial" w:eastAsia="Arial" w:hAnsi="Arial"/>
                <w:sz w:val="17"/>
                <w:szCs w:val="17"/>
                <w:color w:val="0000FF"/>
              </w:rPr>
              <w:t>TX</w:t>
            </w:r>
          </w:p>
        </w:tc>
        <w:tc>
          <w:tcPr>
            <w:tcW w:w="1060" w:type="dxa"/>
            <w:vAlign w:val="bottom"/>
          </w:tcPr>
          <w:p>
            <w:pPr>
              <w:ind w:left="40"/>
              <w:spacing w:after="0" w:line="187" w:lineRule="exact"/>
              <w:rPr>
                <w:sz w:val="20"/>
                <w:szCs w:val="20"/>
                <w:color w:val="auto"/>
              </w:rPr>
            </w:pPr>
            <w:r>
              <w:rPr>
                <w:rFonts w:ascii="Arial" w:cs="Arial" w:eastAsia="Arial" w:hAnsi="Arial"/>
                <w:sz w:val="17"/>
                <w:szCs w:val="17"/>
                <w:color w:val="0000FF"/>
              </w:rPr>
              <w:t>78682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60" w:type="dxa"/>
            <w:vAlign w:val="bottom"/>
            <w:gridSpan w:val="9"/>
          </w:tcPr>
          <w:p>
            <w:pPr>
              <w:ind w:left="28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5"/>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7"/>
          </w:tcPr>
          <w:p>
            <w:pPr>
              <w:ind w:left="9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7"/>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4"/>
          </w:tcPr>
          <w:p>
            <w:pPr>
              <w:ind w:left="900"/>
              <w:spacing w:after="0" w:line="127"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40" w:type="dxa"/>
            <w:vAlign w:val="bottom"/>
            <w:gridSpan w:val="7"/>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60"/>
              <w:spacing w:after="0" w:line="130"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5"/>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2780" w:type="dxa"/>
            <w:vAlign w:val="bottom"/>
            <w:tcBorders>
              <w:bottom w:val="single" w:sz="8" w:color="2C2C2C"/>
            </w:tcBorders>
            <w:gridSpan w:val="5"/>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7"/>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20" w:type="dxa"/>
            <w:vAlign w:val="bottom"/>
            <w:gridSpan w:val="16"/>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gridSpan w:val="3"/>
          </w:tcPr>
          <w:p>
            <w:pPr>
              <w:ind w:left="60"/>
              <w:spacing w:after="0"/>
              <w:rPr>
                <w:sz w:val="20"/>
                <w:szCs w:val="20"/>
                <w:color w:val="auto"/>
              </w:rPr>
            </w:pPr>
            <w:r>
              <w:rPr>
                <w:rFonts w:ascii="Arial" w:cs="Arial" w:eastAsia="Arial" w:hAnsi="Arial"/>
                <w:sz w:val="12"/>
                <w:szCs w:val="12"/>
                <w:b w:val="1"/>
                <w:bCs w:val="1"/>
                <w:color w:val="auto"/>
                <w:w w:val="93"/>
              </w:rPr>
              <w:t>Code</w:t>
            </w:r>
          </w:p>
        </w:tc>
        <w:tc>
          <w:tcPr>
            <w:tcW w:w="20" w:type="dxa"/>
            <w:vAlign w:val="bottom"/>
          </w:tcPr>
          <w:p>
            <w:pPr>
              <w:spacing w:after="0"/>
              <w:rPr>
                <w:sz w:val="13"/>
                <w:szCs w:val="13"/>
                <w:color w:val="auto"/>
              </w:rPr>
            </w:pPr>
          </w:p>
        </w:tc>
        <w:tc>
          <w:tcPr>
            <w:tcW w:w="500" w:type="dxa"/>
            <w:vAlign w:val="bottom"/>
            <w:gridSpan w:val="2"/>
          </w:tcPr>
          <w:p>
            <w:pPr>
              <w:ind w:left="300"/>
              <w:spacing w:after="0"/>
              <w:rPr>
                <w:sz w:val="20"/>
                <w:szCs w:val="20"/>
                <w:color w:val="auto"/>
              </w:rPr>
            </w:pPr>
            <w:r>
              <w:rPr>
                <w:rFonts w:ascii="Arial" w:cs="Arial" w:eastAsia="Arial" w:hAnsi="Arial"/>
                <w:sz w:val="12"/>
                <w:szCs w:val="12"/>
                <w:b w:val="1"/>
                <w:bCs w:val="1"/>
                <w:color w:val="auto"/>
              </w:rPr>
              <w:t>V</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gridSpan w:val="6"/>
            <w:vMerge w:val="restart"/>
          </w:tcPr>
          <w:p>
            <w:pPr>
              <w:ind w:left="8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(2)(3)(4)</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w:t>
            </w:r>
          </w:p>
        </w:tc>
        <w:tc>
          <w:tcPr>
            <w:tcW w:w="680" w:type="dxa"/>
            <w:vAlign w:val="bottom"/>
          </w:tcPr>
          <w:p>
            <w:pPr>
              <w:jc w:val="center"/>
              <w:ind w:right="20"/>
              <w:spacing w:after="0"/>
              <w:rPr>
                <w:sz w:val="20"/>
                <w:szCs w:val="20"/>
                <w:color w:val="auto"/>
              </w:rPr>
            </w:pPr>
            <w:r>
              <w:rPr>
                <w:rFonts w:ascii="Arial" w:cs="Arial" w:eastAsia="Arial" w:hAnsi="Arial"/>
                <w:sz w:val="13"/>
                <w:szCs w:val="13"/>
                <w:color w:val="0000FF"/>
                <w:w w:val="89"/>
              </w:rPr>
              <w:t>Class A</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7,221,836</w:t>
            </w:r>
          </w:p>
        </w:tc>
        <w:tc>
          <w:tcPr>
            <w:tcW w:w="40" w:type="dxa"/>
            <w:vAlign w:val="bottom"/>
          </w:tcPr>
          <w:p>
            <w:pPr>
              <w:spacing w:after="0"/>
              <w:rPr>
                <w:sz w:val="16"/>
                <w:szCs w:val="16"/>
                <w:color w:val="auto"/>
              </w:rPr>
            </w:pPr>
          </w:p>
        </w:tc>
        <w:tc>
          <w:tcPr>
            <w:tcW w:w="720" w:type="dxa"/>
            <w:vAlign w:val="bottom"/>
            <w:vMerge w:val="restart"/>
          </w:tcPr>
          <w:p>
            <w:pPr>
              <w:ind w:left="120"/>
              <w:spacing w:after="0"/>
              <w:rPr>
                <w:sz w:val="20"/>
                <w:szCs w:val="20"/>
                <w:color w:val="auto"/>
              </w:rPr>
            </w:pPr>
            <w:r>
              <w:rPr>
                <w:rFonts w:ascii="Arial" w:cs="Arial" w:eastAsia="Arial" w:hAnsi="Arial"/>
                <w:sz w:val="11"/>
                <w:szCs w:val="11"/>
                <w:color w:val="008000"/>
              </w:rPr>
              <w:t>(2)(3)(4)</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gridSpan w:val="3"/>
            <w:vMerge w:val="restart"/>
          </w:tcPr>
          <w:p>
            <w:pPr>
              <w:ind w:left="60"/>
              <w:spacing w:after="0" w:line="126" w:lineRule="exact"/>
              <w:rPr>
                <w:sz w:val="20"/>
                <w:szCs w:val="20"/>
                <w:color w:val="auto"/>
              </w:rPr>
            </w:pPr>
            <w:r>
              <w:rPr>
                <w:rFonts w:ascii="Arial" w:cs="Arial" w:eastAsia="Arial" w:hAnsi="Arial"/>
                <w:sz w:val="13"/>
                <w:szCs w:val="13"/>
                <w:color w:val="0000FF"/>
              </w:rPr>
              <w:t>Common</w:t>
            </w:r>
          </w:p>
        </w:tc>
        <w:tc>
          <w:tcPr>
            <w:tcW w:w="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ind w:left="240"/>
              <w:spacing w:after="0" w:line="126" w:lineRule="exact"/>
              <w:rPr>
                <w:sz w:val="20"/>
                <w:szCs w:val="20"/>
                <w:color w:val="auto"/>
              </w:rPr>
            </w:pPr>
            <w:r>
              <w:rPr>
                <w:rFonts w:ascii="Arial" w:cs="Arial" w:eastAsia="Arial" w:hAnsi="Arial"/>
                <w:sz w:val="13"/>
                <w:szCs w:val="13"/>
                <w:color w:val="0000FF"/>
              </w:rPr>
              <w:t>12/30/2019</w:t>
            </w:r>
          </w:p>
        </w:tc>
        <w:tc>
          <w:tcPr>
            <w:tcW w:w="1060" w:type="dxa"/>
            <w:vAlign w:val="bottom"/>
          </w:tcPr>
          <w:p>
            <w:pPr>
              <w:spacing w:after="0"/>
              <w:rPr>
                <w:sz w:val="4"/>
                <w:szCs w:val="4"/>
                <w:color w:val="auto"/>
              </w:rPr>
            </w:pPr>
          </w:p>
        </w:tc>
        <w:tc>
          <w:tcPr>
            <w:tcW w:w="880" w:type="dxa"/>
            <w:vAlign w:val="bottom"/>
            <w:gridSpan w:val="6"/>
            <w:vMerge w:val="continue"/>
          </w:tcPr>
          <w:p>
            <w:pPr>
              <w:spacing w:after="0"/>
              <w:rPr>
                <w:sz w:val="4"/>
                <w:szCs w:val="4"/>
                <w:color w:val="auto"/>
              </w:rPr>
            </w:pPr>
          </w:p>
        </w:tc>
        <w:tc>
          <w:tcPr>
            <w:tcW w:w="620" w:type="dxa"/>
            <w:vAlign w:val="bottom"/>
            <w:vMerge w:val="restart"/>
          </w:tcPr>
          <w:p>
            <w:pPr>
              <w:ind w:left="20"/>
              <w:spacing w:after="0" w:line="126" w:lineRule="exact"/>
              <w:rPr>
                <w:sz w:val="20"/>
                <w:szCs w:val="20"/>
                <w:color w:val="auto"/>
              </w:rPr>
            </w:pPr>
            <w:r>
              <w:rPr>
                <w:rFonts w:ascii="Arial" w:cs="Arial" w:eastAsia="Arial" w:hAnsi="Arial"/>
                <w:sz w:val="13"/>
                <w:szCs w:val="13"/>
                <w:color w:val="0000FF"/>
              </w:rPr>
              <w:t>7,221,836</w:t>
            </w:r>
          </w:p>
        </w:tc>
        <w:tc>
          <w:tcPr>
            <w:tcW w:w="3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00" w:type="dxa"/>
            <w:vAlign w:val="bottom"/>
            <w:gridSpan w:val="2"/>
            <w:vMerge w:val="restart"/>
          </w:tcPr>
          <w:p>
            <w:pPr>
              <w:ind w:left="80"/>
              <w:spacing w:after="0" w:line="126" w:lineRule="exact"/>
              <w:rPr>
                <w:sz w:val="20"/>
                <w:szCs w:val="20"/>
                <w:color w:val="auto"/>
              </w:rPr>
            </w:pPr>
            <w:r>
              <w:rPr>
                <w:rFonts w:ascii="Arial" w:cs="Arial" w:eastAsia="Arial" w:hAnsi="Arial"/>
                <w:sz w:val="13"/>
                <w:szCs w:val="13"/>
                <w:color w:val="0000FF"/>
              </w:rPr>
              <w:t>307,221,836</w:t>
            </w:r>
          </w:p>
        </w:tc>
        <w:tc>
          <w:tcPr>
            <w:tcW w:w="620" w:type="dxa"/>
            <w:vAlign w:val="bottom"/>
            <w:vMerge w:val="restart"/>
          </w:tcPr>
          <w:p>
            <w:pPr>
              <w:ind w:left="320"/>
              <w:spacing w:after="0" w:line="126"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gridSpan w:val="6"/>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tcPr>
          <w:p>
            <w:pPr>
              <w:ind w:left="600"/>
              <w:spacing w:after="0" w:line="79" w:lineRule="exact"/>
              <w:rPr>
                <w:sz w:val="20"/>
                <w:szCs w:val="20"/>
                <w:color w:val="auto"/>
              </w:rPr>
            </w:pPr>
            <w:r>
              <w:rPr>
                <w:rFonts w:ascii="Arial" w:cs="Arial" w:eastAsia="Arial" w:hAnsi="Arial"/>
                <w:sz w:val="9"/>
                <w:szCs w:val="9"/>
                <w:color w:val="008000"/>
              </w:rPr>
              <w:t>(5)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jc w:val="center"/>
              <w:ind w:right="20"/>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8"/>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7"/>
          </w:tcPr>
          <w:p>
            <w:pPr>
              <w:ind w:left="20"/>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Dell Technologies Inc</w:t>
              </w:r>
            </w:hyperlink>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tcPr>
          <w:p>
            <w:pPr>
              <w:ind w:left="4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w w:val="97"/>
              </w:rPr>
              <w:t>ONE DELL WAY</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ROUND ROCK</w:t>
            </w:r>
          </w:p>
        </w:tc>
        <w:tc>
          <w:tcPr>
            <w:tcW w:w="1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060" w:type="dxa"/>
            <w:vAlign w:val="bottom"/>
          </w:tcPr>
          <w:p>
            <w:pPr>
              <w:ind w:left="420"/>
              <w:spacing w:after="0"/>
              <w:rPr>
                <w:sz w:val="20"/>
                <w:szCs w:val="20"/>
                <w:color w:val="auto"/>
              </w:rPr>
            </w:pPr>
            <w:r>
              <w:rPr>
                <w:rFonts w:ascii="Arial" w:cs="Arial" w:eastAsia="Arial" w:hAnsi="Arial"/>
                <w:sz w:val="17"/>
                <w:szCs w:val="17"/>
                <w:color w:val="0000FF"/>
              </w:rPr>
              <w:t>78682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tcPr>
          <w:p>
            <w:pPr>
              <w:ind w:left="4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EMC CORP</w:t>
              </w:r>
            </w:hyperlink>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tcPr>
          <w:p>
            <w:pPr>
              <w:ind w:left="4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w w:val="97"/>
              </w:rPr>
              <w:t>ONE DELL WAY</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ROUND ROCK</w:t>
            </w:r>
          </w:p>
        </w:tc>
        <w:tc>
          <w:tcPr>
            <w:tcW w:w="1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060" w:type="dxa"/>
            <w:vAlign w:val="bottom"/>
          </w:tcPr>
          <w:p>
            <w:pPr>
              <w:ind w:left="420"/>
              <w:spacing w:after="0"/>
              <w:rPr>
                <w:sz w:val="20"/>
                <w:szCs w:val="20"/>
                <w:color w:val="auto"/>
              </w:rPr>
            </w:pPr>
            <w:r>
              <w:rPr>
                <w:rFonts w:ascii="Arial" w:cs="Arial" w:eastAsia="Arial" w:hAnsi="Arial"/>
                <w:sz w:val="17"/>
                <w:szCs w:val="17"/>
                <w:color w:val="0000FF"/>
              </w:rPr>
              <w:t>78682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tcPr>
          <w:p>
            <w:pPr>
              <w:ind w:left="4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-4870450</wp:posOffset>
            </wp:positionV>
            <wp:extent cx="24130" cy="1716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71640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4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of Pivotal Software, Inc. ("Pivotal") beneficially owned by the reporting persons is convertible into one share of Class A common stock of Pivotal at any time at the holder's election.</w:t>
      </w:r>
    </w:p>
    <w:p>
      <w:pPr>
        <w:spacing w:after="0" w:line="23" w:lineRule="exact"/>
        <w:rPr>
          <w:rFonts w:ascii="Arial" w:cs="Arial" w:eastAsia="Arial" w:hAnsi="Arial"/>
          <w:sz w:val="13"/>
          <w:szCs w:val="13"/>
          <w:color w:val="008000"/>
        </w:rPr>
      </w:pPr>
    </w:p>
    <w:p>
      <w:pPr>
        <w:jc w:val="both"/>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30, 2019, Pivotal and VMware, Inc. ("VMware") completed the transactions contemplated by the Agreement and Plan of Merger (the "Merger Agreement") by and among Pivotal, VMware and Raven Transaction Sub, a wholly-owned subsidiary of VMware ("Merger Sub"). Pursuant to the terms of the Merger Agreement, Merger Sub merged with and into Pivotal (the "Merger"), with Pivotal surviving the Merger as a wholly-owned subsidiary of VMware and Merger Sub ceasing to exist following the Merger.</w:t>
      </w:r>
    </w:p>
    <w:p>
      <w:pPr>
        <w:spacing w:after="0" w:line="32" w:lineRule="exact"/>
        <w:rPr>
          <w:rFonts w:ascii="Arial" w:cs="Arial" w:eastAsia="Arial" w:hAnsi="Arial"/>
          <w:sz w:val="13"/>
          <w:szCs w:val="13"/>
          <w:color w:val="008000"/>
        </w:rPr>
      </w:pPr>
    </w:p>
    <w:p>
      <w:pPr>
        <w:ind w:left="40" w:right="180" w:firstLine="3"/>
        <w:spacing w:after="0" w:line="26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each outstanding share of Class A common stock of Pivotal, other than (i) shares held by any of Pivotal's stockholders who have properly exercised and perfected their appraisal rights under Section 262 of the Delaware General Corporation Law and (ii) shares held in the treasury of Pivotal or owned, directly or indirectly, by Dell Technologies Inc., EMC Equity Assets LLC, VMW Holdco LLC, VMware or Merger Sub immediately prior to the December 30, 2019, was canceled and ceased to exist and was automatically converted into the right to receive $15.00 in cash and each share of Class B common stock of Pivotal (other than those held by VMware or Merger Sub) was canceled and converted into the right to receive 0.0550 shares of Class B common stock of VMware.</w:t>
      </w:r>
    </w:p>
    <w:p>
      <w:pPr>
        <w:spacing w:after="0" w:line="18" w:lineRule="exact"/>
        <w:rPr>
          <w:rFonts w:ascii="Arial" w:cs="Arial" w:eastAsia="Arial" w:hAnsi="Arial"/>
          <w:sz w:val="12"/>
          <w:szCs w:val="12"/>
          <w:color w:val="008000"/>
        </w:rPr>
      </w:pPr>
    </w:p>
    <w:p>
      <w:pPr>
        <w:ind w:left="40" w:right="32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[Continuation] On December 30, 2019, in connection with the closing of the transactions under the Merger Agreement, the 131,306,110 shares of Class B common stock of Pivotal previously held by EMC Equity Assets LLC ("EMC Sub"), a direct wholly-owned subsidiary of EMC Corporation ("EMC"), were canceled and EMC Sub received 7,221,836 shares of Class B common stock of VMware.</w:t>
      </w:r>
    </w:p>
    <w:p>
      <w:pPr>
        <w:ind w:left="40" w:right="1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Of the 307,221,836 shares of Class B Common Stock reported in Column 9 of Table II, (a) EMC is the record holder of 240,000,000 shares, (b) VMW Holdco LLC, a direct wholly-owned subsidiary of EMC, is the record holder of 60,000,000 shares, and (c) EMC Sub is the record holder of 7,221,836 shares. EMC is directly wholly owned by Dell Inc., which in turn is indirectly wholly owned by Dell Technologies Inc. through its directly held wholly-owned subsidiary Denali Intermediate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Pr>
          <w:p>
            <w:pPr>
              <w:spacing w:after="0"/>
              <w:rPr>
                <w:sz w:val="20"/>
                <w:szCs w:val="20"/>
                <w:color w:val="auto"/>
              </w:rPr>
            </w:pPr>
            <w:r>
              <w:rPr>
                <w:rFonts w:ascii="Arial" w:cs="Arial" w:eastAsia="Arial" w:hAnsi="Arial"/>
                <w:sz w:val="17"/>
                <w:szCs w:val="17"/>
                <w:color w:val="0000FF"/>
                <w:w w:val="91"/>
              </w:rPr>
              <w:t>Dell Technologies Inc. By: /s/</w:t>
            </w:r>
          </w:p>
        </w:tc>
        <w:tc>
          <w:tcPr>
            <w:tcW w:w="1040" w:type="dxa"/>
            <w:vAlign w:val="bottom"/>
            <w:gridSpan w:val="2"/>
          </w:tcPr>
          <w:p>
            <w:pPr>
              <w:jc w:val="right"/>
              <w:spacing w:after="0"/>
              <w:rPr>
                <w:sz w:val="20"/>
                <w:szCs w:val="20"/>
                <w:color w:val="auto"/>
              </w:rPr>
            </w:pPr>
            <w:r>
              <w:rPr>
                <w:rFonts w:ascii="Arial" w:cs="Arial" w:eastAsia="Arial" w:hAnsi="Arial"/>
                <w:sz w:val="17"/>
                <w:szCs w:val="17"/>
                <w:color w:val="0000FF"/>
              </w:rPr>
              <w:t>01/02/2020</w:t>
            </w:r>
          </w:p>
        </w:tc>
      </w:tr>
      <w:tr>
        <w:trPr>
          <w:trHeight w:val="20"/>
        </w:trPr>
        <w:tc>
          <w:tcPr>
            <w:tcW w:w="2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53" w:orient="portrait"/>
          <w:cols w:equalWidth="0" w:num="1">
            <w:col w:w="11520"/>
          </w:cols>
          <w:pgMar w:left="240" w:top="222"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Robert Potts,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089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&amp;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EMC Corporation By: /s/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7"/>
          <w:szCs w:val="17"/>
          <w:color w:val="0000FF"/>
        </w:rPr>
        <w:t>Potts, Senior Vice President &amp;</w:t>
      </w:r>
      <w:r>
        <w:rPr>
          <w:sz w:val="20"/>
          <w:szCs w:val="20"/>
          <w:color w:val="auto"/>
        </w:rPr>
        <w:tab/>
      </w:r>
      <w:r>
        <w:rPr>
          <w:rFonts w:ascii="Arial" w:cs="Arial" w:eastAsia="Arial" w:hAnsi="Arial"/>
          <w:sz w:val="15"/>
          <w:szCs w:val="15"/>
          <w:color w:val="0000FF"/>
        </w:rPr>
        <w:t>01/02/2020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940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824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7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cgi-bin/browse-edgar?action=getcompany&amp;CIK=0001571996" TargetMode="External"/><Relationship Id="rId13" Type="http://schemas.openxmlformats.org/officeDocument/2006/relationships/hyperlink" Target="http://www.sec.gov/cgi-bin/browse-edgar?action=getcompany&amp;CIK=0001124610" TargetMode="External"/><Relationship Id="rId14" Type="http://schemas.openxmlformats.org/officeDocument/2006/relationships/hyperlink" Target="http://www.sec.gov/cgi-bin/browse-edgar?action=getcompany&amp;CIK=0000790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2020-01-02T15:54:16Z</dcterms:created>
  <dcterms:modified xsi:type="dcterms:W3CDTF">2020-01-02T15:54:16Z</dcterms:modified>
</cp:coreProperties>
</file>