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SCHEDULE 13D</w:t>
      </w:r>
    </w:p>
    <w:p>
      <w:pPr>
        <w:spacing w:after="0" w:line="186"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(Amendment No. 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63"/>
        <w:spacing w:after="0"/>
        <w:rPr>
          <w:sz w:val="20"/>
          <w:szCs w:val="20"/>
          <w:color w:val="auto"/>
        </w:rPr>
      </w:pPr>
      <w:r>
        <w:rPr>
          <w:rFonts w:ascii="Arial" w:cs="Arial" w:eastAsia="Arial" w:hAnsi="Arial"/>
          <w:sz w:val="40"/>
          <w:szCs w:val="40"/>
          <w:b w:val="1"/>
          <w:bCs w:val="1"/>
          <w:color w:val="auto"/>
        </w:rPr>
        <w:t>VMware, Inc.</w:t>
      </w:r>
    </w:p>
    <w:p>
      <w:pPr>
        <w:spacing w:after="0" w:line="3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Class A Common Stock, par value $0.01 per share</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928563402</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(CUSIP Number)</w:t>
      </w:r>
    </w:p>
    <w:p>
      <w:pPr>
        <w:spacing w:after="0" w:line="192"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Robert L. Potts</w:t>
      </w:r>
    </w:p>
    <w:p>
      <w:pPr>
        <w:spacing w:after="0" w:line="27"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Senior Vice President, Corporate Securities &amp; Finance Counsel and Assistant Secretary</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One Dell Way</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Round Rock, TX 78682</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(512) 728-7800</w:t>
      </w:r>
    </w:p>
    <w:p>
      <w:pPr>
        <w:spacing w:after="0" w:line="2"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196"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i w:val="1"/>
          <w:iCs w:val="1"/>
          <w:color w:val="auto"/>
        </w:rPr>
        <w:t>with copies to:</w:t>
      </w:r>
    </w:p>
    <w:p>
      <w:pPr>
        <w:spacing w:after="0" w:line="73"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William R. Dougherty</w:t>
      </w:r>
    </w:p>
    <w:p>
      <w:pPr>
        <w:spacing w:after="0" w:line="27"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Atif Azher</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Naveed Anwar</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Simpson Thacher &amp; Bartlett LLP</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2475 Hanover Street</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Palo Alto, CA 94304</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(650) 251-5000</w:t>
      </w:r>
    </w:p>
    <w:p>
      <w:pPr>
        <w:spacing w:after="0" w:line="207"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July 15, 2020</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left="4" w:right="12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150495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3" w:lineRule="exact"/>
        <w:rPr>
          <w:sz w:val="24"/>
          <w:szCs w:val="24"/>
          <w:color w:val="auto"/>
        </w:rPr>
      </w:pPr>
    </w:p>
    <w:p>
      <w:pPr>
        <w:ind w:left="4" w:right="280"/>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Rule 13d-7 for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36830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1" w:lineRule="exact"/>
        <w:rPr>
          <w:sz w:val="24"/>
          <w:szCs w:val="24"/>
          <w:color w:val="auto"/>
        </w:rPr>
      </w:pPr>
    </w:p>
    <w:p>
      <w:pPr>
        <w:ind w:left="424" w:hanging="424"/>
        <w:spacing w:after="0" w:line="308" w:lineRule="auto"/>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19" w:lineRule="exact"/>
        <w:rPr>
          <w:sz w:val="24"/>
          <w:szCs w:val="24"/>
          <w:color w:val="auto"/>
        </w:rPr>
      </w:pPr>
    </w:p>
    <w:p>
      <w:pPr>
        <w:ind w:left="4" w:right="4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177165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4"/>
          </w:cols>
          <w:pgMar w:left="436" w:top="476" w:right="51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1820" w:type="dxa"/>
            <w:vAlign w:val="bottom"/>
            <w:gridSpan w:val="7"/>
            <w:vMerge w:val="restart"/>
          </w:tcPr>
          <w:p>
            <w:pPr>
              <w:spacing w:after="0"/>
              <w:rPr>
                <w:sz w:val="20"/>
                <w:szCs w:val="20"/>
                <w:color w:val="auto"/>
              </w:rPr>
            </w:pPr>
            <w:r>
              <w:rPr>
                <w:rFonts w:ascii="Arial" w:cs="Arial" w:eastAsia="Arial" w:hAnsi="Arial"/>
                <w:sz w:val="18"/>
                <w:szCs w:val="18"/>
                <w:color w:val="auto"/>
                <w:w w:val="98"/>
              </w:rPr>
              <w:t>CUSIP No. 928563402</w:t>
            </w:r>
          </w:p>
        </w:tc>
        <w:tc>
          <w:tcPr>
            <w:tcW w:w="9220" w:type="dxa"/>
            <w:vAlign w:val="bottom"/>
          </w:tcPr>
          <w:p>
            <w:pPr>
              <w:ind w:left="3040"/>
              <w:spacing w:after="0"/>
              <w:rPr>
                <w:sz w:val="20"/>
                <w:szCs w:val="20"/>
                <w:color w:val="auto"/>
              </w:rPr>
            </w:pPr>
            <w:r>
              <w:rPr>
                <w:rFonts w:ascii="Arial" w:cs="Arial" w:eastAsia="Arial" w:hAnsi="Arial"/>
                <w:sz w:val="18"/>
                <w:szCs w:val="18"/>
                <w:color w:val="auto"/>
              </w:rPr>
              <w:t>SCHEDULE 13D</w:t>
            </w:r>
          </w:p>
        </w:tc>
        <w:tc>
          <w:tcPr>
            <w:tcW w:w="0" w:type="dxa"/>
            <w:vAlign w:val="bottom"/>
          </w:tcPr>
          <w:p>
            <w:pPr>
              <w:spacing w:after="0"/>
              <w:rPr>
                <w:sz w:val="1"/>
                <w:szCs w:val="1"/>
                <w:color w:val="auto"/>
              </w:rPr>
            </w:pPr>
          </w:p>
        </w:tc>
      </w:tr>
      <w:tr>
        <w:trPr>
          <w:trHeight w:val="216"/>
        </w:trPr>
        <w:tc>
          <w:tcPr>
            <w:tcW w:w="1820" w:type="dxa"/>
            <w:vAlign w:val="bottom"/>
            <w:gridSpan w:val="7"/>
            <w:vMerge w:val="continue"/>
          </w:tcPr>
          <w:p>
            <w:pPr>
              <w:spacing w:after="0"/>
              <w:rPr>
                <w:sz w:val="18"/>
                <w:szCs w:val="18"/>
                <w:color w:val="auto"/>
              </w:rPr>
            </w:pPr>
          </w:p>
        </w:tc>
        <w:tc>
          <w:tcPr>
            <w:tcW w:w="9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2"/>
          </w:tcPr>
          <w:p>
            <w:pPr>
              <w:spacing w:after="0"/>
              <w:rPr>
                <w:sz w:val="12"/>
                <w:szCs w:val="12"/>
                <w:color w:val="auto"/>
              </w:rPr>
            </w:pPr>
          </w:p>
        </w:tc>
        <w:tc>
          <w:tcPr>
            <w:tcW w:w="9360" w:type="dxa"/>
            <w:vAlign w:val="bottom"/>
            <w:tcBorders>
              <w:bottom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104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460" w:type="dxa"/>
            <w:vAlign w:val="bottom"/>
            <w:tcBorders>
              <w:bottom w:val="single" w:sz="8" w:color="auto"/>
              <w:right w:val="single" w:sz="8" w:color="auto"/>
            </w:tcBorders>
            <w:gridSpan w:val="5"/>
          </w:tcPr>
          <w:p>
            <w:pPr>
              <w:ind w:left="160"/>
              <w:spacing w:after="0"/>
              <w:rPr>
                <w:sz w:val="20"/>
                <w:szCs w:val="20"/>
                <w:color w:val="auto"/>
              </w:rPr>
            </w:pPr>
            <w:r>
              <w:rPr>
                <w:rFonts w:ascii="Arial" w:cs="Arial" w:eastAsia="Arial" w:hAnsi="Arial"/>
                <w:sz w:val="18"/>
                <w:szCs w:val="18"/>
                <w:color w:val="auto"/>
              </w:rPr>
              <w:t>Dell Technologies Inc.</w:t>
            </w: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200" w:type="dxa"/>
            <w:vAlign w:val="bottom"/>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10460" w:type="dxa"/>
            <w:vAlign w:val="bottom"/>
            <w:tcBorders>
              <w:right w:val="single" w:sz="8" w:color="auto"/>
            </w:tcBorders>
            <w:gridSpan w:val="5"/>
          </w:tcPr>
          <w:p>
            <w:pPr>
              <w:ind w:left="160"/>
              <w:spacing w:after="0" w:line="169"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740" w:type="dxa"/>
            <w:vAlign w:val="bottom"/>
            <w:gridSpan w:val="2"/>
          </w:tcPr>
          <w:p>
            <w:pPr>
              <w:ind w:left="1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500" w:type="dxa"/>
            <w:vAlign w:val="bottom"/>
            <w:gridSpan w:val="2"/>
          </w:tcPr>
          <w:p>
            <w:pPr>
              <w:ind w:left="240"/>
              <w:spacing w:after="0"/>
              <w:rPr>
                <w:sz w:val="20"/>
                <w:szCs w:val="20"/>
                <w:color w:val="auto"/>
              </w:rPr>
            </w:pPr>
            <w:r>
              <w:rPr>
                <w:rFonts w:ascii="Arial" w:cs="Arial" w:eastAsia="Arial" w:hAnsi="Arial"/>
                <w:sz w:val="18"/>
                <w:szCs w:val="18"/>
                <w:color w:val="auto"/>
              </w:rPr>
              <w:t>(b)</w:t>
            </w:r>
          </w:p>
        </w:tc>
        <w:tc>
          <w:tcPr>
            <w:tcW w:w="9220" w:type="dxa"/>
            <w:vAlign w:val="bottom"/>
            <w:tcBorders>
              <w:right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2"/>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1240" w:type="dxa"/>
            <w:vAlign w:val="bottom"/>
            <w:gridSpan w:val="4"/>
          </w:tcPr>
          <w:p>
            <w:pPr>
              <w:ind w:left="160"/>
              <w:spacing w:after="0"/>
              <w:rPr>
                <w:sz w:val="20"/>
                <w:szCs w:val="20"/>
                <w:color w:val="auto"/>
              </w:rPr>
            </w:pPr>
            <w:r>
              <w:rPr>
                <w:rFonts w:ascii="Arial" w:cs="Arial" w:eastAsia="Arial" w:hAnsi="Arial"/>
                <w:sz w:val="18"/>
                <w:szCs w:val="18"/>
                <w:color w:val="auto"/>
                <w:w w:val="97"/>
              </w:rPr>
              <w:t>SEC use only</w:t>
            </w:r>
          </w:p>
        </w:tc>
        <w:tc>
          <w:tcPr>
            <w:tcW w:w="9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gridSpan w:val="2"/>
          </w:tcPr>
          <w:p>
            <w:pPr>
              <w:spacing w:after="0"/>
              <w:rPr>
                <w:sz w:val="21"/>
                <w:szCs w:val="21"/>
                <w:color w:val="auto"/>
              </w:rPr>
            </w:pPr>
          </w:p>
        </w:tc>
        <w:tc>
          <w:tcPr>
            <w:tcW w:w="936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104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OO</w:t>
            </w: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10460" w:type="dxa"/>
            <w:vAlign w:val="bottom"/>
            <w:tcBorders>
              <w:right w:val="single" w:sz="8" w:color="auto"/>
            </w:tcBorders>
            <w:gridSpan w:val="5"/>
          </w:tcPr>
          <w:p>
            <w:pPr>
              <w:ind w:left="160"/>
              <w:spacing w:after="0" w:line="207" w:lineRule="exact"/>
              <w:rPr>
                <w:sz w:val="20"/>
                <w:szCs w:val="20"/>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340" w:type="dxa"/>
            <w:vAlign w:val="bottom"/>
            <w:tcBorders>
              <w:left w:val="single" w:sz="8" w:color="auto"/>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0" w:type="dxa"/>
            <w:vAlign w:val="bottom"/>
            <w:tcBorders>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2"/>
          </w:tcPr>
          <w:p>
            <w:pPr>
              <w:spacing w:after="0"/>
              <w:rPr>
                <w:sz w:val="16"/>
                <w:szCs w:val="16"/>
                <w:color w:val="auto"/>
              </w:rPr>
            </w:pPr>
          </w:p>
        </w:tc>
        <w:tc>
          <w:tcPr>
            <w:tcW w:w="9360" w:type="dxa"/>
            <w:vAlign w:val="bottom"/>
            <w:tcBorders>
              <w:bottom w:val="single" w:sz="8" w:color="auto"/>
              <w:right w:val="single" w:sz="8" w:color="auto"/>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104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color w:val="auto"/>
              </w:rPr>
              <w:t>Delaware</w:t>
            </w: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0"/>
                <w:szCs w:val="20"/>
                <w:color w:val="auto"/>
              </w:rPr>
            </w:pPr>
          </w:p>
        </w:tc>
        <w:tc>
          <w:tcPr>
            <w:tcW w:w="92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24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2"/>
              </w:rPr>
              <w:t>Number of</w:t>
            </w: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900" w:type="dxa"/>
            <w:vAlign w:val="bottom"/>
            <w:tcBorders>
              <w:right w:val="single" w:sz="8" w:color="auto"/>
            </w:tcBorders>
            <w:gridSpan w:val="3"/>
          </w:tcPr>
          <w:p>
            <w:pPr>
              <w:jc w:val="center"/>
              <w:ind w:right="110"/>
              <w:spacing w:after="0"/>
              <w:rPr>
                <w:sz w:val="20"/>
                <w:szCs w:val="20"/>
                <w:color w:val="auto"/>
              </w:rPr>
            </w:pPr>
            <w:r>
              <w:rPr>
                <w:rFonts w:ascii="Arial" w:cs="Arial" w:eastAsia="Arial" w:hAnsi="Arial"/>
                <w:sz w:val="18"/>
                <w:szCs w:val="18"/>
                <w:color w:val="auto"/>
                <w:w w:val="85"/>
              </w:rPr>
              <w:t>shares</w:t>
            </w:r>
          </w:p>
        </w:tc>
        <w:tc>
          <w:tcPr>
            <w:tcW w:w="80" w:type="dxa"/>
            <w:vAlign w:val="bottom"/>
          </w:tcPr>
          <w:p>
            <w:pPr>
              <w:spacing w:after="0"/>
              <w:rPr>
                <w:sz w:val="20"/>
                <w:szCs w:val="20"/>
                <w:color w:val="auto"/>
              </w:rPr>
            </w:pPr>
          </w:p>
        </w:tc>
        <w:tc>
          <w:tcPr>
            <w:tcW w:w="3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0"/>
                <w:szCs w:val="20"/>
                <w:color w:val="auto"/>
              </w:rPr>
            </w:pPr>
          </w:p>
        </w:tc>
        <w:tc>
          <w:tcPr>
            <w:tcW w:w="92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24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6"/>
              </w:rPr>
              <w:t>beneficially</w:t>
            </w:r>
          </w:p>
        </w:tc>
        <w:tc>
          <w:tcPr>
            <w:tcW w:w="8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2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337,900,441 shares of Class A Common Stock</w:t>
            </w:r>
            <w:r>
              <w:rPr>
                <w:rFonts w:ascii="Arial" w:cs="Arial" w:eastAsia="Arial" w:hAnsi="Arial"/>
                <w:sz w:val="11"/>
                <w:szCs w:val="11"/>
                <w:u w:val="single" w:color="auto"/>
                <w:color w:val="auto"/>
              </w:rPr>
              <w:t>1</w:t>
            </w: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900" w:type="dxa"/>
            <w:vAlign w:val="bottom"/>
            <w:tcBorders>
              <w:right w:val="single" w:sz="8" w:color="auto"/>
            </w:tcBorders>
            <w:gridSpan w:val="3"/>
          </w:tcPr>
          <w:p>
            <w:pPr>
              <w:jc w:val="center"/>
              <w:ind w:right="110"/>
              <w:spacing w:after="0"/>
              <w:rPr>
                <w:sz w:val="20"/>
                <w:szCs w:val="20"/>
                <w:color w:val="auto"/>
              </w:rPr>
            </w:pPr>
            <w:r>
              <w:rPr>
                <w:rFonts w:ascii="Arial" w:cs="Arial" w:eastAsia="Arial" w:hAnsi="Arial"/>
                <w:sz w:val="18"/>
                <w:szCs w:val="18"/>
                <w:color w:val="auto"/>
                <w:w w:val="90"/>
              </w:rPr>
              <w:t>owned by</w:t>
            </w:r>
          </w:p>
        </w:tc>
        <w:tc>
          <w:tcPr>
            <w:tcW w:w="80" w:type="dxa"/>
            <w:vAlign w:val="bottom"/>
            <w:tcBorders>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2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Borders>
              <w:right w:val="single" w:sz="8" w:color="auto"/>
            </w:tcBorders>
            <w:gridSpan w:val="2"/>
          </w:tcPr>
          <w:p>
            <w:pPr>
              <w:jc w:val="center"/>
              <w:ind w:right="290"/>
              <w:spacing w:after="0" w:line="182" w:lineRule="exact"/>
              <w:rPr>
                <w:sz w:val="20"/>
                <w:szCs w:val="20"/>
                <w:color w:val="auto"/>
              </w:rPr>
            </w:pPr>
            <w:r>
              <w:rPr>
                <w:rFonts w:ascii="Arial" w:cs="Arial" w:eastAsia="Arial" w:hAnsi="Arial"/>
                <w:sz w:val="18"/>
                <w:szCs w:val="18"/>
                <w:color w:val="auto"/>
                <w:w w:val="81"/>
              </w:rPr>
              <w:t>each</w:t>
            </w:r>
          </w:p>
        </w:tc>
        <w:tc>
          <w:tcPr>
            <w:tcW w:w="80" w:type="dxa"/>
            <w:vAlign w:val="bottom"/>
          </w:tcPr>
          <w:p>
            <w:pPr>
              <w:spacing w:after="0"/>
              <w:rPr>
                <w:sz w:val="15"/>
                <w:szCs w:val="15"/>
                <w:color w:val="auto"/>
              </w:rPr>
            </w:pPr>
          </w:p>
        </w:tc>
        <w:tc>
          <w:tcPr>
            <w:tcW w:w="360" w:type="dxa"/>
            <w:vAlign w:val="bottom"/>
            <w:tcBorders>
              <w:right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9</w:t>
            </w:r>
          </w:p>
        </w:tc>
        <w:tc>
          <w:tcPr>
            <w:tcW w:w="140" w:type="dxa"/>
            <w:vAlign w:val="bottom"/>
          </w:tcPr>
          <w:p>
            <w:pPr>
              <w:spacing w:after="0"/>
              <w:rPr>
                <w:sz w:val="15"/>
                <w:szCs w:val="15"/>
                <w:color w:val="auto"/>
              </w:rPr>
            </w:pPr>
          </w:p>
        </w:tc>
        <w:tc>
          <w:tcPr>
            <w:tcW w:w="9220" w:type="dxa"/>
            <w:vAlign w:val="bottom"/>
            <w:tcBorders>
              <w:right w:val="single" w:sz="8" w:color="auto"/>
            </w:tcBorders>
          </w:tcPr>
          <w:p>
            <w:pPr>
              <w:ind w:left="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gridSpan w:val="3"/>
          </w:tcPr>
          <w:p>
            <w:pPr>
              <w:jc w:val="center"/>
              <w:ind w:right="110"/>
              <w:spacing w:after="0"/>
              <w:rPr>
                <w:sz w:val="20"/>
                <w:szCs w:val="20"/>
                <w:color w:val="auto"/>
              </w:rPr>
            </w:pPr>
            <w:r>
              <w:rPr>
                <w:rFonts w:ascii="Arial" w:cs="Arial" w:eastAsia="Arial" w:hAnsi="Arial"/>
                <w:sz w:val="18"/>
                <w:szCs w:val="18"/>
                <w:color w:val="auto"/>
                <w:w w:val="92"/>
              </w:rPr>
              <w:t>reporting</w:t>
            </w:r>
          </w:p>
        </w:tc>
        <w:tc>
          <w:tcPr>
            <w:tcW w:w="8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gridSpan w:val="3"/>
          </w:tcPr>
          <w:p>
            <w:pPr>
              <w:jc w:val="center"/>
              <w:ind w:right="130"/>
              <w:spacing w:after="0"/>
              <w:rPr>
                <w:sz w:val="20"/>
                <w:szCs w:val="20"/>
                <w:color w:val="auto"/>
              </w:rPr>
            </w:pPr>
            <w:r>
              <w:rPr>
                <w:rFonts w:ascii="Arial" w:cs="Arial" w:eastAsia="Arial" w:hAnsi="Arial"/>
                <w:sz w:val="18"/>
                <w:szCs w:val="18"/>
                <w:color w:val="auto"/>
                <w:w w:val="87"/>
              </w:rPr>
              <w:t>person</w:t>
            </w:r>
          </w:p>
        </w:tc>
        <w:tc>
          <w:tcPr>
            <w:tcW w:w="8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2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900" w:type="dxa"/>
            <w:vAlign w:val="bottom"/>
            <w:tcBorders>
              <w:right w:val="single" w:sz="8" w:color="auto"/>
            </w:tcBorders>
            <w:gridSpan w:val="3"/>
            <w:vMerge w:val="restart"/>
          </w:tcPr>
          <w:p>
            <w:pPr>
              <w:jc w:val="center"/>
              <w:ind w:right="110"/>
              <w:spacing w:after="0"/>
              <w:rPr>
                <w:sz w:val="20"/>
                <w:szCs w:val="20"/>
                <w:color w:val="auto"/>
              </w:rPr>
            </w:pPr>
            <w:r>
              <w:rPr>
                <w:rFonts w:ascii="Arial" w:cs="Arial" w:eastAsia="Arial" w:hAnsi="Arial"/>
                <w:sz w:val="18"/>
                <w:szCs w:val="18"/>
                <w:color w:val="auto"/>
              </w:rPr>
              <w:t>with:</w:t>
            </w:r>
          </w:p>
        </w:tc>
        <w:tc>
          <w:tcPr>
            <w:tcW w:w="80" w:type="dxa"/>
            <w:vAlign w:val="bottom"/>
            <w:tcBorders>
              <w:bottom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900" w:type="dxa"/>
            <w:vAlign w:val="bottom"/>
            <w:tcBorders>
              <w:right w:val="single" w:sz="8" w:color="auto"/>
            </w:tcBorders>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2"/>
                <w:szCs w:val="12"/>
                <w:color w:val="auto"/>
              </w:rPr>
            </w:pPr>
          </w:p>
        </w:tc>
        <w:tc>
          <w:tcPr>
            <w:tcW w:w="92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Borders>
              <w:right w:val="single" w:sz="8" w:color="auto"/>
            </w:tcBorders>
            <w:vMerge w:val="continue"/>
          </w:tcPr>
          <w:p>
            <w:pPr>
              <w:spacing w:after="0"/>
              <w:rPr>
                <w:sz w:val="7"/>
                <w:szCs w:val="7"/>
                <w:color w:val="auto"/>
              </w:rPr>
            </w:pPr>
          </w:p>
        </w:tc>
        <w:tc>
          <w:tcPr>
            <w:tcW w:w="140" w:type="dxa"/>
            <w:vAlign w:val="bottom"/>
          </w:tcPr>
          <w:p>
            <w:pPr>
              <w:spacing w:after="0"/>
              <w:rPr>
                <w:sz w:val="7"/>
                <w:szCs w:val="7"/>
                <w:color w:val="auto"/>
              </w:rPr>
            </w:pPr>
          </w:p>
        </w:tc>
        <w:tc>
          <w:tcPr>
            <w:tcW w:w="92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337,900,441 shares of Class A Common Stock</w:t>
            </w:r>
            <w:r>
              <w:rPr>
                <w:rFonts w:ascii="Arial" w:cs="Arial" w:eastAsia="Arial" w:hAnsi="Arial"/>
                <w:sz w:val="11"/>
                <w:szCs w:val="11"/>
                <w:u w:val="single" w:color="auto"/>
                <w:color w:val="auto"/>
              </w:rPr>
              <w:t>1</w:t>
            </w: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0460" w:type="dxa"/>
            <w:vAlign w:val="bottom"/>
            <w:tcBorders>
              <w:right w:val="single" w:sz="8" w:color="auto"/>
            </w:tcBorders>
            <w:gridSpan w:val="5"/>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460" w:type="dxa"/>
            <w:vAlign w:val="bottom"/>
            <w:tcBorders>
              <w:bottom w:val="single" w:sz="8" w:color="auto"/>
              <w:right w:val="single" w:sz="8" w:color="auto"/>
            </w:tcBorders>
            <w:gridSpan w:val="5"/>
          </w:tcPr>
          <w:p>
            <w:pPr>
              <w:ind w:left="120"/>
              <w:spacing w:after="0"/>
              <w:rPr>
                <w:sz w:val="20"/>
                <w:szCs w:val="20"/>
                <w:color w:val="auto"/>
              </w:rPr>
            </w:pPr>
            <w:r>
              <w:rPr>
                <w:rFonts w:ascii="Arial" w:cs="Arial" w:eastAsia="Arial" w:hAnsi="Arial"/>
                <w:sz w:val="18"/>
                <w:szCs w:val="18"/>
                <w:color w:val="auto"/>
              </w:rPr>
              <w:t>337,900,441 shares of Class A Common Stock</w:t>
            </w:r>
            <w:r>
              <w:rPr>
                <w:rFonts w:ascii="Arial" w:cs="Arial" w:eastAsia="Arial" w:hAnsi="Arial"/>
                <w:sz w:val="11"/>
                <w:szCs w:val="11"/>
                <w:u w:val="single" w:color="auto"/>
                <w:color w:val="auto"/>
              </w:rPr>
              <w:t>1</w:t>
            </w: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0460" w:type="dxa"/>
            <w:vAlign w:val="bottom"/>
            <w:tcBorders>
              <w:right w:val="single" w:sz="8" w:color="auto"/>
            </w:tcBorders>
            <w:gridSpan w:val="5"/>
          </w:tcPr>
          <w:p>
            <w:pPr>
              <w:ind w:left="120"/>
              <w:spacing w:after="0" w:line="207" w:lineRule="exact"/>
              <w:rPr>
                <w:sz w:val="20"/>
                <w:szCs w:val="20"/>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340" w:type="dxa"/>
            <w:vAlign w:val="bottom"/>
            <w:tcBorders>
              <w:left w:val="single" w:sz="8" w:color="auto"/>
              <w:bottom w:val="single" w:sz="8" w:color="auto"/>
            </w:tcBorders>
          </w:tcPr>
          <w:p>
            <w:pPr>
              <w:spacing w:after="0"/>
              <w:rPr>
                <w:sz w:val="16"/>
                <w:szCs w:val="16"/>
                <w:color w:val="auto"/>
              </w:rPr>
            </w:pPr>
          </w:p>
        </w:tc>
        <w:tc>
          <w:tcPr>
            <w:tcW w:w="200" w:type="dxa"/>
            <w:vAlign w:val="bottom"/>
            <w:tcBorders>
              <w:bottom w:val="single" w:sz="8" w:color="auto"/>
              <w:right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460" w:type="dxa"/>
            <w:vAlign w:val="bottom"/>
            <w:tcBorders>
              <w:bottom w:val="single" w:sz="8" w:color="auto"/>
              <w:right w:val="single" w:sz="8" w:color="auto"/>
            </w:tcBorders>
            <w:gridSpan w:val="5"/>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0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0460" w:type="dxa"/>
            <w:vAlign w:val="bottom"/>
            <w:tcBorders>
              <w:right w:val="single" w:sz="8" w:color="auto"/>
            </w:tcBorders>
            <w:gridSpan w:val="5"/>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w w:val="99"/>
              </w:rPr>
              <w:t>80.6%</w:t>
            </w:r>
            <w:r>
              <w:rPr>
                <w:rFonts w:ascii="Arial" w:cs="Arial" w:eastAsia="Arial" w:hAnsi="Arial"/>
                <w:sz w:val="11"/>
                <w:szCs w:val="11"/>
                <w:u w:val="single" w:color="auto"/>
                <w:color w:val="auto"/>
                <w:w w:val="99"/>
              </w:rPr>
              <w:t>2</w:t>
            </w:r>
            <w:r>
              <w:rPr>
                <w:rFonts w:ascii="Arial" w:cs="Arial" w:eastAsia="Arial" w:hAnsi="Arial"/>
                <w:sz w:val="11"/>
                <w:szCs w:val="11"/>
                <w:color w:val="auto"/>
                <w:w w:val="99"/>
              </w:rPr>
              <w:t>/</w:t>
            </w: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0460" w:type="dxa"/>
            <w:vAlign w:val="bottom"/>
            <w:tcBorders>
              <w:right w:val="single" w:sz="8" w:color="auto"/>
            </w:tcBorders>
            <w:gridSpan w:val="5"/>
          </w:tcPr>
          <w:p>
            <w:pPr>
              <w:ind w:left="12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CO</w:t>
            </w: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ind w:left="420" w:right="60" w:hanging="431"/>
        <w:spacing w:after="0" w:line="255" w:lineRule="auto"/>
        <w:tabs>
          <w:tab w:leader="none" w:pos="400" w:val="left"/>
        </w:tabs>
        <w:rPr>
          <w:sz w:val="20"/>
          <w:szCs w:val="20"/>
          <w:color w:val="auto"/>
        </w:rPr>
      </w:pPr>
      <w:r>
        <w:rPr>
          <w:rFonts w:ascii="Arial" w:cs="Arial" w:eastAsia="Arial" w:hAnsi="Arial"/>
          <w:sz w:val="18"/>
          <w:szCs w:val="18"/>
          <w:u w:val="single" w:color="auto"/>
          <w:color w:val="auto"/>
        </w:rPr>
        <w:t>1</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Includes (i) 30,678,605 shares of Class A Common Stock and (ii) 307,221,836 shares of Class B Common Stock convertible into an equal number of shares of Class A Common Stock at any time. Assumes the conversion of the Class B Common Stock referred to above into shares of Class A Common Stock.</w:t>
      </w:r>
    </w:p>
    <w:p>
      <w:pPr>
        <w:spacing w:after="0" w:line="3" w:lineRule="exact"/>
        <w:rPr>
          <w:sz w:val="20"/>
          <w:szCs w:val="20"/>
          <w:color w:val="auto"/>
        </w:rPr>
      </w:pPr>
    </w:p>
    <w:p>
      <w:pPr>
        <w:ind w:left="420" w:right="40" w:hanging="431"/>
        <w:spacing w:after="0" w:line="255" w:lineRule="auto"/>
        <w:tabs>
          <w:tab w:leader="none" w:pos="400" w:val="left"/>
        </w:tabs>
        <w:rPr>
          <w:sz w:val="20"/>
          <w:szCs w:val="20"/>
          <w:color w:val="auto"/>
        </w:rPr>
      </w:pPr>
      <w:r>
        <w:rPr>
          <w:rFonts w:ascii="Arial" w:cs="Arial" w:eastAsia="Arial" w:hAnsi="Arial"/>
          <w:sz w:val="18"/>
          <w:szCs w:val="18"/>
          <w:u w:val="single" w:color="auto"/>
          <w:color w:val="auto"/>
        </w:rPr>
        <w:t>2</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Based on 111,828,394 shares of Class A Common Stock outstanding as of May 29, 2020, as disclosed in the Quarterly Report on Form 10-Q for the quarterly period ended May 1, 2020 filed by the Issuer with the Securities and Exchange Commission (the “SEC”). Assumes the conversion of the Class B Common Stock referred to in footnote 1 into shares of Class A Common Stock.</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11</w:t>
      </w:r>
    </w:p>
    <w:p>
      <w:pPr>
        <w:sectPr>
          <w:pgSz w:w="11900" w:h="16838" w:orient="portrait"/>
          <w:cols w:equalWidth="0" w:num="1">
            <w:col w:w="11020"/>
          </w:cols>
          <w:pgMar w:left="440" w:top="274" w:right="4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30"/>
        </w:trPr>
        <w:tc>
          <w:tcPr>
            <w:tcW w:w="1820" w:type="dxa"/>
            <w:vAlign w:val="bottom"/>
            <w:gridSpan w:val="7"/>
            <w:vMerge w:val="restart"/>
          </w:tcPr>
          <w:p>
            <w:pPr>
              <w:spacing w:after="0"/>
              <w:rPr>
                <w:sz w:val="20"/>
                <w:szCs w:val="20"/>
                <w:color w:val="auto"/>
              </w:rPr>
            </w:pPr>
            <w:r>
              <w:rPr>
                <w:rFonts w:ascii="Arial" w:cs="Arial" w:eastAsia="Arial" w:hAnsi="Arial"/>
                <w:sz w:val="18"/>
                <w:szCs w:val="18"/>
                <w:color w:val="auto"/>
                <w:w w:val="98"/>
              </w:rPr>
              <w:t>CUSIP No. 928563402</w:t>
            </w:r>
          </w:p>
        </w:tc>
        <w:tc>
          <w:tcPr>
            <w:tcW w:w="9220" w:type="dxa"/>
            <w:vAlign w:val="bottom"/>
          </w:tcPr>
          <w:p>
            <w:pPr>
              <w:ind w:left="3040"/>
              <w:spacing w:after="0"/>
              <w:rPr>
                <w:sz w:val="20"/>
                <w:szCs w:val="20"/>
                <w:color w:val="auto"/>
              </w:rPr>
            </w:pPr>
            <w:r>
              <w:rPr>
                <w:rFonts w:ascii="Arial" w:cs="Arial" w:eastAsia="Arial" w:hAnsi="Arial"/>
                <w:sz w:val="18"/>
                <w:szCs w:val="18"/>
                <w:color w:val="auto"/>
              </w:rPr>
              <w:t>SCHEDULE 13D</w:t>
            </w:r>
          </w:p>
        </w:tc>
        <w:tc>
          <w:tcPr>
            <w:tcW w:w="0" w:type="dxa"/>
            <w:vAlign w:val="bottom"/>
          </w:tcPr>
          <w:p>
            <w:pPr>
              <w:spacing w:after="0"/>
              <w:rPr>
                <w:sz w:val="1"/>
                <w:szCs w:val="1"/>
                <w:color w:val="auto"/>
              </w:rPr>
            </w:pPr>
          </w:p>
        </w:tc>
      </w:tr>
      <w:tr>
        <w:trPr>
          <w:trHeight w:val="216"/>
        </w:trPr>
        <w:tc>
          <w:tcPr>
            <w:tcW w:w="1820" w:type="dxa"/>
            <w:vAlign w:val="bottom"/>
            <w:gridSpan w:val="7"/>
            <w:vMerge w:val="continue"/>
          </w:tcPr>
          <w:p>
            <w:pPr>
              <w:spacing w:after="0"/>
              <w:rPr>
                <w:sz w:val="18"/>
                <w:szCs w:val="18"/>
                <w:color w:val="auto"/>
              </w:rPr>
            </w:pPr>
          </w:p>
        </w:tc>
        <w:tc>
          <w:tcPr>
            <w:tcW w:w="9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2"/>
          </w:tcPr>
          <w:p>
            <w:pPr>
              <w:spacing w:after="0"/>
              <w:rPr>
                <w:sz w:val="12"/>
                <w:szCs w:val="12"/>
                <w:color w:val="auto"/>
              </w:rPr>
            </w:pPr>
          </w:p>
        </w:tc>
        <w:tc>
          <w:tcPr>
            <w:tcW w:w="9360" w:type="dxa"/>
            <w:vAlign w:val="bottom"/>
            <w:tcBorders>
              <w:bottom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104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460" w:type="dxa"/>
            <w:vAlign w:val="bottom"/>
            <w:tcBorders>
              <w:bottom w:val="single" w:sz="8" w:color="auto"/>
              <w:right w:val="single" w:sz="8" w:color="auto"/>
            </w:tcBorders>
            <w:gridSpan w:val="5"/>
          </w:tcPr>
          <w:p>
            <w:pPr>
              <w:ind w:left="160"/>
              <w:spacing w:after="0"/>
              <w:rPr>
                <w:sz w:val="20"/>
                <w:szCs w:val="20"/>
                <w:color w:val="auto"/>
              </w:rPr>
            </w:pPr>
            <w:r>
              <w:rPr>
                <w:rFonts w:ascii="Arial" w:cs="Arial" w:eastAsia="Arial" w:hAnsi="Arial"/>
                <w:sz w:val="18"/>
                <w:szCs w:val="18"/>
                <w:color w:val="auto"/>
              </w:rPr>
              <w:t>EMC Corporation</w:t>
            </w: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200" w:type="dxa"/>
            <w:vAlign w:val="bottom"/>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10460" w:type="dxa"/>
            <w:vAlign w:val="bottom"/>
            <w:tcBorders>
              <w:right w:val="single" w:sz="8" w:color="auto"/>
            </w:tcBorders>
            <w:gridSpan w:val="5"/>
          </w:tcPr>
          <w:p>
            <w:pPr>
              <w:ind w:left="160"/>
              <w:spacing w:after="0" w:line="169"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740" w:type="dxa"/>
            <w:vAlign w:val="bottom"/>
            <w:gridSpan w:val="2"/>
          </w:tcPr>
          <w:p>
            <w:pPr>
              <w:ind w:left="1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500" w:type="dxa"/>
            <w:vAlign w:val="bottom"/>
            <w:gridSpan w:val="2"/>
          </w:tcPr>
          <w:p>
            <w:pPr>
              <w:ind w:left="240"/>
              <w:spacing w:after="0"/>
              <w:rPr>
                <w:sz w:val="20"/>
                <w:szCs w:val="20"/>
                <w:color w:val="auto"/>
              </w:rPr>
            </w:pPr>
            <w:r>
              <w:rPr>
                <w:rFonts w:ascii="Arial" w:cs="Arial" w:eastAsia="Arial" w:hAnsi="Arial"/>
                <w:sz w:val="18"/>
                <w:szCs w:val="18"/>
                <w:color w:val="auto"/>
              </w:rPr>
              <w:t>(b)</w:t>
            </w:r>
          </w:p>
        </w:tc>
        <w:tc>
          <w:tcPr>
            <w:tcW w:w="9220" w:type="dxa"/>
            <w:vAlign w:val="bottom"/>
            <w:tcBorders>
              <w:right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2"/>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1240" w:type="dxa"/>
            <w:vAlign w:val="bottom"/>
            <w:gridSpan w:val="4"/>
          </w:tcPr>
          <w:p>
            <w:pPr>
              <w:ind w:left="160"/>
              <w:spacing w:after="0"/>
              <w:rPr>
                <w:sz w:val="20"/>
                <w:szCs w:val="20"/>
                <w:color w:val="auto"/>
              </w:rPr>
            </w:pPr>
            <w:r>
              <w:rPr>
                <w:rFonts w:ascii="Arial" w:cs="Arial" w:eastAsia="Arial" w:hAnsi="Arial"/>
                <w:sz w:val="18"/>
                <w:szCs w:val="18"/>
                <w:color w:val="auto"/>
                <w:w w:val="97"/>
              </w:rPr>
              <w:t>SEC use only</w:t>
            </w:r>
          </w:p>
        </w:tc>
        <w:tc>
          <w:tcPr>
            <w:tcW w:w="9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gridSpan w:val="2"/>
          </w:tcPr>
          <w:p>
            <w:pPr>
              <w:spacing w:after="0"/>
              <w:rPr>
                <w:sz w:val="21"/>
                <w:szCs w:val="21"/>
                <w:color w:val="auto"/>
              </w:rPr>
            </w:pPr>
          </w:p>
        </w:tc>
        <w:tc>
          <w:tcPr>
            <w:tcW w:w="936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104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OO</w:t>
            </w: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10460" w:type="dxa"/>
            <w:vAlign w:val="bottom"/>
            <w:tcBorders>
              <w:right w:val="single" w:sz="8" w:color="auto"/>
            </w:tcBorders>
            <w:gridSpan w:val="5"/>
          </w:tcPr>
          <w:p>
            <w:pPr>
              <w:ind w:left="160"/>
              <w:spacing w:after="0" w:line="207" w:lineRule="exact"/>
              <w:rPr>
                <w:sz w:val="20"/>
                <w:szCs w:val="20"/>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340" w:type="dxa"/>
            <w:vAlign w:val="bottom"/>
            <w:tcBorders>
              <w:left w:val="single" w:sz="8" w:color="auto"/>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0" w:type="dxa"/>
            <w:vAlign w:val="bottom"/>
            <w:tcBorders>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2"/>
          </w:tcPr>
          <w:p>
            <w:pPr>
              <w:spacing w:after="0"/>
              <w:rPr>
                <w:sz w:val="16"/>
                <w:szCs w:val="16"/>
                <w:color w:val="auto"/>
              </w:rPr>
            </w:pPr>
          </w:p>
        </w:tc>
        <w:tc>
          <w:tcPr>
            <w:tcW w:w="9360" w:type="dxa"/>
            <w:vAlign w:val="bottom"/>
            <w:tcBorders>
              <w:bottom w:val="single" w:sz="8" w:color="auto"/>
              <w:right w:val="single" w:sz="8" w:color="auto"/>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104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color w:val="auto"/>
                <w:w w:val="88"/>
              </w:rPr>
              <w:t>Massachusetts</w:t>
            </w: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0"/>
                <w:szCs w:val="20"/>
                <w:color w:val="auto"/>
              </w:rPr>
            </w:pPr>
          </w:p>
        </w:tc>
        <w:tc>
          <w:tcPr>
            <w:tcW w:w="92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24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2"/>
              </w:rPr>
              <w:t>Number of</w:t>
            </w: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900" w:type="dxa"/>
            <w:vAlign w:val="bottom"/>
            <w:tcBorders>
              <w:right w:val="single" w:sz="8" w:color="auto"/>
            </w:tcBorders>
            <w:gridSpan w:val="3"/>
          </w:tcPr>
          <w:p>
            <w:pPr>
              <w:jc w:val="center"/>
              <w:ind w:right="110"/>
              <w:spacing w:after="0"/>
              <w:rPr>
                <w:sz w:val="20"/>
                <w:szCs w:val="20"/>
                <w:color w:val="auto"/>
              </w:rPr>
            </w:pPr>
            <w:r>
              <w:rPr>
                <w:rFonts w:ascii="Arial" w:cs="Arial" w:eastAsia="Arial" w:hAnsi="Arial"/>
                <w:sz w:val="18"/>
                <w:szCs w:val="18"/>
                <w:color w:val="auto"/>
                <w:w w:val="85"/>
              </w:rPr>
              <w:t>shares</w:t>
            </w:r>
          </w:p>
        </w:tc>
        <w:tc>
          <w:tcPr>
            <w:tcW w:w="80" w:type="dxa"/>
            <w:vAlign w:val="bottom"/>
          </w:tcPr>
          <w:p>
            <w:pPr>
              <w:spacing w:after="0"/>
              <w:rPr>
                <w:sz w:val="20"/>
                <w:szCs w:val="20"/>
                <w:color w:val="auto"/>
              </w:rPr>
            </w:pPr>
          </w:p>
        </w:tc>
        <w:tc>
          <w:tcPr>
            <w:tcW w:w="3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0"/>
                <w:szCs w:val="20"/>
                <w:color w:val="auto"/>
              </w:rPr>
            </w:pPr>
          </w:p>
        </w:tc>
        <w:tc>
          <w:tcPr>
            <w:tcW w:w="92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24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6"/>
              </w:rPr>
              <w:t>beneficially</w:t>
            </w:r>
          </w:p>
        </w:tc>
        <w:tc>
          <w:tcPr>
            <w:tcW w:w="8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2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337,900,441 shares of Class A Common Stock</w:t>
            </w:r>
            <w:r>
              <w:rPr>
                <w:rFonts w:ascii="Arial" w:cs="Arial" w:eastAsia="Arial" w:hAnsi="Arial"/>
                <w:sz w:val="11"/>
                <w:szCs w:val="11"/>
                <w:u w:val="single" w:color="auto"/>
                <w:color w:val="auto"/>
              </w:rPr>
              <w:t>1</w:t>
            </w: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900" w:type="dxa"/>
            <w:vAlign w:val="bottom"/>
            <w:tcBorders>
              <w:right w:val="single" w:sz="8" w:color="auto"/>
            </w:tcBorders>
            <w:gridSpan w:val="3"/>
          </w:tcPr>
          <w:p>
            <w:pPr>
              <w:jc w:val="center"/>
              <w:ind w:right="110"/>
              <w:spacing w:after="0"/>
              <w:rPr>
                <w:sz w:val="20"/>
                <w:szCs w:val="20"/>
                <w:color w:val="auto"/>
              </w:rPr>
            </w:pPr>
            <w:r>
              <w:rPr>
                <w:rFonts w:ascii="Arial" w:cs="Arial" w:eastAsia="Arial" w:hAnsi="Arial"/>
                <w:sz w:val="18"/>
                <w:szCs w:val="18"/>
                <w:color w:val="auto"/>
                <w:w w:val="90"/>
              </w:rPr>
              <w:t>owned by</w:t>
            </w:r>
          </w:p>
        </w:tc>
        <w:tc>
          <w:tcPr>
            <w:tcW w:w="80" w:type="dxa"/>
            <w:vAlign w:val="bottom"/>
            <w:tcBorders>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2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Borders>
              <w:right w:val="single" w:sz="8" w:color="auto"/>
            </w:tcBorders>
            <w:gridSpan w:val="2"/>
          </w:tcPr>
          <w:p>
            <w:pPr>
              <w:jc w:val="center"/>
              <w:ind w:right="290"/>
              <w:spacing w:after="0" w:line="182" w:lineRule="exact"/>
              <w:rPr>
                <w:sz w:val="20"/>
                <w:szCs w:val="20"/>
                <w:color w:val="auto"/>
              </w:rPr>
            </w:pPr>
            <w:r>
              <w:rPr>
                <w:rFonts w:ascii="Arial" w:cs="Arial" w:eastAsia="Arial" w:hAnsi="Arial"/>
                <w:sz w:val="18"/>
                <w:szCs w:val="18"/>
                <w:color w:val="auto"/>
                <w:w w:val="81"/>
              </w:rPr>
              <w:t>each</w:t>
            </w:r>
          </w:p>
        </w:tc>
        <w:tc>
          <w:tcPr>
            <w:tcW w:w="80" w:type="dxa"/>
            <w:vAlign w:val="bottom"/>
          </w:tcPr>
          <w:p>
            <w:pPr>
              <w:spacing w:after="0"/>
              <w:rPr>
                <w:sz w:val="15"/>
                <w:szCs w:val="15"/>
                <w:color w:val="auto"/>
              </w:rPr>
            </w:pPr>
          </w:p>
        </w:tc>
        <w:tc>
          <w:tcPr>
            <w:tcW w:w="360" w:type="dxa"/>
            <w:vAlign w:val="bottom"/>
            <w:tcBorders>
              <w:right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9</w:t>
            </w:r>
          </w:p>
        </w:tc>
        <w:tc>
          <w:tcPr>
            <w:tcW w:w="140" w:type="dxa"/>
            <w:vAlign w:val="bottom"/>
          </w:tcPr>
          <w:p>
            <w:pPr>
              <w:spacing w:after="0"/>
              <w:rPr>
                <w:sz w:val="15"/>
                <w:szCs w:val="15"/>
                <w:color w:val="auto"/>
              </w:rPr>
            </w:pPr>
          </w:p>
        </w:tc>
        <w:tc>
          <w:tcPr>
            <w:tcW w:w="9220" w:type="dxa"/>
            <w:vAlign w:val="bottom"/>
            <w:tcBorders>
              <w:right w:val="single" w:sz="8" w:color="auto"/>
            </w:tcBorders>
          </w:tcPr>
          <w:p>
            <w:pPr>
              <w:ind w:left="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gridSpan w:val="3"/>
          </w:tcPr>
          <w:p>
            <w:pPr>
              <w:jc w:val="center"/>
              <w:ind w:right="110"/>
              <w:spacing w:after="0"/>
              <w:rPr>
                <w:sz w:val="20"/>
                <w:szCs w:val="20"/>
                <w:color w:val="auto"/>
              </w:rPr>
            </w:pPr>
            <w:r>
              <w:rPr>
                <w:rFonts w:ascii="Arial" w:cs="Arial" w:eastAsia="Arial" w:hAnsi="Arial"/>
                <w:sz w:val="18"/>
                <w:szCs w:val="18"/>
                <w:color w:val="auto"/>
                <w:w w:val="92"/>
              </w:rPr>
              <w:t>reporting</w:t>
            </w:r>
          </w:p>
        </w:tc>
        <w:tc>
          <w:tcPr>
            <w:tcW w:w="8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gridSpan w:val="3"/>
          </w:tcPr>
          <w:p>
            <w:pPr>
              <w:jc w:val="center"/>
              <w:ind w:right="130"/>
              <w:spacing w:after="0"/>
              <w:rPr>
                <w:sz w:val="20"/>
                <w:szCs w:val="20"/>
                <w:color w:val="auto"/>
              </w:rPr>
            </w:pPr>
            <w:r>
              <w:rPr>
                <w:rFonts w:ascii="Arial" w:cs="Arial" w:eastAsia="Arial" w:hAnsi="Arial"/>
                <w:sz w:val="18"/>
                <w:szCs w:val="18"/>
                <w:color w:val="auto"/>
                <w:w w:val="87"/>
              </w:rPr>
              <w:t>person</w:t>
            </w:r>
          </w:p>
        </w:tc>
        <w:tc>
          <w:tcPr>
            <w:tcW w:w="8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2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900" w:type="dxa"/>
            <w:vAlign w:val="bottom"/>
            <w:tcBorders>
              <w:right w:val="single" w:sz="8" w:color="auto"/>
            </w:tcBorders>
            <w:gridSpan w:val="3"/>
            <w:vMerge w:val="restart"/>
          </w:tcPr>
          <w:p>
            <w:pPr>
              <w:jc w:val="center"/>
              <w:ind w:right="110"/>
              <w:spacing w:after="0"/>
              <w:rPr>
                <w:sz w:val="20"/>
                <w:szCs w:val="20"/>
                <w:color w:val="auto"/>
              </w:rPr>
            </w:pPr>
            <w:r>
              <w:rPr>
                <w:rFonts w:ascii="Arial" w:cs="Arial" w:eastAsia="Arial" w:hAnsi="Arial"/>
                <w:sz w:val="18"/>
                <w:szCs w:val="18"/>
                <w:color w:val="auto"/>
              </w:rPr>
              <w:t>with:</w:t>
            </w:r>
          </w:p>
        </w:tc>
        <w:tc>
          <w:tcPr>
            <w:tcW w:w="80" w:type="dxa"/>
            <w:vAlign w:val="bottom"/>
            <w:tcBorders>
              <w:bottom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900" w:type="dxa"/>
            <w:vAlign w:val="bottom"/>
            <w:tcBorders>
              <w:right w:val="single" w:sz="8" w:color="auto"/>
            </w:tcBorders>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2"/>
                <w:szCs w:val="12"/>
                <w:color w:val="auto"/>
              </w:rPr>
            </w:pPr>
          </w:p>
        </w:tc>
        <w:tc>
          <w:tcPr>
            <w:tcW w:w="92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Borders>
              <w:right w:val="single" w:sz="8" w:color="auto"/>
            </w:tcBorders>
            <w:vMerge w:val="continue"/>
          </w:tcPr>
          <w:p>
            <w:pPr>
              <w:spacing w:after="0"/>
              <w:rPr>
                <w:sz w:val="7"/>
                <w:szCs w:val="7"/>
                <w:color w:val="auto"/>
              </w:rPr>
            </w:pPr>
          </w:p>
        </w:tc>
        <w:tc>
          <w:tcPr>
            <w:tcW w:w="140" w:type="dxa"/>
            <w:vAlign w:val="bottom"/>
          </w:tcPr>
          <w:p>
            <w:pPr>
              <w:spacing w:after="0"/>
              <w:rPr>
                <w:sz w:val="7"/>
                <w:szCs w:val="7"/>
                <w:color w:val="auto"/>
              </w:rPr>
            </w:pPr>
          </w:p>
        </w:tc>
        <w:tc>
          <w:tcPr>
            <w:tcW w:w="92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337,900,441 shares of Class A Common Stock</w:t>
            </w:r>
            <w:r>
              <w:rPr>
                <w:rFonts w:ascii="Arial" w:cs="Arial" w:eastAsia="Arial" w:hAnsi="Arial"/>
                <w:sz w:val="11"/>
                <w:szCs w:val="11"/>
                <w:u w:val="single" w:color="auto"/>
                <w:color w:val="auto"/>
              </w:rPr>
              <w:t>1</w:t>
            </w: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0460" w:type="dxa"/>
            <w:vAlign w:val="bottom"/>
            <w:tcBorders>
              <w:right w:val="single" w:sz="8" w:color="auto"/>
            </w:tcBorders>
            <w:gridSpan w:val="5"/>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460" w:type="dxa"/>
            <w:vAlign w:val="bottom"/>
            <w:tcBorders>
              <w:bottom w:val="single" w:sz="8" w:color="auto"/>
              <w:right w:val="single" w:sz="8" w:color="auto"/>
            </w:tcBorders>
            <w:gridSpan w:val="5"/>
          </w:tcPr>
          <w:p>
            <w:pPr>
              <w:ind w:left="120"/>
              <w:spacing w:after="0"/>
              <w:rPr>
                <w:sz w:val="20"/>
                <w:szCs w:val="20"/>
                <w:color w:val="auto"/>
              </w:rPr>
            </w:pPr>
            <w:r>
              <w:rPr>
                <w:rFonts w:ascii="Arial" w:cs="Arial" w:eastAsia="Arial" w:hAnsi="Arial"/>
                <w:sz w:val="18"/>
                <w:szCs w:val="18"/>
                <w:color w:val="auto"/>
              </w:rPr>
              <w:t>337,900,441 shares of Class A Common Stock</w:t>
            </w:r>
            <w:r>
              <w:rPr>
                <w:rFonts w:ascii="Arial" w:cs="Arial" w:eastAsia="Arial" w:hAnsi="Arial"/>
                <w:sz w:val="11"/>
                <w:szCs w:val="11"/>
                <w:u w:val="single" w:color="auto"/>
                <w:color w:val="auto"/>
              </w:rPr>
              <w:t>1</w:t>
            </w: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0460" w:type="dxa"/>
            <w:vAlign w:val="bottom"/>
            <w:tcBorders>
              <w:right w:val="single" w:sz="8" w:color="auto"/>
            </w:tcBorders>
            <w:gridSpan w:val="5"/>
          </w:tcPr>
          <w:p>
            <w:pPr>
              <w:ind w:left="120"/>
              <w:spacing w:after="0" w:line="207" w:lineRule="exact"/>
              <w:rPr>
                <w:sz w:val="20"/>
                <w:szCs w:val="20"/>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340" w:type="dxa"/>
            <w:vAlign w:val="bottom"/>
            <w:tcBorders>
              <w:left w:val="single" w:sz="8" w:color="auto"/>
              <w:bottom w:val="single" w:sz="8" w:color="auto"/>
            </w:tcBorders>
          </w:tcPr>
          <w:p>
            <w:pPr>
              <w:spacing w:after="0"/>
              <w:rPr>
                <w:sz w:val="16"/>
                <w:szCs w:val="16"/>
                <w:color w:val="auto"/>
              </w:rPr>
            </w:pPr>
          </w:p>
        </w:tc>
        <w:tc>
          <w:tcPr>
            <w:tcW w:w="200" w:type="dxa"/>
            <w:vAlign w:val="bottom"/>
            <w:tcBorders>
              <w:bottom w:val="single" w:sz="8" w:color="auto"/>
              <w:right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460" w:type="dxa"/>
            <w:vAlign w:val="bottom"/>
            <w:tcBorders>
              <w:bottom w:val="single" w:sz="8" w:color="auto"/>
              <w:right w:val="single" w:sz="8" w:color="auto"/>
            </w:tcBorders>
            <w:gridSpan w:val="5"/>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0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0460" w:type="dxa"/>
            <w:vAlign w:val="bottom"/>
            <w:tcBorders>
              <w:right w:val="single" w:sz="8" w:color="auto"/>
            </w:tcBorders>
            <w:gridSpan w:val="5"/>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w w:val="99"/>
              </w:rPr>
              <w:t>80.6%</w:t>
            </w:r>
            <w:r>
              <w:rPr>
                <w:rFonts w:ascii="Arial" w:cs="Arial" w:eastAsia="Arial" w:hAnsi="Arial"/>
                <w:sz w:val="11"/>
                <w:szCs w:val="11"/>
                <w:u w:val="single" w:color="auto"/>
                <w:color w:val="auto"/>
                <w:w w:val="99"/>
              </w:rPr>
              <w:t>2</w:t>
            </w:r>
            <w:r>
              <w:rPr>
                <w:rFonts w:ascii="Arial" w:cs="Arial" w:eastAsia="Arial" w:hAnsi="Arial"/>
                <w:sz w:val="11"/>
                <w:szCs w:val="11"/>
                <w:color w:val="auto"/>
                <w:w w:val="99"/>
              </w:rPr>
              <w:t>/</w:t>
            </w: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0460" w:type="dxa"/>
            <w:vAlign w:val="bottom"/>
            <w:tcBorders>
              <w:right w:val="single" w:sz="8" w:color="auto"/>
            </w:tcBorders>
            <w:gridSpan w:val="5"/>
          </w:tcPr>
          <w:p>
            <w:pPr>
              <w:ind w:left="12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CO</w:t>
            </w: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420" w:right="60" w:hanging="431"/>
        <w:spacing w:after="0" w:line="255" w:lineRule="auto"/>
        <w:tabs>
          <w:tab w:leader="none" w:pos="400" w:val="left"/>
        </w:tabs>
        <w:rPr>
          <w:sz w:val="20"/>
          <w:szCs w:val="20"/>
          <w:color w:val="auto"/>
        </w:rPr>
      </w:pPr>
      <w:r>
        <w:rPr>
          <w:rFonts w:ascii="Arial" w:cs="Arial" w:eastAsia="Arial" w:hAnsi="Arial"/>
          <w:sz w:val="18"/>
          <w:szCs w:val="18"/>
          <w:u w:val="single" w:color="auto"/>
          <w:color w:val="auto"/>
        </w:rPr>
        <w:t>1</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Includes (i) 30,678,605 shares of Class A Common Stock and (ii) 307,221,836 shares of Class B Common Stock convertible into an equal number of shares of Class A Common Stock at any time. Assumes the conversion of the Class B Common Stock referred to above into shares of Class A Common Stock.</w:t>
      </w:r>
    </w:p>
    <w:p>
      <w:pPr>
        <w:spacing w:after="0" w:line="3" w:lineRule="exact"/>
        <w:rPr>
          <w:sz w:val="20"/>
          <w:szCs w:val="20"/>
          <w:color w:val="auto"/>
        </w:rPr>
      </w:pPr>
    </w:p>
    <w:p>
      <w:pPr>
        <w:ind w:left="420" w:right="220" w:hanging="431"/>
        <w:spacing w:after="0" w:line="255" w:lineRule="auto"/>
        <w:tabs>
          <w:tab w:leader="none" w:pos="400" w:val="left"/>
        </w:tabs>
        <w:rPr>
          <w:sz w:val="20"/>
          <w:szCs w:val="20"/>
          <w:color w:val="auto"/>
        </w:rPr>
      </w:pPr>
      <w:r>
        <w:rPr>
          <w:rFonts w:ascii="Arial" w:cs="Arial" w:eastAsia="Arial" w:hAnsi="Arial"/>
          <w:sz w:val="18"/>
          <w:szCs w:val="18"/>
          <w:u w:val="single" w:color="auto"/>
          <w:color w:val="auto"/>
        </w:rPr>
        <w:t>2</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Based on 111,828,394 shares of Class A Common Stock outstanding as of May 29, 2020, as disclosed in the Quarterly Report on Form 10-Q for the quarterly period ended May 1, 2020 filed by the Issuer with the SEC. Assumes the conversion of the Class B Common Stock referred to in footnote 1 into shares of Class A Common Stock.</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 of 11</w:t>
      </w:r>
    </w:p>
    <w:p>
      <w:pPr>
        <w:sectPr>
          <w:pgSz w:w="11900" w:h="16838" w:orient="portrait"/>
          <w:cols w:equalWidth="0" w:num="1">
            <w:col w:w="11020"/>
          </w:cols>
          <w:pgMar w:left="440" w:top="274" w:right="4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30"/>
        </w:trPr>
        <w:tc>
          <w:tcPr>
            <w:tcW w:w="1820" w:type="dxa"/>
            <w:vAlign w:val="bottom"/>
            <w:gridSpan w:val="7"/>
            <w:vMerge w:val="restart"/>
          </w:tcPr>
          <w:p>
            <w:pPr>
              <w:spacing w:after="0"/>
              <w:rPr>
                <w:sz w:val="20"/>
                <w:szCs w:val="20"/>
                <w:color w:val="auto"/>
              </w:rPr>
            </w:pPr>
            <w:r>
              <w:rPr>
                <w:rFonts w:ascii="Arial" w:cs="Arial" w:eastAsia="Arial" w:hAnsi="Arial"/>
                <w:sz w:val="18"/>
                <w:szCs w:val="18"/>
                <w:color w:val="auto"/>
                <w:w w:val="98"/>
              </w:rPr>
              <w:t>CUSIP No. 928563402</w:t>
            </w:r>
          </w:p>
        </w:tc>
        <w:tc>
          <w:tcPr>
            <w:tcW w:w="9220" w:type="dxa"/>
            <w:vAlign w:val="bottom"/>
          </w:tcPr>
          <w:p>
            <w:pPr>
              <w:ind w:left="3040"/>
              <w:spacing w:after="0"/>
              <w:rPr>
                <w:sz w:val="20"/>
                <w:szCs w:val="20"/>
                <w:color w:val="auto"/>
              </w:rPr>
            </w:pPr>
            <w:r>
              <w:rPr>
                <w:rFonts w:ascii="Arial" w:cs="Arial" w:eastAsia="Arial" w:hAnsi="Arial"/>
                <w:sz w:val="18"/>
                <w:szCs w:val="18"/>
                <w:color w:val="auto"/>
              </w:rPr>
              <w:t>SCHEDULE 13D</w:t>
            </w:r>
          </w:p>
        </w:tc>
        <w:tc>
          <w:tcPr>
            <w:tcW w:w="0" w:type="dxa"/>
            <w:vAlign w:val="bottom"/>
          </w:tcPr>
          <w:p>
            <w:pPr>
              <w:spacing w:after="0"/>
              <w:rPr>
                <w:sz w:val="1"/>
                <w:szCs w:val="1"/>
                <w:color w:val="auto"/>
              </w:rPr>
            </w:pPr>
          </w:p>
        </w:tc>
      </w:tr>
      <w:tr>
        <w:trPr>
          <w:trHeight w:val="216"/>
        </w:trPr>
        <w:tc>
          <w:tcPr>
            <w:tcW w:w="1820" w:type="dxa"/>
            <w:vAlign w:val="bottom"/>
            <w:gridSpan w:val="7"/>
            <w:vMerge w:val="continue"/>
          </w:tcPr>
          <w:p>
            <w:pPr>
              <w:spacing w:after="0"/>
              <w:rPr>
                <w:sz w:val="18"/>
                <w:szCs w:val="18"/>
                <w:color w:val="auto"/>
              </w:rPr>
            </w:pPr>
          </w:p>
        </w:tc>
        <w:tc>
          <w:tcPr>
            <w:tcW w:w="9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2"/>
          </w:tcPr>
          <w:p>
            <w:pPr>
              <w:spacing w:after="0"/>
              <w:rPr>
                <w:sz w:val="12"/>
                <w:szCs w:val="12"/>
                <w:color w:val="auto"/>
              </w:rPr>
            </w:pPr>
          </w:p>
        </w:tc>
        <w:tc>
          <w:tcPr>
            <w:tcW w:w="9360" w:type="dxa"/>
            <w:vAlign w:val="bottom"/>
            <w:tcBorders>
              <w:bottom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104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460" w:type="dxa"/>
            <w:vAlign w:val="bottom"/>
            <w:tcBorders>
              <w:bottom w:val="single" w:sz="8" w:color="auto"/>
              <w:right w:val="single" w:sz="8" w:color="auto"/>
            </w:tcBorders>
            <w:gridSpan w:val="5"/>
          </w:tcPr>
          <w:p>
            <w:pPr>
              <w:ind w:left="160"/>
              <w:spacing w:after="0"/>
              <w:rPr>
                <w:sz w:val="20"/>
                <w:szCs w:val="20"/>
                <w:color w:val="auto"/>
              </w:rPr>
            </w:pPr>
            <w:r>
              <w:rPr>
                <w:rFonts w:ascii="Arial" w:cs="Arial" w:eastAsia="Arial" w:hAnsi="Arial"/>
                <w:sz w:val="18"/>
                <w:szCs w:val="18"/>
                <w:color w:val="auto"/>
              </w:rPr>
              <w:t>VMW Holdco LLC</w:t>
            </w: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200" w:type="dxa"/>
            <w:vAlign w:val="bottom"/>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10460" w:type="dxa"/>
            <w:vAlign w:val="bottom"/>
            <w:tcBorders>
              <w:right w:val="single" w:sz="8" w:color="auto"/>
            </w:tcBorders>
            <w:gridSpan w:val="5"/>
          </w:tcPr>
          <w:p>
            <w:pPr>
              <w:ind w:left="160"/>
              <w:spacing w:after="0" w:line="169"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740" w:type="dxa"/>
            <w:vAlign w:val="bottom"/>
            <w:gridSpan w:val="2"/>
          </w:tcPr>
          <w:p>
            <w:pPr>
              <w:ind w:left="1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500" w:type="dxa"/>
            <w:vAlign w:val="bottom"/>
            <w:gridSpan w:val="2"/>
          </w:tcPr>
          <w:p>
            <w:pPr>
              <w:ind w:left="240"/>
              <w:spacing w:after="0"/>
              <w:rPr>
                <w:sz w:val="20"/>
                <w:szCs w:val="20"/>
                <w:color w:val="auto"/>
              </w:rPr>
            </w:pPr>
            <w:r>
              <w:rPr>
                <w:rFonts w:ascii="Arial" w:cs="Arial" w:eastAsia="Arial" w:hAnsi="Arial"/>
                <w:sz w:val="18"/>
                <w:szCs w:val="18"/>
                <w:color w:val="auto"/>
              </w:rPr>
              <w:t>(b)</w:t>
            </w:r>
          </w:p>
        </w:tc>
        <w:tc>
          <w:tcPr>
            <w:tcW w:w="9220" w:type="dxa"/>
            <w:vAlign w:val="bottom"/>
            <w:tcBorders>
              <w:right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2"/>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1240" w:type="dxa"/>
            <w:vAlign w:val="bottom"/>
            <w:gridSpan w:val="4"/>
          </w:tcPr>
          <w:p>
            <w:pPr>
              <w:ind w:left="160"/>
              <w:spacing w:after="0"/>
              <w:rPr>
                <w:sz w:val="20"/>
                <w:szCs w:val="20"/>
                <w:color w:val="auto"/>
              </w:rPr>
            </w:pPr>
            <w:r>
              <w:rPr>
                <w:rFonts w:ascii="Arial" w:cs="Arial" w:eastAsia="Arial" w:hAnsi="Arial"/>
                <w:sz w:val="18"/>
                <w:szCs w:val="18"/>
                <w:color w:val="auto"/>
                <w:w w:val="97"/>
              </w:rPr>
              <w:t>SEC use only</w:t>
            </w:r>
          </w:p>
        </w:tc>
        <w:tc>
          <w:tcPr>
            <w:tcW w:w="9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gridSpan w:val="2"/>
          </w:tcPr>
          <w:p>
            <w:pPr>
              <w:spacing w:after="0"/>
              <w:rPr>
                <w:sz w:val="21"/>
                <w:szCs w:val="21"/>
                <w:color w:val="auto"/>
              </w:rPr>
            </w:pPr>
          </w:p>
        </w:tc>
        <w:tc>
          <w:tcPr>
            <w:tcW w:w="936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104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OO</w:t>
            </w: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10460" w:type="dxa"/>
            <w:vAlign w:val="bottom"/>
            <w:tcBorders>
              <w:right w:val="single" w:sz="8" w:color="auto"/>
            </w:tcBorders>
            <w:gridSpan w:val="5"/>
          </w:tcPr>
          <w:p>
            <w:pPr>
              <w:ind w:left="160"/>
              <w:spacing w:after="0" w:line="207" w:lineRule="exact"/>
              <w:rPr>
                <w:sz w:val="20"/>
                <w:szCs w:val="20"/>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340" w:type="dxa"/>
            <w:vAlign w:val="bottom"/>
            <w:tcBorders>
              <w:left w:val="single" w:sz="8" w:color="auto"/>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0" w:type="dxa"/>
            <w:vAlign w:val="bottom"/>
            <w:tcBorders>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2"/>
          </w:tcPr>
          <w:p>
            <w:pPr>
              <w:spacing w:after="0"/>
              <w:rPr>
                <w:sz w:val="16"/>
                <w:szCs w:val="16"/>
                <w:color w:val="auto"/>
              </w:rPr>
            </w:pPr>
          </w:p>
        </w:tc>
        <w:tc>
          <w:tcPr>
            <w:tcW w:w="9360" w:type="dxa"/>
            <w:vAlign w:val="bottom"/>
            <w:tcBorders>
              <w:bottom w:val="single" w:sz="8" w:color="auto"/>
              <w:right w:val="single" w:sz="8" w:color="auto"/>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104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color w:val="auto"/>
              </w:rPr>
              <w:t>Delaware</w:t>
            </w: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0"/>
                <w:szCs w:val="20"/>
                <w:color w:val="auto"/>
              </w:rPr>
            </w:pPr>
          </w:p>
        </w:tc>
        <w:tc>
          <w:tcPr>
            <w:tcW w:w="92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24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2"/>
              </w:rPr>
              <w:t>Number of</w:t>
            </w: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900" w:type="dxa"/>
            <w:vAlign w:val="bottom"/>
            <w:tcBorders>
              <w:right w:val="single" w:sz="8" w:color="auto"/>
            </w:tcBorders>
            <w:gridSpan w:val="3"/>
          </w:tcPr>
          <w:p>
            <w:pPr>
              <w:jc w:val="center"/>
              <w:ind w:right="110"/>
              <w:spacing w:after="0"/>
              <w:rPr>
                <w:sz w:val="20"/>
                <w:szCs w:val="20"/>
                <w:color w:val="auto"/>
              </w:rPr>
            </w:pPr>
            <w:r>
              <w:rPr>
                <w:rFonts w:ascii="Arial" w:cs="Arial" w:eastAsia="Arial" w:hAnsi="Arial"/>
                <w:sz w:val="18"/>
                <w:szCs w:val="18"/>
                <w:color w:val="auto"/>
                <w:w w:val="85"/>
              </w:rPr>
              <w:t>shares</w:t>
            </w:r>
          </w:p>
        </w:tc>
        <w:tc>
          <w:tcPr>
            <w:tcW w:w="80" w:type="dxa"/>
            <w:vAlign w:val="bottom"/>
          </w:tcPr>
          <w:p>
            <w:pPr>
              <w:spacing w:after="0"/>
              <w:rPr>
                <w:sz w:val="20"/>
                <w:szCs w:val="20"/>
                <w:color w:val="auto"/>
              </w:rPr>
            </w:pPr>
          </w:p>
        </w:tc>
        <w:tc>
          <w:tcPr>
            <w:tcW w:w="3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0"/>
                <w:szCs w:val="20"/>
                <w:color w:val="auto"/>
              </w:rPr>
            </w:pPr>
          </w:p>
        </w:tc>
        <w:tc>
          <w:tcPr>
            <w:tcW w:w="92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24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6"/>
              </w:rPr>
              <w:t>beneficially</w:t>
            </w:r>
          </w:p>
        </w:tc>
        <w:tc>
          <w:tcPr>
            <w:tcW w:w="8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2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100,000,000 shares of Class A Common Stock</w:t>
            </w:r>
            <w:r>
              <w:rPr>
                <w:rFonts w:ascii="Arial" w:cs="Arial" w:eastAsia="Arial" w:hAnsi="Arial"/>
                <w:sz w:val="11"/>
                <w:szCs w:val="11"/>
                <w:u w:val="single" w:color="auto"/>
                <w:color w:val="auto"/>
              </w:rPr>
              <w:t>1</w:t>
            </w: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900" w:type="dxa"/>
            <w:vAlign w:val="bottom"/>
            <w:tcBorders>
              <w:right w:val="single" w:sz="8" w:color="auto"/>
            </w:tcBorders>
            <w:gridSpan w:val="3"/>
          </w:tcPr>
          <w:p>
            <w:pPr>
              <w:jc w:val="center"/>
              <w:ind w:right="110"/>
              <w:spacing w:after="0"/>
              <w:rPr>
                <w:sz w:val="20"/>
                <w:szCs w:val="20"/>
                <w:color w:val="auto"/>
              </w:rPr>
            </w:pPr>
            <w:r>
              <w:rPr>
                <w:rFonts w:ascii="Arial" w:cs="Arial" w:eastAsia="Arial" w:hAnsi="Arial"/>
                <w:sz w:val="18"/>
                <w:szCs w:val="18"/>
                <w:color w:val="auto"/>
                <w:w w:val="90"/>
              </w:rPr>
              <w:t>owned by</w:t>
            </w:r>
          </w:p>
        </w:tc>
        <w:tc>
          <w:tcPr>
            <w:tcW w:w="80" w:type="dxa"/>
            <w:vAlign w:val="bottom"/>
            <w:tcBorders>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2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Borders>
              <w:right w:val="single" w:sz="8" w:color="auto"/>
            </w:tcBorders>
            <w:gridSpan w:val="2"/>
          </w:tcPr>
          <w:p>
            <w:pPr>
              <w:jc w:val="center"/>
              <w:ind w:right="290"/>
              <w:spacing w:after="0" w:line="182" w:lineRule="exact"/>
              <w:rPr>
                <w:sz w:val="20"/>
                <w:szCs w:val="20"/>
                <w:color w:val="auto"/>
              </w:rPr>
            </w:pPr>
            <w:r>
              <w:rPr>
                <w:rFonts w:ascii="Arial" w:cs="Arial" w:eastAsia="Arial" w:hAnsi="Arial"/>
                <w:sz w:val="18"/>
                <w:szCs w:val="18"/>
                <w:color w:val="auto"/>
                <w:w w:val="81"/>
              </w:rPr>
              <w:t>each</w:t>
            </w:r>
          </w:p>
        </w:tc>
        <w:tc>
          <w:tcPr>
            <w:tcW w:w="80" w:type="dxa"/>
            <w:vAlign w:val="bottom"/>
          </w:tcPr>
          <w:p>
            <w:pPr>
              <w:spacing w:after="0"/>
              <w:rPr>
                <w:sz w:val="15"/>
                <w:szCs w:val="15"/>
                <w:color w:val="auto"/>
              </w:rPr>
            </w:pPr>
          </w:p>
        </w:tc>
        <w:tc>
          <w:tcPr>
            <w:tcW w:w="360" w:type="dxa"/>
            <w:vAlign w:val="bottom"/>
            <w:tcBorders>
              <w:right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9</w:t>
            </w:r>
          </w:p>
        </w:tc>
        <w:tc>
          <w:tcPr>
            <w:tcW w:w="140" w:type="dxa"/>
            <w:vAlign w:val="bottom"/>
          </w:tcPr>
          <w:p>
            <w:pPr>
              <w:spacing w:after="0"/>
              <w:rPr>
                <w:sz w:val="15"/>
                <w:szCs w:val="15"/>
                <w:color w:val="auto"/>
              </w:rPr>
            </w:pPr>
          </w:p>
        </w:tc>
        <w:tc>
          <w:tcPr>
            <w:tcW w:w="9220" w:type="dxa"/>
            <w:vAlign w:val="bottom"/>
            <w:tcBorders>
              <w:right w:val="single" w:sz="8" w:color="auto"/>
            </w:tcBorders>
          </w:tcPr>
          <w:p>
            <w:pPr>
              <w:ind w:left="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gridSpan w:val="3"/>
          </w:tcPr>
          <w:p>
            <w:pPr>
              <w:jc w:val="center"/>
              <w:ind w:right="110"/>
              <w:spacing w:after="0"/>
              <w:rPr>
                <w:sz w:val="20"/>
                <w:szCs w:val="20"/>
                <w:color w:val="auto"/>
              </w:rPr>
            </w:pPr>
            <w:r>
              <w:rPr>
                <w:rFonts w:ascii="Arial" w:cs="Arial" w:eastAsia="Arial" w:hAnsi="Arial"/>
                <w:sz w:val="18"/>
                <w:szCs w:val="18"/>
                <w:color w:val="auto"/>
                <w:w w:val="92"/>
              </w:rPr>
              <w:t>reporting</w:t>
            </w:r>
          </w:p>
        </w:tc>
        <w:tc>
          <w:tcPr>
            <w:tcW w:w="8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gridSpan w:val="3"/>
          </w:tcPr>
          <w:p>
            <w:pPr>
              <w:jc w:val="center"/>
              <w:ind w:right="130"/>
              <w:spacing w:after="0"/>
              <w:rPr>
                <w:sz w:val="20"/>
                <w:szCs w:val="20"/>
                <w:color w:val="auto"/>
              </w:rPr>
            </w:pPr>
            <w:r>
              <w:rPr>
                <w:rFonts w:ascii="Arial" w:cs="Arial" w:eastAsia="Arial" w:hAnsi="Arial"/>
                <w:sz w:val="18"/>
                <w:szCs w:val="18"/>
                <w:color w:val="auto"/>
                <w:w w:val="87"/>
              </w:rPr>
              <w:t>person</w:t>
            </w:r>
          </w:p>
        </w:tc>
        <w:tc>
          <w:tcPr>
            <w:tcW w:w="8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2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900" w:type="dxa"/>
            <w:vAlign w:val="bottom"/>
            <w:tcBorders>
              <w:right w:val="single" w:sz="8" w:color="auto"/>
            </w:tcBorders>
            <w:gridSpan w:val="3"/>
            <w:vMerge w:val="restart"/>
          </w:tcPr>
          <w:p>
            <w:pPr>
              <w:jc w:val="center"/>
              <w:ind w:right="110"/>
              <w:spacing w:after="0"/>
              <w:rPr>
                <w:sz w:val="20"/>
                <w:szCs w:val="20"/>
                <w:color w:val="auto"/>
              </w:rPr>
            </w:pPr>
            <w:r>
              <w:rPr>
                <w:rFonts w:ascii="Arial" w:cs="Arial" w:eastAsia="Arial" w:hAnsi="Arial"/>
                <w:sz w:val="18"/>
                <w:szCs w:val="18"/>
                <w:color w:val="auto"/>
              </w:rPr>
              <w:t>with:</w:t>
            </w:r>
          </w:p>
        </w:tc>
        <w:tc>
          <w:tcPr>
            <w:tcW w:w="80" w:type="dxa"/>
            <w:vAlign w:val="bottom"/>
            <w:tcBorders>
              <w:bottom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900" w:type="dxa"/>
            <w:vAlign w:val="bottom"/>
            <w:tcBorders>
              <w:right w:val="single" w:sz="8" w:color="auto"/>
            </w:tcBorders>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2"/>
                <w:szCs w:val="12"/>
                <w:color w:val="auto"/>
              </w:rPr>
            </w:pPr>
          </w:p>
        </w:tc>
        <w:tc>
          <w:tcPr>
            <w:tcW w:w="92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Borders>
              <w:right w:val="single" w:sz="8" w:color="auto"/>
            </w:tcBorders>
            <w:vMerge w:val="continue"/>
          </w:tcPr>
          <w:p>
            <w:pPr>
              <w:spacing w:after="0"/>
              <w:rPr>
                <w:sz w:val="7"/>
                <w:szCs w:val="7"/>
                <w:color w:val="auto"/>
              </w:rPr>
            </w:pPr>
          </w:p>
        </w:tc>
        <w:tc>
          <w:tcPr>
            <w:tcW w:w="140" w:type="dxa"/>
            <w:vAlign w:val="bottom"/>
          </w:tcPr>
          <w:p>
            <w:pPr>
              <w:spacing w:after="0"/>
              <w:rPr>
                <w:sz w:val="7"/>
                <w:szCs w:val="7"/>
                <w:color w:val="auto"/>
              </w:rPr>
            </w:pPr>
          </w:p>
        </w:tc>
        <w:tc>
          <w:tcPr>
            <w:tcW w:w="92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100,000,000 shares of Class A Common Stock</w:t>
            </w:r>
            <w:r>
              <w:rPr>
                <w:rFonts w:ascii="Arial" w:cs="Arial" w:eastAsia="Arial" w:hAnsi="Arial"/>
                <w:sz w:val="11"/>
                <w:szCs w:val="11"/>
                <w:u w:val="single" w:color="auto"/>
                <w:color w:val="auto"/>
              </w:rPr>
              <w:t>1</w:t>
            </w: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0460" w:type="dxa"/>
            <w:vAlign w:val="bottom"/>
            <w:tcBorders>
              <w:right w:val="single" w:sz="8" w:color="auto"/>
            </w:tcBorders>
            <w:gridSpan w:val="5"/>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460" w:type="dxa"/>
            <w:vAlign w:val="bottom"/>
            <w:tcBorders>
              <w:bottom w:val="single" w:sz="8" w:color="auto"/>
              <w:right w:val="single" w:sz="8" w:color="auto"/>
            </w:tcBorders>
            <w:gridSpan w:val="5"/>
          </w:tcPr>
          <w:p>
            <w:pPr>
              <w:ind w:left="120"/>
              <w:spacing w:after="0"/>
              <w:rPr>
                <w:sz w:val="20"/>
                <w:szCs w:val="20"/>
                <w:color w:val="auto"/>
              </w:rPr>
            </w:pPr>
            <w:r>
              <w:rPr>
                <w:rFonts w:ascii="Arial" w:cs="Arial" w:eastAsia="Arial" w:hAnsi="Arial"/>
                <w:sz w:val="18"/>
                <w:szCs w:val="18"/>
                <w:color w:val="auto"/>
              </w:rPr>
              <w:t>100,000,000 shares of Class A Common Stock</w:t>
            </w:r>
            <w:r>
              <w:rPr>
                <w:rFonts w:ascii="Arial" w:cs="Arial" w:eastAsia="Arial" w:hAnsi="Arial"/>
                <w:sz w:val="11"/>
                <w:szCs w:val="11"/>
                <w:u w:val="single" w:color="auto"/>
                <w:color w:val="auto"/>
              </w:rPr>
              <w:t>1</w:t>
            </w: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0460" w:type="dxa"/>
            <w:vAlign w:val="bottom"/>
            <w:tcBorders>
              <w:right w:val="single" w:sz="8" w:color="auto"/>
            </w:tcBorders>
            <w:gridSpan w:val="5"/>
          </w:tcPr>
          <w:p>
            <w:pPr>
              <w:ind w:left="120"/>
              <w:spacing w:after="0" w:line="207" w:lineRule="exact"/>
              <w:rPr>
                <w:sz w:val="20"/>
                <w:szCs w:val="20"/>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340" w:type="dxa"/>
            <w:vAlign w:val="bottom"/>
            <w:tcBorders>
              <w:left w:val="single" w:sz="8" w:color="auto"/>
              <w:bottom w:val="single" w:sz="8" w:color="auto"/>
            </w:tcBorders>
          </w:tcPr>
          <w:p>
            <w:pPr>
              <w:spacing w:after="0"/>
              <w:rPr>
                <w:sz w:val="16"/>
                <w:szCs w:val="16"/>
                <w:color w:val="auto"/>
              </w:rPr>
            </w:pPr>
          </w:p>
        </w:tc>
        <w:tc>
          <w:tcPr>
            <w:tcW w:w="200" w:type="dxa"/>
            <w:vAlign w:val="bottom"/>
            <w:tcBorders>
              <w:bottom w:val="single" w:sz="8" w:color="auto"/>
              <w:right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460" w:type="dxa"/>
            <w:vAlign w:val="bottom"/>
            <w:tcBorders>
              <w:bottom w:val="single" w:sz="8" w:color="auto"/>
              <w:right w:val="single" w:sz="8" w:color="auto"/>
            </w:tcBorders>
            <w:gridSpan w:val="5"/>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0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0460" w:type="dxa"/>
            <w:vAlign w:val="bottom"/>
            <w:tcBorders>
              <w:right w:val="single" w:sz="8" w:color="auto"/>
            </w:tcBorders>
            <w:gridSpan w:val="5"/>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w w:val="99"/>
              </w:rPr>
              <w:t>53.3%</w:t>
            </w:r>
            <w:r>
              <w:rPr>
                <w:rFonts w:ascii="Arial" w:cs="Arial" w:eastAsia="Arial" w:hAnsi="Arial"/>
                <w:sz w:val="11"/>
                <w:szCs w:val="11"/>
                <w:u w:val="single" w:color="auto"/>
                <w:color w:val="auto"/>
                <w:w w:val="99"/>
              </w:rPr>
              <w:t>2</w:t>
            </w:r>
            <w:r>
              <w:rPr>
                <w:rFonts w:ascii="Arial" w:cs="Arial" w:eastAsia="Arial" w:hAnsi="Arial"/>
                <w:sz w:val="11"/>
                <w:szCs w:val="11"/>
                <w:color w:val="auto"/>
                <w:w w:val="99"/>
              </w:rPr>
              <w:t>/</w:t>
            </w: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0460" w:type="dxa"/>
            <w:vAlign w:val="bottom"/>
            <w:tcBorders>
              <w:right w:val="single" w:sz="8" w:color="auto"/>
            </w:tcBorders>
            <w:gridSpan w:val="5"/>
          </w:tcPr>
          <w:p>
            <w:pPr>
              <w:ind w:left="12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OO</w:t>
            </w: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jc w:val="both"/>
        <w:ind w:left="420" w:right="140" w:hanging="431"/>
        <w:spacing w:after="0" w:line="255" w:lineRule="auto"/>
        <w:tabs>
          <w:tab w:leader="none" w:pos="400" w:val="left"/>
        </w:tabs>
        <w:rPr>
          <w:sz w:val="20"/>
          <w:szCs w:val="20"/>
          <w:color w:val="auto"/>
        </w:rPr>
      </w:pPr>
      <w:r>
        <w:rPr>
          <w:rFonts w:ascii="Arial" w:cs="Arial" w:eastAsia="Arial" w:hAnsi="Arial"/>
          <w:sz w:val="18"/>
          <w:szCs w:val="18"/>
          <w:u w:val="single" w:color="auto"/>
          <w:color w:val="auto"/>
        </w:rPr>
        <w:t>1</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Includes (i) 24,178,605 shares of Class A Common Stock and (ii) 75,821,395 shares of Class B Common Stock convertible into an equal number of shares of Class A Common Stock at any time. Assumes the conversion of the Class B Common Stock referred to above into shares of Class A Common Stock.</w:t>
      </w:r>
    </w:p>
    <w:p>
      <w:pPr>
        <w:spacing w:after="0" w:line="3" w:lineRule="exact"/>
        <w:rPr>
          <w:sz w:val="20"/>
          <w:szCs w:val="20"/>
          <w:color w:val="auto"/>
        </w:rPr>
      </w:pPr>
    </w:p>
    <w:p>
      <w:pPr>
        <w:ind w:left="420" w:right="220" w:hanging="431"/>
        <w:spacing w:after="0" w:line="255" w:lineRule="auto"/>
        <w:tabs>
          <w:tab w:leader="none" w:pos="400" w:val="left"/>
        </w:tabs>
        <w:rPr>
          <w:sz w:val="20"/>
          <w:szCs w:val="20"/>
          <w:color w:val="auto"/>
        </w:rPr>
      </w:pPr>
      <w:r>
        <w:rPr>
          <w:rFonts w:ascii="Arial" w:cs="Arial" w:eastAsia="Arial" w:hAnsi="Arial"/>
          <w:sz w:val="18"/>
          <w:szCs w:val="18"/>
          <w:u w:val="single" w:color="auto"/>
          <w:color w:val="auto"/>
        </w:rPr>
        <w:t>2</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Based on 111,828,394 shares of Class A Common Stock outstanding as of May 29, 2020, as disclosed in the Quarterly Report on Form 10-Q for the quarterly period ended May 1, 2020 filed by the Issuer with the SEC. Assumes the conversion of the Class B Common Stock referred to in footnote 1 into shares of Class A Common Stock.</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 of 11</w:t>
      </w:r>
    </w:p>
    <w:p>
      <w:pPr>
        <w:sectPr>
          <w:pgSz w:w="11900" w:h="16838" w:orient="portrait"/>
          <w:cols w:equalWidth="0" w:num="1">
            <w:col w:w="11020"/>
          </w:cols>
          <w:pgMar w:left="440" w:top="274" w:right="4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30"/>
        </w:trPr>
        <w:tc>
          <w:tcPr>
            <w:tcW w:w="1820" w:type="dxa"/>
            <w:vAlign w:val="bottom"/>
            <w:gridSpan w:val="6"/>
            <w:vMerge w:val="restart"/>
          </w:tcPr>
          <w:p>
            <w:pPr>
              <w:spacing w:after="0"/>
              <w:rPr>
                <w:sz w:val="20"/>
                <w:szCs w:val="20"/>
                <w:color w:val="auto"/>
              </w:rPr>
            </w:pPr>
            <w:r>
              <w:rPr>
                <w:rFonts w:ascii="Arial" w:cs="Arial" w:eastAsia="Arial" w:hAnsi="Arial"/>
                <w:sz w:val="18"/>
                <w:szCs w:val="18"/>
                <w:color w:val="auto"/>
                <w:w w:val="98"/>
              </w:rPr>
              <w:t>CUSIP No. 928563402</w:t>
            </w:r>
          </w:p>
        </w:tc>
        <w:tc>
          <w:tcPr>
            <w:tcW w:w="9220" w:type="dxa"/>
            <w:vAlign w:val="bottom"/>
          </w:tcPr>
          <w:p>
            <w:pPr>
              <w:ind w:left="3040"/>
              <w:spacing w:after="0"/>
              <w:rPr>
                <w:sz w:val="20"/>
                <w:szCs w:val="20"/>
                <w:color w:val="auto"/>
              </w:rPr>
            </w:pPr>
            <w:r>
              <w:rPr>
                <w:rFonts w:ascii="Arial" w:cs="Arial" w:eastAsia="Arial" w:hAnsi="Arial"/>
                <w:sz w:val="18"/>
                <w:szCs w:val="18"/>
                <w:color w:val="auto"/>
              </w:rPr>
              <w:t>SCHEDULE 13D</w:t>
            </w:r>
          </w:p>
        </w:tc>
        <w:tc>
          <w:tcPr>
            <w:tcW w:w="0" w:type="dxa"/>
            <w:vAlign w:val="bottom"/>
          </w:tcPr>
          <w:p>
            <w:pPr>
              <w:spacing w:after="0"/>
              <w:rPr>
                <w:sz w:val="1"/>
                <w:szCs w:val="1"/>
                <w:color w:val="auto"/>
              </w:rPr>
            </w:pPr>
          </w:p>
        </w:tc>
      </w:tr>
      <w:tr>
        <w:trPr>
          <w:trHeight w:val="216"/>
        </w:trPr>
        <w:tc>
          <w:tcPr>
            <w:tcW w:w="1820" w:type="dxa"/>
            <w:vAlign w:val="bottom"/>
            <w:gridSpan w:val="6"/>
            <w:vMerge w:val="continue"/>
          </w:tcPr>
          <w:p>
            <w:pPr>
              <w:spacing w:after="0"/>
              <w:rPr>
                <w:sz w:val="18"/>
                <w:szCs w:val="18"/>
                <w:color w:val="auto"/>
              </w:rPr>
            </w:pPr>
          </w:p>
        </w:tc>
        <w:tc>
          <w:tcPr>
            <w:tcW w:w="9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360" w:type="dxa"/>
            <w:vAlign w:val="bottom"/>
            <w:tcBorders>
              <w:bottom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10460" w:type="dxa"/>
            <w:vAlign w:val="bottom"/>
            <w:tcBorders>
              <w:right w:val="single" w:sz="8" w:color="auto"/>
            </w:tcBorders>
            <w:gridSpan w:val="4"/>
          </w:tcPr>
          <w:p>
            <w:pPr>
              <w:ind w:left="16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460" w:type="dxa"/>
            <w:vAlign w:val="bottom"/>
            <w:tcBorders>
              <w:bottom w:val="single" w:sz="8" w:color="auto"/>
              <w:right w:val="single" w:sz="8" w:color="auto"/>
            </w:tcBorders>
            <w:gridSpan w:val="4"/>
          </w:tcPr>
          <w:p>
            <w:pPr>
              <w:ind w:left="160"/>
              <w:spacing w:after="0"/>
              <w:rPr>
                <w:sz w:val="20"/>
                <w:szCs w:val="20"/>
                <w:color w:val="auto"/>
              </w:rPr>
            </w:pPr>
            <w:r>
              <w:rPr>
                <w:rFonts w:ascii="Arial" w:cs="Arial" w:eastAsia="Arial" w:hAnsi="Arial"/>
                <w:sz w:val="18"/>
                <w:szCs w:val="18"/>
                <w:color w:val="auto"/>
              </w:rPr>
              <w:t>EMC Equity Assets LLC</w:t>
            </w: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200" w:type="dxa"/>
            <w:vAlign w:val="bottom"/>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10460" w:type="dxa"/>
            <w:vAlign w:val="bottom"/>
            <w:tcBorders>
              <w:right w:val="single" w:sz="8" w:color="auto"/>
            </w:tcBorders>
            <w:gridSpan w:val="4"/>
          </w:tcPr>
          <w:p>
            <w:pPr>
              <w:ind w:left="160"/>
              <w:spacing w:after="0" w:line="169"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66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580" w:type="dxa"/>
            <w:vAlign w:val="bottom"/>
            <w:gridSpan w:val="2"/>
          </w:tcPr>
          <w:p>
            <w:pPr>
              <w:ind w:left="320"/>
              <w:spacing w:after="0"/>
              <w:rPr>
                <w:sz w:val="20"/>
                <w:szCs w:val="20"/>
                <w:color w:val="auto"/>
              </w:rPr>
            </w:pPr>
            <w:r>
              <w:rPr>
                <w:rFonts w:ascii="Arial" w:cs="Arial" w:eastAsia="Arial" w:hAnsi="Arial"/>
                <w:sz w:val="18"/>
                <w:szCs w:val="18"/>
                <w:color w:val="auto"/>
              </w:rPr>
              <w:t>(b)</w:t>
            </w:r>
          </w:p>
        </w:tc>
        <w:tc>
          <w:tcPr>
            <w:tcW w:w="9220" w:type="dxa"/>
            <w:vAlign w:val="bottom"/>
            <w:tcBorders>
              <w:right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1240" w:type="dxa"/>
            <w:vAlign w:val="bottom"/>
            <w:gridSpan w:val="3"/>
          </w:tcPr>
          <w:p>
            <w:pPr>
              <w:ind w:left="160"/>
              <w:spacing w:after="0"/>
              <w:rPr>
                <w:sz w:val="20"/>
                <w:szCs w:val="20"/>
                <w:color w:val="auto"/>
              </w:rPr>
            </w:pPr>
            <w:r>
              <w:rPr>
                <w:rFonts w:ascii="Arial" w:cs="Arial" w:eastAsia="Arial" w:hAnsi="Arial"/>
                <w:sz w:val="18"/>
                <w:szCs w:val="18"/>
                <w:color w:val="auto"/>
                <w:w w:val="97"/>
              </w:rPr>
              <w:t>SEC use only</w:t>
            </w:r>
          </w:p>
        </w:tc>
        <w:tc>
          <w:tcPr>
            <w:tcW w:w="9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36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10460" w:type="dxa"/>
            <w:vAlign w:val="bottom"/>
            <w:tcBorders>
              <w:right w:val="single" w:sz="8" w:color="auto"/>
            </w:tcBorders>
            <w:gridSpan w:val="4"/>
          </w:tcPr>
          <w:p>
            <w:pPr>
              <w:ind w:left="16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OO</w:t>
            </w: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10460" w:type="dxa"/>
            <w:vAlign w:val="bottom"/>
            <w:tcBorders>
              <w:right w:val="single" w:sz="8" w:color="auto"/>
            </w:tcBorders>
            <w:gridSpan w:val="4"/>
          </w:tcPr>
          <w:p>
            <w:pPr>
              <w:ind w:left="160"/>
              <w:spacing w:after="0" w:line="207" w:lineRule="exact"/>
              <w:rPr>
                <w:sz w:val="20"/>
                <w:szCs w:val="20"/>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340" w:type="dxa"/>
            <w:vAlign w:val="bottom"/>
            <w:tcBorders>
              <w:left w:val="single" w:sz="8" w:color="auto"/>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0" w:type="dxa"/>
            <w:vAlign w:val="bottom"/>
            <w:tcBorders>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360" w:type="dxa"/>
            <w:vAlign w:val="bottom"/>
            <w:tcBorders>
              <w:bottom w:val="single" w:sz="8" w:color="auto"/>
              <w:right w:val="single" w:sz="8" w:color="auto"/>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10460" w:type="dxa"/>
            <w:vAlign w:val="bottom"/>
            <w:tcBorders>
              <w:right w:val="single" w:sz="8" w:color="auto"/>
            </w:tcBorders>
            <w:gridSpan w:val="4"/>
          </w:tcPr>
          <w:p>
            <w:pPr>
              <w:ind w:left="1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rPr>
              <w:t>Delaware</w:t>
            </w: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4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0"/>
                <w:szCs w:val="20"/>
                <w:color w:val="auto"/>
              </w:rPr>
            </w:pPr>
          </w:p>
        </w:tc>
        <w:tc>
          <w:tcPr>
            <w:tcW w:w="92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24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2"/>
              </w:rPr>
              <w:t>Number of</w:t>
            </w:r>
          </w:p>
        </w:tc>
        <w:tc>
          <w:tcPr>
            <w:tcW w:w="44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900" w:type="dxa"/>
            <w:vAlign w:val="bottom"/>
            <w:tcBorders>
              <w:right w:val="single" w:sz="8" w:color="auto"/>
            </w:tcBorders>
            <w:gridSpan w:val="3"/>
          </w:tcPr>
          <w:p>
            <w:pPr>
              <w:jc w:val="center"/>
              <w:ind w:right="110"/>
              <w:spacing w:after="0"/>
              <w:rPr>
                <w:sz w:val="20"/>
                <w:szCs w:val="20"/>
                <w:color w:val="auto"/>
              </w:rPr>
            </w:pPr>
            <w:r>
              <w:rPr>
                <w:rFonts w:ascii="Arial" w:cs="Arial" w:eastAsia="Arial" w:hAnsi="Arial"/>
                <w:sz w:val="18"/>
                <w:szCs w:val="18"/>
                <w:color w:val="auto"/>
                <w:w w:val="85"/>
              </w:rPr>
              <w:t>shares</w:t>
            </w:r>
          </w:p>
        </w:tc>
        <w:tc>
          <w:tcPr>
            <w:tcW w:w="4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0"/>
                <w:szCs w:val="20"/>
                <w:color w:val="auto"/>
              </w:rPr>
            </w:pPr>
          </w:p>
        </w:tc>
        <w:tc>
          <w:tcPr>
            <w:tcW w:w="92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24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6"/>
              </w:rPr>
              <w:t>beneficially</w:t>
            </w:r>
          </w:p>
        </w:tc>
        <w:tc>
          <w:tcPr>
            <w:tcW w:w="4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2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7,221,836 shares of Class A Common Stock</w:t>
            </w:r>
            <w:r>
              <w:rPr>
                <w:rFonts w:ascii="Arial" w:cs="Arial" w:eastAsia="Arial" w:hAnsi="Arial"/>
                <w:sz w:val="11"/>
                <w:szCs w:val="11"/>
                <w:u w:val="single" w:color="auto"/>
                <w:color w:val="auto"/>
              </w:rPr>
              <w:t>1</w:t>
            </w: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900" w:type="dxa"/>
            <w:vAlign w:val="bottom"/>
            <w:tcBorders>
              <w:right w:val="single" w:sz="8" w:color="auto"/>
            </w:tcBorders>
            <w:gridSpan w:val="3"/>
          </w:tcPr>
          <w:p>
            <w:pPr>
              <w:jc w:val="center"/>
              <w:ind w:right="110"/>
              <w:spacing w:after="0"/>
              <w:rPr>
                <w:sz w:val="20"/>
                <w:szCs w:val="20"/>
                <w:color w:val="auto"/>
              </w:rPr>
            </w:pPr>
            <w:r>
              <w:rPr>
                <w:rFonts w:ascii="Arial" w:cs="Arial" w:eastAsia="Arial" w:hAnsi="Arial"/>
                <w:sz w:val="18"/>
                <w:szCs w:val="18"/>
                <w:color w:val="auto"/>
                <w:w w:val="90"/>
              </w:rPr>
              <w:t>owned by</w:t>
            </w:r>
          </w:p>
        </w:tc>
        <w:tc>
          <w:tcPr>
            <w:tcW w:w="44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2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Borders>
              <w:right w:val="single" w:sz="8" w:color="auto"/>
            </w:tcBorders>
            <w:gridSpan w:val="2"/>
          </w:tcPr>
          <w:p>
            <w:pPr>
              <w:jc w:val="center"/>
              <w:ind w:right="290"/>
              <w:spacing w:after="0" w:line="182" w:lineRule="exact"/>
              <w:rPr>
                <w:sz w:val="20"/>
                <w:szCs w:val="20"/>
                <w:color w:val="auto"/>
              </w:rPr>
            </w:pPr>
            <w:r>
              <w:rPr>
                <w:rFonts w:ascii="Arial" w:cs="Arial" w:eastAsia="Arial" w:hAnsi="Arial"/>
                <w:sz w:val="18"/>
                <w:szCs w:val="18"/>
                <w:color w:val="auto"/>
                <w:w w:val="81"/>
              </w:rPr>
              <w:t>each</w:t>
            </w:r>
          </w:p>
        </w:tc>
        <w:tc>
          <w:tcPr>
            <w:tcW w:w="440" w:type="dxa"/>
            <w:vAlign w:val="bottom"/>
            <w:tcBorders>
              <w:right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9</w:t>
            </w:r>
          </w:p>
        </w:tc>
        <w:tc>
          <w:tcPr>
            <w:tcW w:w="140" w:type="dxa"/>
            <w:vAlign w:val="bottom"/>
          </w:tcPr>
          <w:p>
            <w:pPr>
              <w:spacing w:after="0"/>
              <w:rPr>
                <w:sz w:val="15"/>
                <w:szCs w:val="15"/>
                <w:color w:val="auto"/>
              </w:rPr>
            </w:pPr>
          </w:p>
        </w:tc>
        <w:tc>
          <w:tcPr>
            <w:tcW w:w="9220" w:type="dxa"/>
            <w:vAlign w:val="bottom"/>
            <w:tcBorders>
              <w:right w:val="single" w:sz="8" w:color="auto"/>
            </w:tcBorders>
          </w:tcPr>
          <w:p>
            <w:pPr>
              <w:ind w:left="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gridSpan w:val="3"/>
          </w:tcPr>
          <w:p>
            <w:pPr>
              <w:jc w:val="center"/>
              <w:ind w:right="110"/>
              <w:spacing w:after="0"/>
              <w:rPr>
                <w:sz w:val="20"/>
                <w:szCs w:val="20"/>
                <w:color w:val="auto"/>
              </w:rPr>
            </w:pPr>
            <w:r>
              <w:rPr>
                <w:rFonts w:ascii="Arial" w:cs="Arial" w:eastAsia="Arial" w:hAnsi="Arial"/>
                <w:sz w:val="18"/>
                <w:szCs w:val="18"/>
                <w:color w:val="auto"/>
                <w:w w:val="92"/>
              </w:rPr>
              <w:t>reporting</w:t>
            </w:r>
          </w:p>
        </w:tc>
        <w:tc>
          <w:tcPr>
            <w:tcW w:w="4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gridSpan w:val="3"/>
          </w:tcPr>
          <w:p>
            <w:pPr>
              <w:jc w:val="center"/>
              <w:ind w:right="130"/>
              <w:spacing w:after="0"/>
              <w:rPr>
                <w:sz w:val="20"/>
                <w:szCs w:val="20"/>
                <w:color w:val="auto"/>
              </w:rPr>
            </w:pPr>
            <w:r>
              <w:rPr>
                <w:rFonts w:ascii="Arial" w:cs="Arial" w:eastAsia="Arial" w:hAnsi="Arial"/>
                <w:sz w:val="18"/>
                <w:szCs w:val="18"/>
                <w:color w:val="auto"/>
                <w:w w:val="87"/>
              </w:rPr>
              <w:t>person</w:t>
            </w:r>
          </w:p>
        </w:tc>
        <w:tc>
          <w:tcPr>
            <w:tcW w:w="4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2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900" w:type="dxa"/>
            <w:vAlign w:val="bottom"/>
            <w:tcBorders>
              <w:right w:val="single" w:sz="8" w:color="auto"/>
            </w:tcBorders>
            <w:gridSpan w:val="3"/>
            <w:vMerge w:val="restart"/>
          </w:tcPr>
          <w:p>
            <w:pPr>
              <w:jc w:val="center"/>
              <w:ind w:right="110"/>
              <w:spacing w:after="0"/>
              <w:rPr>
                <w:sz w:val="20"/>
                <w:szCs w:val="20"/>
                <w:color w:val="auto"/>
              </w:rPr>
            </w:pPr>
            <w:r>
              <w:rPr>
                <w:rFonts w:ascii="Arial" w:cs="Arial" w:eastAsia="Arial" w:hAnsi="Arial"/>
                <w:sz w:val="18"/>
                <w:szCs w:val="18"/>
                <w:color w:val="auto"/>
              </w:rPr>
              <w:t>with:</w:t>
            </w:r>
          </w:p>
        </w:tc>
        <w:tc>
          <w:tcPr>
            <w:tcW w:w="440" w:type="dxa"/>
            <w:vAlign w:val="bottom"/>
            <w:tcBorders>
              <w:bottom w:val="single" w:sz="8" w:color="auto"/>
              <w:right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900" w:type="dxa"/>
            <w:vAlign w:val="bottom"/>
            <w:tcBorders>
              <w:right w:val="single" w:sz="8" w:color="auto"/>
            </w:tcBorders>
            <w:gridSpan w:val="3"/>
            <w:vMerge w:val="continue"/>
          </w:tcPr>
          <w:p>
            <w:pPr>
              <w:spacing w:after="0"/>
              <w:rPr>
                <w:sz w:val="12"/>
                <w:szCs w:val="12"/>
                <w:color w:val="auto"/>
              </w:rPr>
            </w:pPr>
          </w:p>
        </w:tc>
        <w:tc>
          <w:tcPr>
            <w:tcW w:w="44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2"/>
                <w:szCs w:val="12"/>
                <w:color w:val="auto"/>
              </w:rPr>
            </w:pPr>
          </w:p>
        </w:tc>
        <w:tc>
          <w:tcPr>
            <w:tcW w:w="92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440" w:type="dxa"/>
            <w:vAlign w:val="bottom"/>
            <w:tcBorders>
              <w:right w:val="single" w:sz="8" w:color="auto"/>
            </w:tcBorders>
            <w:vMerge w:val="continue"/>
          </w:tcPr>
          <w:p>
            <w:pPr>
              <w:spacing w:after="0"/>
              <w:rPr>
                <w:sz w:val="7"/>
                <w:szCs w:val="7"/>
                <w:color w:val="auto"/>
              </w:rPr>
            </w:pPr>
          </w:p>
        </w:tc>
        <w:tc>
          <w:tcPr>
            <w:tcW w:w="140" w:type="dxa"/>
            <w:vAlign w:val="bottom"/>
          </w:tcPr>
          <w:p>
            <w:pPr>
              <w:spacing w:after="0"/>
              <w:rPr>
                <w:sz w:val="7"/>
                <w:szCs w:val="7"/>
                <w:color w:val="auto"/>
              </w:rPr>
            </w:pPr>
          </w:p>
        </w:tc>
        <w:tc>
          <w:tcPr>
            <w:tcW w:w="92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7,221,836 shares of Class A Common Stock</w:t>
            </w:r>
            <w:r>
              <w:rPr>
                <w:rFonts w:ascii="Arial" w:cs="Arial" w:eastAsia="Arial" w:hAnsi="Arial"/>
                <w:sz w:val="11"/>
                <w:szCs w:val="11"/>
                <w:u w:val="single" w:color="auto"/>
                <w:color w:val="auto"/>
              </w:rPr>
              <w:t>1</w:t>
            </w: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0460" w:type="dxa"/>
            <w:vAlign w:val="bottom"/>
            <w:tcBorders>
              <w:right w:val="single" w:sz="8" w:color="auto"/>
            </w:tcBorders>
            <w:gridSpan w:val="4"/>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460" w:type="dxa"/>
            <w:vAlign w:val="bottom"/>
            <w:tcBorders>
              <w:bottom w:val="single" w:sz="8" w:color="auto"/>
              <w:right w:val="single" w:sz="8" w:color="auto"/>
            </w:tcBorders>
            <w:gridSpan w:val="4"/>
          </w:tcPr>
          <w:p>
            <w:pPr>
              <w:ind w:left="120"/>
              <w:spacing w:after="0"/>
              <w:rPr>
                <w:sz w:val="20"/>
                <w:szCs w:val="20"/>
                <w:color w:val="auto"/>
              </w:rPr>
            </w:pPr>
            <w:r>
              <w:rPr>
                <w:rFonts w:ascii="Arial" w:cs="Arial" w:eastAsia="Arial" w:hAnsi="Arial"/>
                <w:sz w:val="18"/>
                <w:szCs w:val="18"/>
                <w:color w:val="auto"/>
              </w:rPr>
              <w:t>7,221,836 shares of Class A Common Stock</w:t>
            </w:r>
            <w:r>
              <w:rPr>
                <w:rFonts w:ascii="Arial" w:cs="Arial" w:eastAsia="Arial" w:hAnsi="Arial"/>
                <w:sz w:val="11"/>
                <w:szCs w:val="11"/>
                <w:u w:val="single" w:color="auto"/>
                <w:color w:val="auto"/>
              </w:rPr>
              <w:t>1</w:t>
            </w: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0460" w:type="dxa"/>
            <w:vAlign w:val="bottom"/>
            <w:tcBorders>
              <w:right w:val="single" w:sz="8" w:color="auto"/>
            </w:tcBorders>
            <w:gridSpan w:val="4"/>
          </w:tcPr>
          <w:p>
            <w:pPr>
              <w:ind w:left="120"/>
              <w:spacing w:after="0" w:line="207" w:lineRule="exact"/>
              <w:rPr>
                <w:sz w:val="20"/>
                <w:szCs w:val="20"/>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340" w:type="dxa"/>
            <w:vAlign w:val="bottom"/>
            <w:tcBorders>
              <w:left w:val="single" w:sz="8" w:color="auto"/>
              <w:bottom w:val="single" w:sz="8" w:color="auto"/>
            </w:tcBorders>
          </w:tcPr>
          <w:p>
            <w:pPr>
              <w:spacing w:after="0"/>
              <w:rPr>
                <w:sz w:val="16"/>
                <w:szCs w:val="16"/>
                <w:color w:val="auto"/>
              </w:rPr>
            </w:pPr>
          </w:p>
        </w:tc>
        <w:tc>
          <w:tcPr>
            <w:tcW w:w="200" w:type="dxa"/>
            <w:vAlign w:val="bottom"/>
            <w:tcBorders>
              <w:bottom w:val="single" w:sz="8" w:color="auto"/>
              <w:right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460" w:type="dxa"/>
            <w:vAlign w:val="bottom"/>
            <w:tcBorders>
              <w:bottom w:val="single" w:sz="8" w:color="auto"/>
              <w:right w:val="single" w:sz="8" w:color="auto"/>
            </w:tcBorders>
            <w:gridSpan w:val="4"/>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0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0460" w:type="dxa"/>
            <w:vAlign w:val="bottom"/>
            <w:tcBorders>
              <w:right w:val="single" w:sz="8" w:color="auto"/>
            </w:tcBorders>
            <w:gridSpan w:val="4"/>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w w:val="99"/>
              </w:rPr>
              <w:t>6.1%</w:t>
            </w:r>
            <w:r>
              <w:rPr>
                <w:rFonts w:ascii="Arial" w:cs="Arial" w:eastAsia="Arial" w:hAnsi="Arial"/>
                <w:sz w:val="11"/>
                <w:szCs w:val="11"/>
                <w:u w:val="single" w:color="auto"/>
                <w:color w:val="auto"/>
                <w:w w:val="99"/>
              </w:rPr>
              <w:t>2</w:t>
            </w:r>
            <w:r>
              <w:rPr>
                <w:rFonts w:ascii="Arial" w:cs="Arial" w:eastAsia="Arial" w:hAnsi="Arial"/>
                <w:sz w:val="11"/>
                <w:szCs w:val="11"/>
                <w:color w:val="auto"/>
                <w:w w:val="99"/>
              </w:rPr>
              <w:t>/</w:t>
            </w: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0460" w:type="dxa"/>
            <w:vAlign w:val="bottom"/>
            <w:tcBorders>
              <w:right w:val="single" w:sz="8" w:color="auto"/>
            </w:tcBorders>
            <w:gridSpan w:val="4"/>
          </w:tcPr>
          <w:p>
            <w:pPr>
              <w:ind w:left="12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OO</w:t>
            </w: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ind w:left="420" w:right="100" w:hanging="431"/>
        <w:spacing w:after="0" w:line="258" w:lineRule="auto"/>
        <w:tabs>
          <w:tab w:leader="none" w:pos="400" w:val="left"/>
        </w:tabs>
        <w:rPr>
          <w:sz w:val="20"/>
          <w:szCs w:val="20"/>
          <w:color w:val="auto"/>
        </w:rPr>
      </w:pPr>
      <w:r>
        <w:rPr>
          <w:rFonts w:ascii="Arial" w:cs="Arial" w:eastAsia="Arial" w:hAnsi="Arial"/>
          <w:sz w:val="18"/>
          <w:szCs w:val="18"/>
          <w:u w:val="single" w:color="auto"/>
          <w:color w:val="auto"/>
        </w:rPr>
        <w:t>1</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Includes 7,221,836 shares of Class B Common Stock convertible into an equal number of shares of Class A Common Stock at any time. Assumes the conversion of the Class B Common Stock referred to above into shares of Class A Common Stock.</w:t>
      </w:r>
    </w:p>
    <w:p>
      <w:pPr>
        <w:spacing w:after="0" w:line="1" w:lineRule="exact"/>
        <w:rPr>
          <w:sz w:val="20"/>
          <w:szCs w:val="20"/>
          <w:color w:val="auto"/>
        </w:rPr>
      </w:pPr>
    </w:p>
    <w:p>
      <w:pPr>
        <w:ind w:left="420" w:right="220" w:hanging="431"/>
        <w:spacing w:after="0" w:line="255" w:lineRule="auto"/>
        <w:tabs>
          <w:tab w:leader="none" w:pos="400" w:val="left"/>
        </w:tabs>
        <w:rPr>
          <w:sz w:val="20"/>
          <w:szCs w:val="20"/>
          <w:color w:val="auto"/>
        </w:rPr>
      </w:pPr>
      <w:r>
        <w:rPr>
          <w:rFonts w:ascii="Arial" w:cs="Arial" w:eastAsia="Arial" w:hAnsi="Arial"/>
          <w:sz w:val="18"/>
          <w:szCs w:val="18"/>
          <w:u w:val="single" w:color="auto"/>
          <w:color w:val="auto"/>
        </w:rPr>
        <w:t>2</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Based on 111,828,394 shares of Class A Common Stock outstanding as of May 29, 2020, as disclosed in the Quarterly Report on Form 10-Q for the quarterly period ended May 1, 2020 filed by the Issuer with the SEC. Assumes the conversion of the Class B Common Stock referred to in footnote 1 into shares of Class A Common Stock.</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 of 11</w:t>
      </w:r>
    </w:p>
    <w:p>
      <w:pPr>
        <w:sectPr>
          <w:pgSz w:w="11900" w:h="16838" w:orient="portrait"/>
          <w:cols w:equalWidth="0" w:num="1">
            <w:col w:w="11020"/>
          </w:cols>
          <w:pgMar w:left="440" w:top="274" w:right="4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30"/>
        </w:trPr>
        <w:tc>
          <w:tcPr>
            <w:tcW w:w="1820" w:type="dxa"/>
            <w:vAlign w:val="bottom"/>
            <w:gridSpan w:val="7"/>
            <w:vMerge w:val="restart"/>
          </w:tcPr>
          <w:p>
            <w:pPr>
              <w:spacing w:after="0"/>
              <w:rPr>
                <w:sz w:val="20"/>
                <w:szCs w:val="20"/>
                <w:color w:val="auto"/>
              </w:rPr>
            </w:pPr>
            <w:r>
              <w:rPr>
                <w:rFonts w:ascii="Arial" w:cs="Arial" w:eastAsia="Arial" w:hAnsi="Arial"/>
                <w:sz w:val="18"/>
                <w:szCs w:val="18"/>
                <w:color w:val="auto"/>
                <w:w w:val="98"/>
              </w:rPr>
              <w:t>CUSIP No. 928563402</w:t>
            </w:r>
          </w:p>
        </w:tc>
        <w:tc>
          <w:tcPr>
            <w:tcW w:w="9220" w:type="dxa"/>
            <w:vAlign w:val="bottom"/>
          </w:tcPr>
          <w:p>
            <w:pPr>
              <w:ind w:left="3040"/>
              <w:spacing w:after="0"/>
              <w:rPr>
                <w:sz w:val="20"/>
                <w:szCs w:val="20"/>
                <w:color w:val="auto"/>
              </w:rPr>
            </w:pPr>
            <w:r>
              <w:rPr>
                <w:rFonts w:ascii="Arial" w:cs="Arial" w:eastAsia="Arial" w:hAnsi="Arial"/>
                <w:sz w:val="18"/>
                <w:szCs w:val="18"/>
                <w:color w:val="auto"/>
              </w:rPr>
              <w:t>SCHEDULE 13D</w:t>
            </w:r>
          </w:p>
        </w:tc>
        <w:tc>
          <w:tcPr>
            <w:tcW w:w="0" w:type="dxa"/>
            <w:vAlign w:val="bottom"/>
          </w:tcPr>
          <w:p>
            <w:pPr>
              <w:spacing w:after="0"/>
              <w:rPr>
                <w:sz w:val="1"/>
                <w:szCs w:val="1"/>
                <w:color w:val="auto"/>
              </w:rPr>
            </w:pPr>
          </w:p>
        </w:tc>
      </w:tr>
      <w:tr>
        <w:trPr>
          <w:trHeight w:val="216"/>
        </w:trPr>
        <w:tc>
          <w:tcPr>
            <w:tcW w:w="1820" w:type="dxa"/>
            <w:vAlign w:val="bottom"/>
            <w:gridSpan w:val="7"/>
            <w:vMerge w:val="continue"/>
          </w:tcPr>
          <w:p>
            <w:pPr>
              <w:spacing w:after="0"/>
              <w:rPr>
                <w:sz w:val="18"/>
                <w:szCs w:val="18"/>
                <w:color w:val="auto"/>
              </w:rPr>
            </w:pPr>
          </w:p>
        </w:tc>
        <w:tc>
          <w:tcPr>
            <w:tcW w:w="9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2"/>
          </w:tcPr>
          <w:p>
            <w:pPr>
              <w:spacing w:after="0"/>
              <w:rPr>
                <w:sz w:val="12"/>
                <w:szCs w:val="12"/>
                <w:color w:val="auto"/>
              </w:rPr>
            </w:pPr>
          </w:p>
        </w:tc>
        <w:tc>
          <w:tcPr>
            <w:tcW w:w="9360" w:type="dxa"/>
            <w:vAlign w:val="bottom"/>
            <w:tcBorders>
              <w:bottom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104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460" w:type="dxa"/>
            <w:vAlign w:val="bottom"/>
            <w:tcBorders>
              <w:bottom w:val="single" w:sz="8" w:color="auto"/>
              <w:right w:val="single" w:sz="8" w:color="auto"/>
            </w:tcBorders>
            <w:gridSpan w:val="5"/>
          </w:tcPr>
          <w:p>
            <w:pPr>
              <w:ind w:left="160"/>
              <w:spacing w:after="0"/>
              <w:rPr>
                <w:sz w:val="20"/>
                <w:szCs w:val="20"/>
                <w:color w:val="auto"/>
              </w:rPr>
            </w:pPr>
            <w:r>
              <w:rPr>
                <w:rFonts w:ascii="Arial" w:cs="Arial" w:eastAsia="Arial" w:hAnsi="Arial"/>
                <w:sz w:val="18"/>
                <w:szCs w:val="18"/>
                <w:color w:val="auto"/>
              </w:rPr>
              <w:t>Michael S. Dell</w:t>
            </w: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200" w:type="dxa"/>
            <w:vAlign w:val="bottom"/>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10460" w:type="dxa"/>
            <w:vAlign w:val="bottom"/>
            <w:tcBorders>
              <w:right w:val="single" w:sz="8" w:color="auto"/>
            </w:tcBorders>
            <w:gridSpan w:val="5"/>
          </w:tcPr>
          <w:p>
            <w:pPr>
              <w:ind w:left="160"/>
              <w:spacing w:after="0" w:line="169"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740" w:type="dxa"/>
            <w:vAlign w:val="bottom"/>
            <w:gridSpan w:val="2"/>
          </w:tcPr>
          <w:p>
            <w:pPr>
              <w:ind w:left="1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500" w:type="dxa"/>
            <w:vAlign w:val="bottom"/>
            <w:gridSpan w:val="2"/>
          </w:tcPr>
          <w:p>
            <w:pPr>
              <w:ind w:left="240"/>
              <w:spacing w:after="0"/>
              <w:rPr>
                <w:sz w:val="20"/>
                <w:szCs w:val="20"/>
                <w:color w:val="auto"/>
              </w:rPr>
            </w:pPr>
            <w:r>
              <w:rPr>
                <w:rFonts w:ascii="Arial" w:cs="Arial" w:eastAsia="Arial" w:hAnsi="Arial"/>
                <w:sz w:val="18"/>
                <w:szCs w:val="18"/>
                <w:color w:val="auto"/>
              </w:rPr>
              <w:t>(b)</w:t>
            </w:r>
          </w:p>
        </w:tc>
        <w:tc>
          <w:tcPr>
            <w:tcW w:w="9220" w:type="dxa"/>
            <w:vAlign w:val="bottom"/>
            <w:tcBorders>
              <w:right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2"/>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1240" w:type="dxa"/>
            <w:vAlign w:val="bottom"/>
            <w:gridSpan w:val="4"/>
          </w:tcPr>
          <w:p>
            <w:pPr>
              <w:ind w:left="160"/>
              <w:spacing w:after="0"/>
              <w:rPr>
                <w:sz w:val="20"/>
                <w:szCs w:val="20"/>
                <w:color w:val="auto"/>
              </w:rPr>
            </w:pPr>
            <w:r>
              <w:rPr>
                <w:rFonts w:ascii="Arial" w:cs="Arial" w:eastAsia="Arial" w:hAnsi="Arial"/>
                <w:sz w:val="18"/>
                <w:szCs w:val="18"/>
                <w:color w:val="auto"/>
                <w:w w:val="97"/>
              </w:rPr>
              <w:t>SEC use only</w:t>
            </w:r>
          </w:p>
        </w:tc>
        <w:tc>
          <w:tcPr>
            <w:tcW w:w="9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gridSpan w:val="2"/>
          </w:tcPr>
          <w:p>
            <w:pPr>
              <w:spacing w:after="0"/>
              <w:rPr>
                <w:sz w:val="21"/>
                <w:szCs w:val="21"/>
                <w:color w:val="auto"/>
              </w:rPr>
            </w:pPr>
          </w:p>
        </w:tc>
        <w:tc>
          <w:tcPr>
            <w:tcW w:w="936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104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OO</w:t>
            </w: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10460" w:type="dxa"/>
            <w:vAlign w:val="bottom"/>
            <w:tcBorders>
              <w:right w:val="single" w:sz="8" w:color="auto"/>
            </w:tcBorders>
            <w:gridSpan w:val="5"/>
          </w:tcPr>
          <w:p>
            <w:pPr>
              <w:ind w:left="160"/>
              <w:spacing w:after="0" w:line="207" w:lineRule="exact"/>
              <w:rPr>
                <w:sz w:val="20"/>
                <w:szCs w:val="20"/>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340" w:type="dxa"/>
            <w:vAlign w:val="bottom"/>
            <w:tcBorders>
              <w:left w:val="single" w:sz="8" w:color="auto"/>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0" w:type="dxa"/>
            <w:vAlign w:val="bottom"/>
            <w:tcBorders>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2"/>
          </w:tcPr>
          <w:p>
            <w:pPr>
              <w:spacing w:after="0"/>
              <w:rPr>
                <w:sz w:val="16"/>
                <w:szCs w:val="16"/>
                <w:color w:val="auto"/>
              </w:rPr>
            </w:pPr>
          </w:p>
        </w:tc>
        <w:tc>
          <w:tcPr>
            <w:tcW w:w="9360" w:type="dxa"/>
            <w:vAlign w:val="bottom"/>
            <w:tcBorders>
              <w:bottom w:val="single" w:sz="8" w:color="auto"/>
              <w:right w:val="single" w:sz="8" w:color="auto"/>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104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460" w:type="dxa"/>
            <w:vAlign w:val="bottom"/>
            <w:tcBorders>
              <w:bottom w:val="single" w:sz="8" w:color="auto"/>
              <w:right w:val="single" w:sz="8" w:color="auto"/>
            </w:tcBorders>
            <w:gridSpan w:val="5"/>
          </w:tcPr>
          <w:p>
            <w:pPr>
              <w:ind w:left="160"/>
              <w:spacing w:after="0"/>
              <w:rPr>
                <w:sz w:val="20"/>
                <w:szCs w:val="20"/>
                <w:color w:val="auto"/>
              </w:rPr>
            </w:pPr>
            <w:r>
              <w:rPr>
                <w:rFonts w:ascii="Arial" w:cs="Arial" w:eastAsia="Arial" w:hAnsi="Arial"/>
                <w:sz w:val="18"/>
                <w:szCs w:val="18"/>
                <w:color w:val="auto"/>
              </w:rPr>
              <w:t>United States of America</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0"/>
                <w:szCs w:val="20"/>
                <w:color w:val="auto"/>
              </w:rPr>
            </w:pPr>
          </w:p>
        </w:tc>
        <w:tc>
          <w:tcPr>
            <w:tcW w:w="92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24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2"/>
              </w:rPr>
              <w:t>Number of</w:t>
            </w: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900" w:type="dxa"/>
            <w:vAlign w:val="bottom"/>
            <w:tcBorders>
              <w:right w:val="single" w:sz="8" w:color="auto"/>
            </w:tcBorders>
            <w:gridSpan w:val="3"/>
          </w:tcPr>
          <w:p>
            <w:pPr>
              <w:jc w:val="center"/>
              <w:ind w:right="110"/>
              <w:spacing w:after="0"/>
              <w:rPr>
                <w:sz w:val="20"/>
                <w:szCs w:val="20"/>
                <w:color w:val="auto"/>
              </w:rPr>
            </w:pPr>
            <w:r>
              <w:rPr>
                <w:rFonts w:ascii="Arial" w:cs="Arial" w:eastAsia="Arial" w:hAnsi="Arial"/>
                <w:sz w:val="18"/>
                <w:szCs w:val="18"/>
                <w:color w:val="auto"/>
                <w:w w:val="85"/>
              </w:rPr>
              <w:t>shares</w:t>
            </w:r>
          </w:p>
        </w:tc>
        <w:tc>
          <w:tcPr>
            <w:tcW w:w="80" w:type="dxa"/>
            <w:vAlign w:val="bottom"/>
          </w:tcPr>
          <w:p>
            <w:pPr>
              <w:spacing w:after="0"/>
              <w:rPr>
                <w:sz w:val="20"/>
                <w:szCs w:val="20"/>
                <w:color w:val="auto"/>
              </w:rPr>
            </w:pPr>
          </w:p>
        </w:tc>
        <w:tc>
          <w:tcPr>
            <w:tcW w:w="3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0"/>
                <w:szCs w:val="20"/>
                <w:color w:val="auto"/>
              </w:rPr>
            </w:pPr>
          </w:p>
        </w:tc>
        <w:tc>
          <w:tcPr>
            <w:tcW w:w="92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24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6"/>
              </w:rPr>
              <w:t>beneficially</w:t>
            </w:r>
          </w:p>
        </w:tc>
        <w:tc>
          <w:tcPr>
            <w:tcW w:w="8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2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337,900,441 shares of Class A Common Stock</w:t>
            </w:r>
            <w:r>
              <w:rPr>
                <w:rFonts w:ascii="Arial" w:cs="Arial" w:eastAsia="Arial" w:hAnsi="Arial"/>
                <w:sz w:val="11"/>
                <w:szCs w:val="11"/>
                <w:u w:val="single" w:color="auto"/>
                <w:color w:val="auto"/>
              </w:rPr>
              <w:t>1</w:t>
            </w: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900" w:type="dxa"/>
            <w:vAlign w:val="bottom"/>
            <w:tcBorders>
              <w:right w:val="single" w:sz="8" w:color="auto"/>
            </w:tcBorders>
            <w:gridSpan w:val="3"/>
          </w:tcPr>
          <w:p>
            <w:pPr>
              <w:jc w:val="center"/>
              <w:ind w:right="110"/>
              <w:spacing w:after="0"/>
              <w:rPr>
                <w:sz w:val="20"/>
                <w:szCs w:val="20"/>
                <w:color w:val="auto"/>
              </w:rPr>
            </w:pPr>
            <w:r>
              <w:rPr>
                <w:rFonts w:ascii="Arial" w:cs="Arial" w:eastAsia="Arial" w:hAnsi="Arial"/>
                <w:sz w:val="18"/>
                <w:szCs w:val="18"/>
                <w:color w:val="auto"/>
                <w:w w:val="90"/>
              </w:rPr>
              <w:t>owned by</w:t>
            </w:r>
          </w:p>
        </w:tc>
        <w:tc>
          <w:tcPr>
            <w:tcW w:w="80" w:type="dxa"/>
            <w:vAlign w:val="bottom"/>
            <w:tcBorders>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2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Borders>
              <w:right w:val="single" w:sz="8" w:color="auto"/>
            </w:tcBorders>
            <w:gridSpan w:val="2"/>
          </w:tcPr>
          <w:p>
            <w:pPr>
              <w:jc w:val="center"/>
              <w:ind w:right="290"/>
              <w:spacing w:after="0" w:line="182" w:lineRule="exact"/>
              <w:rPr>
                <w:sz w:val="20"/>
                <w:szCs w:val="20"/>
                <w:color w:val="auto"/>
              </w:rPr>
            </w:pPr>
            <w:r>
              <w:rPr>
                <w:rFonts w:ascii="Arial" w:cs="Arial" w:eastAsia="Arial" w:hAnsi="Arial"/>
                <w:sz w:val="18"/>
                <w:szCs w:val="18"/>
                <w:color w:val="auto"/>
                <w:w w:val="81"/>
              </w:rPr>
              <w:t>each</w:t>
            </w:r>
          </w:p>
        </w:tc>
        <w:tc>
          <w:tcPr>
            <w:tcW w:w="80" w:type="dxa"/>
            <w:vAlign w:val="bottom"/>
          </w:tcPr>
          <w:p>
            <w:pPr>
              <w:spacing w:after="0"/>
              <w:rPr>
                <w:sz w:val="15"/>
                <w:szCs w:val="15"/>
                <w:color w:val="auto"/>
              </w:rPr>
            </w:pPr>
          </w:p>
        </w:tc>
        <w:tc>
          <w:tcPr>
            <w:tcW w:w="360" w:type="dxa"/>
            <w:vAlign w:val="bottom"/>
            <w:tcBorders>
              <w:right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9</w:t>
            </w:r>
          </w:p>
        </w:tc>
        <w:tc>
          <w:tcPr>
            <w:tcW w:w="140" w:type="dxa"/>
            <w:vAlign w:val="bottom"/>
          </w:tcPr>
          <w:p>
            <w:pPr>
              <w:spacing w:after="0"/>
              <w:rPr>
                <w:sz w:val="15"/>
                <w:szCs w:val="15"/>
                <w:color w:val="auto"/>
              </w:rPr>
            </w:pPr>
          </w:p>
        </w:tc>
        <w:tc>
          <w:tcPr>
            <w:tcW w:w="9220" w:type="dxa"/>
            <w:vAlign w:val="bottom"/>
            <w:tcBorders>
              <w:right w:val="single" w:sz="8" w:color="auto"/>
            </w:tcBorders>
          </w:tcPr>
          <w:p>
            <w:pPr>
              <w:ind w:left="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gridSpan w:val="3"/>
          </w:tcPr>
          <w:p>
            <w:pPr>
              <w:jc w:val="center"/>
              <w:ind w:right="110"/>
              <w:spacing w:after="0"/>
              <w:rPr>
                <w:sz w:val="20"/>
                <w:szCs w:val="20"/>
                <w:color w:val="auto"/>
              </w:rPr>
            </w:pPr>
            <w:r>
              <w:rPr>
                <w:rFonts w:ascii="Arial" w:cs="Arial" w:eastAsia="Arial" w:hAnsi="Arial"/>
                <w:sz w:val="18"/>
                <w:szCs w:val="18"/>
                <w:color w:val="auto"/>
                <w:w w:val="92"/>
              </w:rPr>
              <w:t>reporting</w:t>
            </w:r>
          </w:p>
        </w:tc>
        <w:tc>
          <w:tcPr>
            <w:tcW w:w="8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gridSpan w:val="3"/>
          </w:tcPr>
          <w:p>
            <w:pPr>
              <w:jc w:val="center"/>
              <w:ind w:right="130"/>
              <w:spacing w:after="0"/>
              <w:rPr>
                <w:sz w:val="20"/>
                <w:szCs w:val="20"/>
                <w:color w:val="auto"/>
              </w:rPr>
            </w:pPr>
            <w:r>
              <w:rPr>
                <w:rFonts w:ascii="Arial" w:cs="Arial" w:eastAsia="Arial" w:hAnsi="Arial"/>
                <w:sz w:val="18"/>
                <w:szCs w:val="18"/>
                <w:color w:val="auto"/>
                <w:w w:val="87"/>
              </w:rPr>
              <w:t>person</w:t>
            </w:r>
          </w:p>
        </w:tc>
        <w:tc>
          <w:tcPr>
            <w:tcW w:w="8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2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900" w:type="dxa"/>
            <w:vAlign w:val="bottom"/>
            <w:tcBorders>
              <w:right w:val="single" w:sz="8" w:color="auto"/>
            </w:tcBorders>
            <w:gridSpan w:val="3"/>
            <w:vMerge w:val="restart"/>
          </w:tcPr>
          <w:p>
            <w:pPr>
              <w:jc w:val="center"/>
              <w:ind w:right="110"/>
              <w:spacing w:after="0"/>
              <w:rPr>
                <w:sz w:val="20"/>
                <w:szCs w:val="20"/>
                <w:color w:val="auto"/>
              </w:rPr>
            </w:pPr>
            <w:r>
              <w:rPr>
                <w:rFonts w:ascii="Arial" w:cs="Arial" w:eastAsia="Arial" w:hAnsi="Arial"/>
                <w:sz w:val="18"/>
                <w:szCs w:val="18"/>
                <w:color w:val="auto"/>
              </w:rPr>
              <w:t>with:</w:t>
            </w:r>
          </w:p>
        </w:tc>
        <w:tc>
          <w:tcPr>
            <w:tcW w:w="80" w:type="dxa"/>
            <w:vAlign w:val="bottom"/>
            <w:tcBorders>
              <w:bottom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900" w:type="dxa"/>
            <w:vAlign w:val="bottom"/>
            <w:tcBorders>
              <w:right w:val="single" w:sz="8" w:color="auto"/>
            </w:tcBorders>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2"/>
                <w:szCs w:val="12"/>
                <w:color w:val="auto"/>
              </w:rPr>
            </w:pPr>
          </w:p>
        </w:tc>
        <w:tc>
          <w:tcPr>
            <w:tcW w:w="92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Borders>
              <w:right w:val="single" w:sz="8" w:color="auto"/>
            </w:tcBorders>
            <w:vMerge w:val="continue"/>
          </w:tcPr>
          <w:p>
            <w:pPr>
              <w:spacing w:after="0"/>
              <w:rPr>
                <w:sz w:val="7"/>
                <w:szCs w:val="7"/>
                <w:color w:val="auto"/>
              </w:rPr>
            </w:pPr>
          </w:p>
        </w:tc>
        <w:tc>
          <w:tcPr>
            <w:tcW w:w="140" w:type="dxa"/>
            <w:vAlign w:val="bottom"/>
          </w:tcPr>
          <w:p>
            <w:pPr>
              <w:spacing w:after="0"/>
              <w:rPr>
                <w:sz w:val="7"/>
                <w:szCs w:val="7"/>
                <w:color w:val="auto"/>
              </w:rPr>
            </w:pPr>
          </w:p>
        </w:tc>
        <w:tc>
          <w:tcPr>
            <w:tcW w:w="92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337,900,441 shares of Class A Common Stock</w:t>
            </w:r>
            <w:r>
              <w:rPr>
                <w:rFonts w:ascii="Arial" w:cs="Arial" w:eastAsia="Arial" w:hAnsi="Arial"/>
                <w:sz w:val="11"/>
                <w:szCs w:val="11"/>
                <w:u w:val="single" w:color="auto"/>
                <w:color w:val="auto"/>
              </w:rPr>
              <w:t>1</w:t>
            </w: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0460" w:type="dxa"/>
            <w:vAlign w:val="bottom"/>
            <w:tcBorders>
              <w:right w:val="single" w:sz="8" w:color="auto"/>
            </w:tcBorders>
            <w:gridSpan w:val="5"/>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460" w:type="dxa"/>
            <w:vAlign w:val="bottom"/>
            <w:tcBorders>
              <w:bottom w:val="single" w:sz="8" w:color="auto"/>
              <w:right w:val="single" w:sz="8" w:color="auto"/>
            </w:tcBorders>
            <w:gridSpan w:val="5"/>
          </w:tcPr>
          <w:p>
            <w:pPr>
              <w:ind w:left="120"/>
              <w:spacing w:after="0"/>
              <w:rPr>
                <w:sz w:val="20"/>
                <w:szCs w:val="20"/>
                <w:color w:val="auto"/>
              </w:rPr>
            </w:pPr>
            <w:r>
              <w:rPr>
                <w:rFonts w:ascii="Arial" w:cs="Arial" w:eastAsia="Arial" w:hAnsi="Arial"/>
                <w:sz w:val="18"/>
                <w:szCs w:val="18"/>
                <w:color w:val="auto"/>
              </w:rPr>
              <w:t>337,900,441 shares of Class A Common Stock</w:t>
            </w:r>
            <w:r>
              <w:rPr>
                <w:rFonts w:ascii="Arial" w:cs="Arial" w:eastAsia="Arial" w:hAnsi="Arial"/>
                <w:sz w:val="11"/>
                <w:szCs w:val="11"/>
                <w:u w:val="single" w:color="auto"/>
                <w:color w:val="auto"/>
              </w:rPr>
              <w:t>1</w:t>
            </w: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0460" w:type="dxa"/>
            <w:vAlign w:val="bottom"/>
            <w:tcBorders>
              <w:right w:val="single" w:sz="8" w:color="auto"/>
            </w:tcBorders>
            <w:gridSpan w:val="5"/>
          </w:tcPr>
          <w:p>
            <w:pPr>
              <w:ind w:left="120"/>
              <w:spacing w:after="0" w:line="207" w:lineRule="exact"/>
              <w:rPr>
                <w:sz w:val="20"/>
                <w:szCs w:val="20"/>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340" w:type="dxa"/>
            <w:vAlign w:val="bottom"/>
            <w:tcBorders>
              <w:left w:val="single" w:sz="8" w:color="auto"/>
              <w:bottom w:val="single" w:sz="8" w:color="auto"/>
            </w:tcBorders>
          </w:tcPr>
          <w:p>
            <w:pPr>
              <w:spacing w:after="0"/>
              <w:rPr>
                <w:sz w:val="16"/>
                <w:szCs w:val="16"/>
                <w:color w:val="auto"/>
              </w:rPr>
            </w:pPr>
          </w:p>
        </w:tc>
        <w:tc>
          <w:tcPr>
            <w:tcW w:w="200" w:type="dxa"/>
            <w:vAlign w:val="bottom"/>
            <w:tcBorders>
              <w:bottom w:val="single" w:sz="8" w:color="auto"/>
              <w:right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460" w:type="dxa"/>
            <w:vAlign w:val="bottom"/>
            <w:tcBorders>
              <w:bottom w:val="single" w:sz="8" w:color="auto"/>
              <w:right w:val="single" w:sz="8" w:color="auto"/>
            </w:tcBorders>
            <w:gridSpan w:val="5"/>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0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0460" w:type="dxa"/>
            <w:vAlign w:val="bottom"/>
            <w:tcBorders>
              <w:right w:val="single" w:sz="8" w:color="auto"/>
            </w:tcBorders>
            <w:gridSpan w:val="5"/>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w w:val="99"/>
              </w:rPr>
              <w:t>80.6%</w:t>
            </w:r>
            <w:r>
              <w:rPr>
                <w:rFonts w:ascii="Arial" w:cs="Arial" w:eastAsia="Arial" w:hAnsi="Arial"/>
                <w:sz w:val="11"/>
                <w:szCs w:val="11"/>
                <w:u w:val="single" w:color="auto"/>
                <w:color w:val="auto"/>
                <w:w w:val="99"/>
              </w:rPr>
              <w:t>2</w:t>
            </w:r>
            <w:r>
              <w:rPr>
                <w:rFonts w:ascii="Arial" w:cs="Arial" w:eastAsia="Arial" w:hAnsi="Arial"/>
                <w:sz w:val="11"/>
                <w:szCs w:val="11"/>
                <w:color w:val="auto"/>
                <w:w w:val="99"/>
              </w:rPr>
              <w:t>/</w:t>
            </w: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0460" w:type="dxa"/>
            <w:vAlign w:val="bottom"/>
            <w:tcBorders>
              <w:right w:val="single" w:sz="8" w:color="auto"/>
            </w:tcBorders>
            <w:gridSpan w:val="5"/>
          </w:tcPr>
          <w:p>
            <w:pPr>
              <w:ind w:left="12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IN</w:t>
            </w: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ind w:left="420" w:right="60" w:hanging="431"/>
        <w:spacing w:after="0" w:line="255" w:lineRule="auto"/>
        <w:tabs>
          <w:tab w:leader="none" w:pos="400" w:val="left"/>
        </w:tabs>
        <w:rPr>
          <w:sz w:val="20"/>
          <w:szCs w:val="20"/>
          <w:color w:val="auto"/>
        </w:rPr>
      </w:pPr>
      <w:r>
        <w:rPr>
          <w:rFonts w:ascii="Arial" w:cs="Arial" w:eastAsia="Arial" w:hAnsi="Arial"/>
          <w:sz w:val="18"/>
          <w:szCs w:val="18"/>
          <w:u w:val="single" w:color="auto"/>
          <w:color w:val="auto"/>
        </w:rPr>
        <w:t>1</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Includes (i) 30,678,605 shares of Class A Common Stock and (ii) 307,221,836 shares of Class B Common Stock convertible into an equal number of shares of Class A Common Stock at any time. Assumes the conversion of the Class B Common Stock referred to above into shares of Class A Common Stock.</w:t>
      </w:r>
    </w:p>
    <w:p>
      <w:pPr>
        <w:spacing w:after="0" w:line="3" w:lineRule="exact"/>
        <w:rPr>
          <w:sz w:val="20"/>
          <w:szCs w:val="20"/>
          <w:color w:val="auto"/>
        </w:rPr>
      </w:pPr>
    </w:p>
    <w:p>
      <w:pPr>
        <w:ind w:left="420" w:right="220" w:hanging="431"/>
        <w:spacing w:after="0" w:line="255" w:lineRule="auto"/>
        <w:tabs>
          <w:tab w:leader="none" w:pos="400" w:val="left"/>
        </w:tabs>
        <w:rPr>
          <w:sz w:val="20"/>
          <w:szCs w:val="20"/>
          <w:color w:val="auto"/>
        </w:rPr>
      </w:pPr>
      <w:r>
        <w:rPr>
          <w:rFonts w:ascii="Arial" w:cs="Arial" w:eastAsia="Arial" w:hAnsi="Arial"/>
          <w:sz w:val="18"/>
          <w:szCs w:val="18"/>
          <w:u w:val="single" w:color="auto"/>
          <w:color w:val="auto"/>
        </w:rPr>
        <w:t>2</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Based on 111,828,394 shares of Class A Common Stock outstanding as of May 29, 2020, as disclosed in the Quarterly Report on Form 10-Q for the quarterly period ended May 1, 2020 filed by the Issuer with the SEC. Assumes the conversion of the Class B Common Stock referred to in footnote 1 into shares of Class A Common Stock.</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 of 11</w:t>
      </w:r>
    </w:p>
    <w:p>
      <w:pPr>
        <w:sectPr>
          <w:pgSz w:w="11900" w:h="16838" w:orient="portrait"/>
          <w:cols w:equalWidth="0" w:num="1">
            <w:col w:w="11020"/>
          </w:cols>
          <w:pgMar w:left="440" w:top="274" w:right="4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Explanatory Note</w:t>
      </w:r>
    </w:p>
    <w:p>
      <w:pPr>
        <w:spacing w:after="0" w:line="22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This Amendment No. 19 (the “Amendment”) amends the statement on Schedule 13D originally filed by Dell Technologies Inc. (“Dell Technologies”), EMC Corporation (“EMC”) and Michael S. Dell as the Reporting Persons on September 15, 2016, as amended by Amendment No. 1 to the Schedule 13D filed on November 8, 2016, Amendment No. 2 to the Schedule 13D filed on December 15, 2016, Amendment No. 3 to the Schedule 13D filed on December 22, 2016, Amendment No. 4 to the Schedule 13D filed on February 15, 2017, Amendment No. 5 to the Schedule 13D filed on March 30, 2017, Amendment No. 6 to the Schedule 13D filed on April 5, 2017, Amendment No. 7 to the Schedule 13D (which, among other matters, reported the status of VMW Holdco LLC, an indirect wholly-owned subsidiary of Dell Technologies and a direct wholly-owned subsidiary of EMC (“VMW Holdco”), as a Reporting Person) filed on April 13, 2017, Amendment No. 8 to the Schedule 13D filed on May 10, 2017, Amendment No. 9 to the Schedule 13D filed on August 24, 2017, Amendment No. 10 to the Schedule 13D filed on September 14, 2017, Amendment No. 11 to the Schedule 13D filed on November 3, 2017, Amendment No. 12 to the Schedule 13D filed on February 2, 2018, Amendment No. 13 to the Schedule 13D filed on July 3, 2018, Amendment No. 14 to the Schedule 13D filed on December 26, 2018, Amendment No. 15 to the Schedule 13D filed on August 14, 2019, Amendment No. 16 to the Schedule 13D filed on August 22, 2019, Amendment No. 17 to the Schedule 13D (which, among other matters, reported the status of EMC Equity Assets LLC, an indirect wholly-owned subsidiary of Dell Technologies and a direct wholly-owned subsidiary of EMC (“EMC Sub”), as a Reporting Person) filed on January 2, 2020 and Amendment No. 18 to the Schedule 13D filed on March 24, 2020 (the “Schedule 13D”). Capitalized terms used but not otherwise defined in this Amendment shall have the meanings ascribed to such terms in the Schedule 13D. Except as otherwise provided herein, each Item of the Schedule 13D remains unchanged.</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information set forth in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and amended Item 5 is incorporated by reference herein.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Item 4 is hereby amended and supplemented by adding the following at the end thereof:</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Dell Technologies is exploring potential alternatives with respect to its ownership interest in VMware, Inc. (“VMware” or the “Issuer”), including a potential spin-off of that ownership interest to Dell Technologies’ stockholders that is intended to qualify as generally tax-free for U.S. federal income tax purposes to Dell Technologies and its stockholders (such transaction, a “Spin-off”). Although this process is currently only at an exploratory stage, Dell Technologies believes a Spin-off could benefit both Dell Technologies’ and VMware’s stockholders by simplifying capital structures and enhancing strategic flexibility, while still maintaining a mutually beneficial strategic and commercial partnership. Dell Technologies also continues to evaluate a range of strategic options, including maintaining the status quo with respect to its ownership interest in VMware.</w:t>
      </w:r>
    </w:p>
    <w:p>
      <w:pPr>
        <w:spacing w:after="0" w:line="178"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 xml:space="preserve">As part of its exploration of a potential Spin-off, Dell Technologies expects to explore, and if it determines advisable, seek to negotiate and agree to, certain terms and conditions related to such Spin-off with a special committee of the Board of Directors of VMware (the “VMware Special Committee”) and the approval of the Board of Directors of VMware. Dell Technologies expects that in any such discussions, it would seek to negotiate the payment of a special cash dividend by VMware, which would be paid substantially concurrently with the Spin-off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to all VMware stockholders. In the event VMware were to pay such a dividend, Dell Technologies expects that VMware would fund such dividend in part through the incurrence of new indebtedness. Dell Technologies expects that, in such event, it would use its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portion of the proceeds from any such special cash dividend to repay outstanding debt of Dell Technologies and for general corporate purposes. In any potential Spin-off, it is important to Dell Technologies that both VMware and Dell Technologies have appropriate capital structures immediately following any Spin-off. Accordingly, in any negotiation relating to a potential Spin-off with VMware and the VMware Special Committee, Dell Technologies’ goal would be to (1) maintain VMware’s credit rating of investment grade and (2) improve Dell Technologies’ credit rating at, or shortly following consummation of, the Spin-off. However, Dell Technologies can give no assurance that any specific ratings would ultimately be obtained for either company in the event of a Spin-off.</w:t>
      </w:r>
    </w:p>
    <w:p>
      <w:pPr>
        <w:spacing w:after="0" w:line="17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Dell Technologies also expects that any discussions with respect to a Spin-off would address the further formalization of certain mutually beneficial existing arm’s-length commercial arrangements that reflect the close operating relationship currently in place, including go-to-market, services, research and development, and intellectual property agreements, between Dell Technologies and VMware to provide for ongoing strategic benefits and continued support for customers of both companies following a Spin-off.</w:t>
      </w:r>
    </w:p>
    <w:p>
      <w:pPr>
        <w:spacing w:after="0" w:line="18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If Dell Technologies and VMware were to enter into negotiations and reach agreement on terms and conditions with respect to a potential Spin-off and such a Spin-off were to be consummated, Dell Technologies’ stockholders would separately own shares directly in both Dell Technologies and in VMware. Any potential Spin-off would not occur prior to September 2021.</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 of 11</w:t>
      </w:r>
    </w:p>
    <w:p>
      <w:pPr>
        <w:sectPr>
          <w:pgSz w:w="11900" w:h="16838" w:orient="portrait"/>
          <w:cols w:equalWidth="0" w:num="1">
            <w:col w:w="11000"/>
          </w:cols>
          <w:pgMar w:left="440" w:top="270" w:right="459" w:bottom="1440" w:gutter="0" w:footer="0" w:header="0"/>
        </w:sectPr>
      </w:pPr>
    </w:p>
    <w:bookmarkStart w:id="7" w:name="page8"/>
    <w:bookmarkEnd w:id="7"/>
    <w:p>
      <w:pPr>
        <w:ind w:left="4"/>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There can be no assurance that any discussions among Dell Technologies, VMware, the VMware Special Committee and their respective representatives with respect to a potential Spin-off will result in the entry into definitive agreements concerning a Spin-off or, if such definitive agreements were to be reached, that they would reflect terms consistent with those described above or would result in the consummation of the Spin-off transactions provided for in such definitive agreements. Discussions concerning a potential Spin-off and related matters may be terminated at any time by Dell Technologies or VMware.</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Items 5(a), (b) and (c) are hereby amended and restated as follows:</w:t>
      </w:r>
    </w:p>
    <w:p>
      <w:pPr>
        <w:spacing w:after="0" w:line="117" w:lineRule="exact"/>
        <w:rPr>
          <w:sz w:val="20"/>
          <w:szCs w:val="20"/>
          <w:color w:val="auto"/>
        </w:rPr>
      </w:pPr>
    </w:p>
    <w:p>
      <w:pPr>
        <w:ind w:left="4" w:right="20" w:hanging="4"/>
        <w:spacing w:after="0" w:line="270" w:lineRule="auto"/>
        <w:tabs>
          <w:tab w:leader="none" w:pos="249" w:val="left"/>
        </w:tabs>
        <w:numPr>
          <w:ilvl w:val="0"/>
          <w:numId w:val="2"/>
        </w:numPr>
        <w:rPr>
          <w:rFonts w:ascii="Arial" w:cs="Arial" w:eastAsia="Arial" w:hAnsi="Arial"/>
          <w:sz w:val="17"/>
          <w:szCs w:val="17"/>
          <w:color w:val="auto"/>
        </w:rPr>
      </w:pPr>
      <w:r>
        <w:rPr>
          <w:rFonts w:ascii="Arial" w:cs="Arial" w:eastAsia="Arial" w:hAnsi="Arial"/>
          <w:sz w:val="17"/>
          <w:szCs w:val="17"/>
          <w:color w:val="auto"/>
        </w:rPr>
        <w:t>As of the date hereof, (i) Dell Technologies, EMC and Michael S. Dell are the beneficial owners of an aggregate of 337,900,441 shares of Class A Common Stock of the Issuer, consisting of (A) 30,678,605 shares of Class A Common Stock and (B) 307,221,836 shares of Class B Common Stock that are convertible into an equal number of shares of Class A Common Stock at any time, (ii) VMW Holdco is the beneficial owner of a portion of such shares consisting of (A) 24,178,605 shares of Class A Common Stock and (B) 75,821,395 shares of Class B Common Stock, and (iii) EMC Sub is the beneficial owner of a portion of such shares consisting of 7,221,836 shares of Class B Common Stock. As of the date hereof, the 337,900,411 shares of Class A Common Stock beneficially owned by Dell Technologies, EMC and Michael S. Dell represent approximately 80.6% of the shares of Class A Common Stock. Of those 337,900,441 shares, the 100,000,000 shares of Class A Common Stock beneficially owned by VMW Holdco represent approximately 53.3% of the shares of Class A Common Stock and the 7,221,836 shares of Class A Common Stock beneficially owned by EMC Sub represent approximately 6.1% of the shares of Class A Common Stock.</w:t>
      </w:r>
      <w:r>
        <w:rPr>
          <w:rFonts w:ascii="Arial" w:cs="Arial" w:eastAsia="Arial" w:hAnsi="Arial"/>
          <w:sz w:val="14"/>
          <w:szCs w:val="14"/>
          <w:color w:val="auto"/>
        </w:rPr>
        <w:t>1/</w:t>
      </w:r>
    </w:p>
    <w:p>
      <w:pPr>
        <w:spacing w:after="0" w:line="180" w:lineRule="exact"/>
        <w:rPr>
          <w:rFonts w:ascii="Arial" w:cs="Arial" w:eastAsia="Arial" w:hAnsi="Arial"/>
          <w:sz w:val="17"/>
          <w:szCs w:val="17"/>
          <w:color w:val="auto"/>
        </w:rPr>
      </w:pPr>
    </w:p>
    <w:p>
      <w:pPr>
        <w:ind w:left="264" w:hanging="264"/>
        <w:spacing w:after="0"/>
        <w:tabs>
          <w:tab w:leader="none" w:pos="264" w:val="left"/>
        </w:tabs>
        <w:numPr>
          <w:ilvl w:val="0"/>
          <w:numId w:val="2"/>
        </w:numPr>
        <w:rPr>
          <w:rFonts w:ascii="Arial" w:cs="Arial" w:eastAsia="Arial" w:hAnsi="Arial"/>
          <w:sz w:val="18"/>
          <w:szCs w:val="18"/>
          <w:color w:val="auto"/>
        </w:rPr>
      </w:pPr>
      <w:r>
        <w:rPr>
          <w:rFonts w:ascii="Arial" w:cs="Arial" w:eastAsia="Arial" w:hAnsi="Arial"/>
          <w:sz w:val="18"/>
          <w:szCs w:val="18"/>
          <w:color w:val="auto"/>
        </w:rPr>
        <w:t>As of the date hereof:</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Dell Technologies has:</w:t>
      </w:r>
    </w:p>
    <w:p>
      <w:pPr>
        <w:spacing w:after="0" w:line="117" w:lineRule="exact"/>
        <w:rPr>
          <w:sz w:val="20"/>
          <w:szCs w:val="20"/>
          <w:color w:val="auto"/>
        </w:rPr>
      </w:pPr>
    </w:p>
    <w:p>
      <w:pPr>
        <w:ind w:left="224" w:hanging="224"/>
        <w:spacing w:after="0"/>
        <w:tabs>
          <w:tab w:leader="none" w:pos="224"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power to vote or direct the vote of -0- shares;</w:t>
      </w:r>
    </w:p>
    <w:p>
      <w:pPr>
        <w:spacing w:after="0" w:line="117" w:lineRule="exact"/>
        <w:rPr>
          <w:rFonts w:ascii="Arial" w:cs="Arial" w:eastAsia="Arial" w:hAnsi="Arial"/>
          <w:sz w:val="18"/>
          <w:szCs w:val="18"/>
          <w:color w:val="auto"/>
        </w:rPr>
      </w:pPr>
    </w:p>
    <w:p>
      <w:pPr>
        <w:ind w:left="264" w:hanging="264"/>
        <w:spacing w:after="0"/>
        <w:tabs>
          <w:tab w:leader="none" w:pos="264"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power to vote or direct the vote of 337,900,441 shares;</w:t>
      </w:r>
    </w:p>
    <w:p>
      <w:pPr>
        <w:spacing w:after="0" w:line="117" w:lineRule="exact"/>
        <w:rPr>
          <w:rFonts w:ascii="Arial" w:cs="Arial" w:eastAsia="Arial" w:hAnsi="Arial"/>
          <w:sz w:val="18"/>
          <w:szCs w:val="18"/>
          <w:color w:val="auto"/>
        </w:rPr>
      </w:pPr>
    </w:p>
    <w:p>
      <w:pPr>
        <w:ind w:left="324" w:hanging="324"/>
        <w:spacing w:after="0"/>
        <w:tabs>
          <w:tab w:leader="none" w:pos="324"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power to dispose or direct the disposition of -0- shares; and</w:t>
      </w:r>
    </w:p>
    <w:p>
      <w:pPr>
        <w:spacing w:after="0" w:line="117" w:lineRule="exact"/>
        <w:rPr>
          <w:rFonts w:ascii="Arial" w:cs="Arial" w:eastAsia="Arial" w:hAnsi="Arial"/>
          <w:sz w:val="18"/>
          <w:szCs w:val="18"/>
          <w:color w:val="auto"/>
        </w:rPr>
      </w:pPr>
    </w:p>
    <w:p>
      <w:pPr>
        <w:ind w:left="304" w:hanging="304"/>
        <w:spacing w:after="0"/>
        <w:tabs>
          <w:tab w:leader="none" w:pos="304"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of 337,900,441 shares.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EMC has:</w:t>
      </w:r>
    </w:p>
    <w:p>
      <w:pPr>
        <w:spacing w:after="0" w:line="117" w:lineRule="exact"/>
        <w:rPr>
          <w:sz w:val="20"/>
          <w:szCs w:val="20"/>
          <w:color w:val="auto"/>
        </w:rPr>
      </w:pPr>
    </w:p>
    <w:p>
      <w:pPr>
        <w:ind w:left="224" w:hanging="224"/>
        <w:spacing w:after="0"/>
        <w:tabs>
          <w:tab w:leader="none" w:pos="224"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power to vote or direct the vote of -0- shares;</w:t>
      </w:r>
    </w:p>
    <w:p>
      <w:pPr>
        <w:spacing w:after="0" w:line="117" w:lineRule="exact"/>
        <w:rPr>
          <w:rFonts w:ascii="Arial" w:cs="Arial" w:eastAsia="Arial" w:hAnsi="Arial"/>
          <w:sz w:val="18"/>
          <w:szCs w:val="18"/>
          <w:color w:val="auto"/>
        </w:rPr>
      </w:pPr>
    </w:p>
    <w:p>
      <w:pPr>
        <w:ind w:left="264" w:hanging="264"/>
        <w:spacing w:after="0"/>
        <w:tabs>
          <w:tab w:leader="none" w:pos="264"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power to vote or direct the vote of 337,900,441 shares;</w:t>
      </w:r>
    </w:p>
    <w:p>
      <w:pPr>
        <w:spacing w:after="0" w:line="117" w:lineRule="exact"/>
        <w:rPr>
          <w:rFonts w:ascii="Arial" w:cs="Arial" w:eastAsia="Arial" w:hAnsi="Arial"/>
          <w:sz w:val="18"/>
          <w:szCs w:val="18"/>
          <w:color w:val="auto"/>
        </w:rPr>
      </w:pPr>
    </w:p>
    <w:p>
      <w:pPr>
        <w:ind w:left="324" w:hanging="324"/>
        <w:spacing w:after="0"/>
        <w:tabs>
          <w:tab w:leader="none" w:pos="324"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power to dispose or direct the disposition of -0- shares; and</w:t>
      </w:r>
    </w:p>
    <w:p>
      <w:pPr>
        <w:spacing w:after="0" w:line="117" w:lineRule="exact"/>
        <w:rPr>
          <w:rFonts w:ascii="Arial" w:cs="Arial" w:eastAsia="Arial" w:hAnsi="Arial"/>
          <w:sz w:val="18"/>
          <w:szCs w:val="18"/>
          <w:color w:val="auto"/>
        </w:rPr>
      </w:pPr>
    </w:p>
    <w:p>
      <w:pPr>
        <w:ind w:left="304" w:hanging="304"/>
        <w:spacing w:after="0"/>
        <w:tabs>
          <w:tab w:leader="none" w:pos="304"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of 337,900,441 shares.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VMW Holdco has:</w:t>
      </w:r>
    </w:p>
    <w:p>
      <w:pPr>
        <w:spacing w:after="0" w:line="117" w:lineRule="exact"/>
        <w:rPr>
          <w:sz w:val="20"/>
          <w:szCs w:val="20"/>
          <w:color w:val="auto"/>
        </w:rPr>
      </w:pPr>
    </w:p>
    <w:p>
      <w:pPr>
        <w:ind w:left="224" w:hanging="224"/>
        <w:spacing w:after="0"/>
        <w:tabs>
          <w:tab w:leader="none" w:pos="224" w:val="left"/>
        </w:tabs>
        <w:numPr>
          <w:ilvl w:val="0"/>
          <w:numId w:val="5"/>
        </w:numPr>
        <w:rPr>
          <w:rFonts w:ascii="Arial" w:cs="Arial" w:eastAsia="Arial" w:hAnsi="Arial"/>
          <w:sz w:val="18"/>
          <w:szCs w:val="18"/>
          <w:color w:val="auto"/>
        </w:rPr>
      </w:pPr>
      <w:r>
        <w:rPr>
          <w:rFonts w:ascii="Arial" w:cs="Arial" w:eastAsia="Arial" w:hAnsi="Arial"/>
          <w:sz w:val="18"/>
          <w:szCs w:val="18"/>
          <w:color w:val="auto"/>
        </w:rPr>
        <w:t>sole power to vote or direct the vote of -0- shares;</w:t>
      </w:r>
    </w:p>
    <w:p>
      <w:pPr>
        <w:spacing w:after="0" w:line="117" w:lineRule="exact"/>
        <w:rPr>
          <w:rFonts w:ascii="Arial" w:cs="Arial" w:eastAsia="Arial" w:hAnsi="Arial"/>
          <w:sz w:val="18"/>
          <w:szCs w:val="18"/>
          <w:color w:val="auto"/>
        </w:rPr>
      </w:pPr>
    </w:p>
    <w:p>
      <w:pPr>
        <w:ind w:left="264" w:hanging="264"/>
        <w:spacing w:after="0"/>
        <w:tabs>
          <w:tab w:leader="none" w:pos="264"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shared power to vote or direct the vote of 100,000,000 shares;</w:t>
      </w:r>
    </w:p>
    <w:p>
      <w:pPr>
        <w:spacing w:after="0" w:line="117" w:lineRule="exact"/>
        <w:rPr>
          <w:rFonts w:ascii="Arial" w:cs="Arial" w:eastAsia="Arial" w:hAnsi="Arial"/>
          <w:sz w:val="18"/>
          <w:szCs w:val="18"/>
          <w:color w:val="auto"/>
        </w:rPr>
      </w:pPr>
    </w:p>
    <w:p>
      <w:pPr>
        <w:ind w:left="324" w:hanging="324"/>
        <w:spacing w:after="0"/>
        <w:tabs>
          <w:tab w:leader="none" w:pos="324" w:val="left"/>
        </w:tabs>
        <w:numPr>
          <w:ilvl w:val="0"/>
          <w:numId w:val="5"/>
        </w:numPr>
        <w:rPr>
          <w:rFonts w:ascii="Arial" w:cs="Arial" w:eastAsia="Arial" w:hAnsi="Arial"/>
          <w:sz w:val="18"/>
          <w:szCs w:val="18"/>
          <w:color w:val="auto"/>
        </w:rPr>
      </w:pPr>
      <w:r>
        <w:rPr>
          <w:rFonts w:ascii="Arial" w:cs="Arial" w:eastAsia="Arial" w:hAnsi="Arial"/>
          <w:sz w:val="18"/>
          <w:szCs w:val="18"/>
          <w:color w:val="auto"/>
        </w:rPr>
        <w:t>sole power to dispose or direct the disposition of -0- shares; and</w:t>
      </w:r>
    </w:p>
    <w:p>
      <w:pPr>
        <w:spacing w:after="0" w:line="117" w:lineRule="exact"/>
        <w:rPr>
          <w:rFonts w:ascii="Arial" w:cs="Arial" w:eastAsia="Arial" w:hAnsi="Arial"/>
          <w:sz w:val="18"/>
          <w:szCs w:val="18"/>
          <w:color w:val="auto"/>
        </w:rPr>
      </w:pPr>
    </w:p>
    <w:p>
      <w:pPr>
        <w:ind w:left="304" w:hanging="304"/>
        <w:spacing w:after="0"/>
        <w:tabs>
          <w:tab w:leader="none" w:pos="304"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of 100,000,000 shares.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EMC Sub has:</w:t>
      </w:r>
    </w:p>
    <w:p>
      <w:pPr>
        <w:spacing w:after="0" w:line="117" w:lineRule="exact"/>
        <w:rPr>
          <w:sz w:val="20"/>
          <w:szCs w:val="20"/>
          <w:color w:val="auto"/>
        </w:rPr>
      </w:pPr>
    </w:p>
    <w:p>
      <w:pPr>
        <w:ind w:left="224" w:hanging="224"/>
        <w:spacing w:after="0"/>
        <w:tabs>
          <w:tab w:leader="none" w:pos="224" w:val="left"/>
        </w:tabs>
        <w:numPr>
          <w:ilvl w:val="0"/>
          <w:numId w:val="6"/>
        </w:numPr>
        <w:rPr>
          <w:rFonts w:ascii="Arial" w:cs="Arial" w:eastAsia="Arial" w:hAnsi="Arial"/>
          <w:sz w:val="18"/>
          <w:szCs w:val="18"/>
          <w:color w:val="auto"/>
        </w:rPr>
      </w:pPr>
      <w:r>
        <w:rPr>
          <w:rFonts w:ascii="Arial" w:cs="Arial" w:eastAsia="Arial" w:hAnsi="Arial"/>
          <w:sz w:val="18"/>
          <w:szCs w:val="18"/>
          <w:color w:val="auto"/>
        </w:rPr>
        <w:t>sole power to vote or direct the vote of -0- shares;</w:t>
      </w:r>
    </w:p>
    <w:p>
      <w:pPr>
        <w:spacing w:after="0" w:line="117" w:lineRule="exact"/>
        <w:rPr>
          <w:rFonts w:ascii="Arial" w:cs="Arial" w:eastAsia="Arial" w:hAnsi="Arial"/>
          <w:sz w:val="18"/>
          <w:szCs w:val="18"/>
          <w:color w:val="auto"/>
        </w:rPr>
      </w:pPr>
    </w:p>
    <w:p>
      <w:pPr>
        <w:ind w:left="264" w:hanging="264"/>
        <w:spacing w:after="0"/>
        <w:tabs>
          <w:tab w:leader="none" w:pos="264"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shared power to vote or direct the vote of 7,221,836 shares;</w:t>
      </w:r>
    </w:p>
    <w:p>
      <w:pPr>
        <w:spacing w:after="0" w:line="117" w:lineRule="exact"/>
        <w:rPr>
          <w:rFonts w:ascii="Arial" w:cs="Arial" w:eastAsia="Arial" w:hAnsi="Arial"/>
          <w:sz w:val="18"/>
          <w:szCs w:val="18"/>
          <w:color w:val="auto"/>
        </w:rPr>
      </w:pPr>
    </w:p>
    <w:p>
      <w:pPr>
        <w:ind w:left="324" w:hanging="324"/>
        <w:spacing w:after="0"/>
        <w:tabs>
          <w:tab w:leader="none" w:pos="324" w:val="left"/>
        </w:tabs>
        <w:numPr>
          <w:ilvl w:val="0"/>
          <w:numId w:val="6"/>
        </w:numPr>
        <w:rPr>
          <w:rFonts w:ascii="Arial" w:cs="Arial" w:eastAsia="Arial" w:hAnsi="Arial"/>
          <w:sz w:val="18"/>
          <w:szCs w:val="18"/>
          <w:color w:val="auto"/>
        </w:rPr>
      </w:pPr>
      <w:r>
        <w:rPr>
          <w:rFonts w:ascii="Arial" w:cs="Arial" w:eastAsia="Arial" w:hAnsi="Arial"/>
          <w:sz w:val="18"/>
          <w:szCs w:val="18"/>
          <w:color w:val="auto"/>
        </w:rPr>
        <w:t>sole power to dispose or direct the disposition of -0- shares; and</w:t>
      </w:r>
    </w:p>
    <w:p>
      <w:pPr>
        <w:spacing w:after="0" w:line="117" w:lineRule="exact"/>
        <w:rPr>
          <w:rFonts w:ascii="Arial" w:cs="Arial" w:eastAsia="Arial" w:hAnsi="Arial"/>
          <w:sz w:val="18"/>
          <w:szCs w:val="18"/>
          <w:color w:val="auto"/>
        </w:rPr>
      </w:pPr>
    </w:p>
    <w:p>
      <w:pPr>
        <w:ind w:left="304" w:hanging="304"/>
        <w:spacing w:after="0"/>
        <w:tabs>
          <w:tab w:leader="none" w:pos="304"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of 7,221,836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715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424" w:right="200" w:hanging="419"/>
        <w:spacing w:after="0" w:line="263" w:lineRule="auto"/>
        <w:tabs>
          <w:tab w:leader="none" w:pos="404" w:val="left"/>
        </w:tabs>
        <w:rPr>
          <w:sz w:val="20"/>
          <w:szCs w:val="20"/>
          <w:color w:val="auto"/>
        </w:rPr>
      </w:pPr>
      <w:r>
        <w:rPr>
          <w:rFonts w:ascii="Arial" w:cs="Arial" w:eastAsia="Arial" w:hAnsi="Arial"/>
          <w:sz w:val="18"/>
          <w:szCs w:val="18"/>
          <w:color w:val="auto"/>
        </w:rPr>
        <w:t>1/</w:t>
        <w:tab/>
        <w:t>In each case, based on 111,828,394 shares of Class A Common Stock outstanding as of May 29, 2020, as disclosed in the Quarterly Report on Form 10-Q for the quarterly period ended May 1, 2020 filed by the Issuer with the SEC. Assumes the conversion of the Class B Common Stock beneficially owned by such Reporting Persons into shares of Class A Common Stock.</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Page 8 of 11</w:t>
      </w:r>
    </w:p>
    <w:p>
      <w:pPr>
        <w:sectPr>
          <w:pgSz w:w="11900" w:h="16838" w:orient="portrait"/>
          <w:cols w:equalWidth="0" w:num="1">
            <w:col w:w="11004"/>
          </w:cols>
          <w:pgMar w:left="436" w:top="274" w:right="459" w:bottom="1440" w:gutter="0" w:footer="0" w:header="0"/>
        </w:sectPr>
      </w:pPr>
    </w:p>
    <w:bookmarkStart w:id="8" w:name="page9"/>
    <w:bookmarkEnd w:id="8"/>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Michael S. Dell has:</w:t>
      </w:r>
    </w:p>
    <w:p>
      <w:pPr>
        <w:spacing w:after="0" w:line="117" w:lineRule="exact"/>
        <w:rPr>
          <w:sz w:val="20"/>
          <w:szCs w:val="20"/>
          <w:color w:val="auto"/>
        </w:rPr>
      </w:pPr>
    </w:p>
    <w:p>
      <w:pPr>
        <w:ind w:left="224" w:hanging="224"/>
        <w:spacing w:after="0"/>
        <w:tabs>
          <w:tab w:leader="none" w:pos="224"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power to vote or direct the vote of -0- shares;</w:t>
      </w:r>
    </w:p>
    <w:p>
      <w:pPr>
        <w:spacing w:after="0" w:line="117" w:lineRule="exact"/>
        <w:rPr>
          <w:rFonts w:ascii="Arial" w:cs="Arial" w:eastAsia="Arial" w:hAnsi="Arial"/>
          <w:sz w:val="18"/>
          <w:szCs w:val="18"/>
          <w:color w:val="auto"/>
        </w:rPr>
      </w:pPr>
    </w:p>
    <w:p>
      <w:pPr>
        <w:ind w:left="264" w:hanging="264"/>
        <w:spacing w:after="0"/>
        <w:tabs>
          <w:tab w:leader="none" w:pos="264"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shared power to vote or direct the vote of 337,900,441 shares;</w:t>
      </w:r>
    </w:p>
    <w:p>
      <w:pPr>
        <w:spacing w:after="0" w:line="117" w:lineRule="exact"/>
        <w:rPr>
          <w:rFonts w:ascii="Arial" w:cs="Arial" w:eastAsia="Arial" w:hAnsi="Arial"/>
          <w:sz w:val="18"/>
          <w:szCs w:val="18"/>
          <w:color w:val="auto"/>
        </w:rPr>
      </w:pPr>
    </w:p>
    <w:p>
      <w:pPr>
        <w:ind w:left="324" w:hanging="324"/>
        <w:spacing w:after="0"/>
        <w:tabs>
          <w:tab w:leader="none" w:pos="324"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power to dispose or direct the disposition of -0- shares; and</w:t>
      </w:r>
    </w:p>
    <w:p>
      <w:pPr>
        <w:spacing w:after="0" w:line="117" w:lineRule="exact"/>
        <w:rPr>
          <w:rFonts w:ascii="Arial" w:cs="Arial" w:eastAsia="Arial" w:hAnsi="Arial"/>
          <w:sz w:val="18"/>
          <w:szCs w:val="18"/>
          <w:color w:val="auto"/>
        </w:rPr>
      </w:pPr>
    </w:p>
    <w:p>
      <w:pPr>
        <w:ind w:left="304" w:hanging="304"/>
        <w:spacing w:after="0"/>
        <w:tabs>
          <w:tab w:leader="none" w:pos="304"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of 337,900,441 shares.</w:t>
      </w:r>
    </w:p>
    <w:p>
      <w:pPr>
        <w:spacing w:after="0" w:line="225" w:lineRule="exact"/>
        <w:rPr>
          <w:sz w:val="20"/>
          <w:szCs w:val="20"/>
          <w:color w:val="auto"/>
        </w:rPr>
      </w:pPr>
    </w:p>
    <w:p>
      <w:pPr>
        <w:ind w:left="4"/>
        <w:spacing w:after="0" w:line="293" w:lineRule="auto"/>
        <w:rPr>
          <w:sz w:val="20"/>
          <w:szCs w:val="20"/>
          <w:color w:val="auto"/>
        </w:rPr>
      </w:pPr>
      <w:r>
        <w:rPr>
          <w:rFonts w:ascii="Arial" w:cs="Arial" w:eastAsia="Arial" w:hAnsi="Arial"/>
          <w:sz w:val="16"/>
          <w:szCs w:val="16"/>
          <w:color w:val="auto"/>
        </w:rPr>
        <w:t>Under the terms of the Issuer’s Amended and Restated Certificate of Incorporation, a holder of a share of Class A Common Stock is entitled to one vote per share and a holder of a share of Class B Common Stock is entitled to ten votes per share. As of the date hereof, Dell Technologies, EMC and Michael S. Dell control approximately 97.5% of the combined voting power of both classes of common stock of the Issuer and, included in that amount, VMW Holdco controls approximately 24.6% of the combined voting power of both classes of common stock of the Issuer and EMC Sub controls approximately 2.3% of the combined voting power of both classes of common stock of the Issuer. In addition, the holders of the Class B Common Stock, voting separately as a class, are entitled to elect 80% of the total number of directors on the Issuer’s board of directors.</w:t>
      </w:r>
    </w:p>
    <w:p>
      <w:pPr>
        <w:spacing w:after="0" w:line="164" w:lineRule="exact"/>
        <w:rPr>
          <w:sz w:val="20"/>
          <w:szCs w:val="20"/>
          <w:color w:val="auto"/>
        </w:rPr>
      </w:pPr>
    </w:p>
    <w:p>
      <w:pPr>
        <w:ind w:left="4" w:right="20" w:hanging="4"/>
        <w:spacing w:after="0" w:line="263" w:lineRule="auto"/>
        <w:tabs>
          <w:tab w:leader="none" w:pos="249"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Except as described herein, none of the Reporting Persons or, to the best knowledge of the Reporting Persons, any other person listed in Annex A filed as an attachment to this Amendment No. 19, has effected any transaction involving the Class A Common Stock of VMware during the last 60 days from the date hereof.</w:t>
      </w:r>
    </w:p>
    <w:p>
      <w:pPr>
        <w:spacing w:after="0" w:line="11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Page 9 of 11</w:t>
      </w:r>
    </w:p>
    <w:p>
      <w:pPr>
        <w:sectPr>
          <w:pgSz w:w="11900" w:h="16838" w:orient="portrait"/>
          <w:cols w:equalWidth="0" w:num="1">
            <w:col w:w="10964"/>
          </w:cols>
          <w:pgMar w:left="436" w:top="274" w:right="49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w:t>
      </w:r>
    </w:p>
    <w:p>
      <w:pPr>
        <w:spacing w:after="0" w:line="22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July 15, 2020</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DELL TECHNOLOGIES INC.</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Robert L. Potts</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Robert L. Potts</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Senior Vice President and Assistant Secretary</w:t>
            </w:r>
          </w:p>
        </w:tc>
      </w:tr>
      <w:tr>
        <w:trPr>
          <w:trHeight w:val="432"/>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EMC CORPORATION</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Robert L. Potts</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Robert L. Potts</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Senior Vice President and Assistant Secretary</w:t>
            </w:r>
          </w:p>
        </w:tc>
      </w:tr>
      <w:tr>
        <w:trPr>
          <w:trHeight w:val="432"/>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VMW HOLDCO LLC</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Robert L. Potts</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Robert L. Potts</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Senior Vice President and Assistant Secretary</w:t>
            </w:r>
          </w:p>
        </w:tc>
      </w:tr>
      <w:tr>
        <w:trPr>
          <w:trHeight w:val="432"/>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EMC EQUITY ASSETS LLC</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Robert L. Potts</w:t>
            </w:r>
          </w:p>
        </w:tc>
      </w:tr>
      <w:tr>
        <w:trPr>
          <w:trHeight w:val="182"/>
        </w:trPr>
        <w:tc>
          <w:tcPr>
            <w:tcW w:w="520" w:type="dxa"/>
            <w:vAlign w:val="bottom"/>
          </w:tcPr>
          <w:p>
            <w:pPr>
              <w:spacing w:after="0" w:line="182" w:lineRule="exact"/>
              <w:rPr>
                <w:sz w:val="20"/>
                <w:szCs w:val="20"/>
                <w:color w:val="auto"/>
              </w:rPr>
            </w:pPr>
            <w:r>
              <w:rPr>
                <w:rFonts w:ascii="Arial" w:cs="Arial" w:eastAsia="Arial" w:hAnsi="Arial"/>
                <w:sz w:val="18"/>
                <w:szCs w:val="18"/>
                <w:color w:val="auto"/>
                <w:w w:val="94"/>
              </w:rPr>
              <w:t>Name:</w:t>
            </w:r>
          </w:p>
        </w:tc>
        <w:tc>
          <w:tcPr>
            <w:tcW w:w="3880" w:type="dxa"/>
            <w:vAlign w:val="bottom"/>
          </w:tcPr>
          <w:p>
            <w:pPr>
              <w:spacing w:after="0" w:line="182" w:lineRule="exact"/>
              <w:rPr>
                <w:sz w:val="20"/>
                <w:szCs w:val="20"/>
                <w:color w:val="auto"/>
              </w:rPr>
            </w:pPr>
            <w:r>
              <w:rPr>
                <w:rFonts w:ascii="Arial" w:cs="Arial" w:eastAsia="Arial" w:hAnsi="Arial"/>
                <w:sz w:val="18"/>
                <w:szCs w:val="18"/>
                <w:color w:val="auto"/>
              </w:rPr>
              <w:t>Robert L. Potts</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Senior Vice President and Assistant Secretary</w:t>
            </w:r>
          </w:p>
        </w:tc>
      </w:tr>
      <w:tr>
        <w:trPr>
          <w:trHeight w:val="432"/>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MICHAEL S. DELL</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Robert L. Potts</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Robert L. Potts</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Attorney-in-Fact</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 of 11</w:t>
      </w:r>
    </w:p>
    <w:p>
      <w:pPr>
        <w:sectPr>
          <w:pgSz w:w="11900" w:h="16838" w:orient="portrait"/>
          <w:cols w:equalWidth="0" w:num="1">
            <w:col w:w="11020"/>
          </w:cols>
          <w:pgMar w:left="440" w:top="270" w:right="439" w:bottom="1440" w:gutter="0" w:footer="0" w:header="0"/>
        </w:sectPr>
      </w:pPr>
    </w:p>
    <w:bookmarkStart w:id="10" w:name="page11"/>
    <w:bookmarkEnd w:id="10"/>
    <w:p>
      <w:pPr>
        <w:ind w:left="510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ANNEX 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Annex A of the Schedule 13D is hereby amended and restated as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DIRECTORS AND EXECUTIVE OFFICERS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DELL TECHNOLOGIES INC.</w:t>
      </w:r>
    </w:p>
    <w:p>
      <w:pPr>
        <w:spacing w:after="0" w:line="225"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The following sets forth the name, position and principal occupation of each director and executive officer of Dell Technologies Inc. Each director and executive officer is a citizen of the United States. The business address of each director and executive officer is c/o Dell Technologies Inc., One Dell Way, Round Rock, Texas 78682. To the best of Dell Technologies Inc.’s knowledge, other than Mr. Dell, who is a Reporting Person in this Schedule 13D, none of its directors or executive officers beneficially owns any shares of Class A Common Stock of the Issuer.</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420" w:type="dxa"/>
            <w:vAlign w:val="bottom"/>
            <w:gridSpan w:val="2"/>
          </w:tcPr>
          <w:p>
            <w:pPr>
              <w:spacing w:after="0"/>
              <w:rPr>
                <w:sz w:val="20"/>
                <w:szCs w:val="20"/>
                <w:color w:val="auto"/>
              </w:rPr>
            </w:pPr>
            <w:r>
              <w:rPr>
                <w:rFonts w:ascii="Arial" w:cs="Arial" w:eastAsia="Arial" w:hAnsi="Arial"/>
                <w:sz w:val="14"/>
                <w:szCs w:val="14"/>
                <w:b w:val="1"/>
                <w:bCs w:val="1"/>
                <w:color w:val="auto"/>
              </w:rPr>
              <w:t>Directors</w:t>
            </w:r>
          </w:p>
        </w:tc>
        <w:tc>
          <w:tcPr>
            <w:tcW w:w="8600" w:type="dxa"/>
            <w:vAlign w:val="bottom"/>
          </w:tcPr>
          <w:p>
            <w:pPr>
              <w:ind w:left="3640"/>
              <w:spacing w:after="0"/>
              <w:rPr>
                <w:sz w:val="20"/>
                <w:szCs w:val="20"/>
                <w:color w:val="auto"/>
              </w:rPr>
            </w:pPr>
            <w:r>
              <w:rPr>
                <w:rFonts w:ascii="Arial" w:cs="Arial" w:eastAsia="Arial" w:hAnsi="Arial"/>
                <w:sz w:val="14"/>
                <w:szCs w:val="14"/>
                <w:b w:val="1"/>
                <w:bCs w:val="1"/>
                <w:color w:val="auto"/>
              </w:rPr>
              <w:t>Principal Occupation</w:t>
            </w:r>
          </w:p>
        </w:tc>
      </w:tr>
      <w:tr>
        <w:trPr>
          <w:trHeight w:val="195"/>
        </w:trPr>
        <w:tc>
          <w:tcPr>
            <w:tcW w:w="2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Michael S. Dell</w:t>
            </w:r>
          </w:p>
        </w:tc>
        <w:tc>
          <w:tcPr>
            <w:tcW w:w="220" w:type="dxa"/>
            <w:vAlign w:val="bottom"/>
          </w:tcPr>
          <w:p>
            <w:pPr>
              <w:spacing w:after="0"/>
              <w:rPr>
                <w:sz w:val="16"/>
                <w:szCs w:val="16"/>
                <w:color w:val="auto"/>
              </w:rPr>
            </w:pPr>
          </w:p>
        </w:tc>
        <w:tc>
          <w:tcPr>
            <w:tcW w:w="8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Chief Executive Officer and Chairman</w:t>
            </w:r>
          </w:p>
        </w:tc>
      </w:tr>
      <w:tr>
        <w:trPr>
          <w:trHeight w:val="230"/>
        </w:trPr>
        <w:tc>
          <w:tcPr>
            <w:tcW w:w="2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Dell Technologies Inc.</w:t>
            </w:r>
          </w:p>
        </w:tc>
      </w:tr>
      <w:tr>
        <w:trPr>
          <w:trHeight w:val="323"/>
        </w:trPr>
        <w:tc>
          <w:tcPr>
            <w:tcW w:w="2420" w:type="dxa"/>
            <w:vAlign w:val="bottom"/>
            <w:gridSpan w:val="2"/>
          </w:tcPr>
          <w:p>
            <w:pPr>
              <w:spacing w:after="0"/>
              <w:rPr>
                <w:sz w:val="20"/>
                <w:szCs w:val="20"/>
                <w:color w:val="auto"/>
              </w:rPr>
            </w:pPr>
            <w:r>
              <w:rPr>
                <w:rFonts w:ascii="Arial" w:cs="Arial" w:eastAsia="Arial" w:hAnsi="Arial"/>
                <w:sz w:val="18"/>
                <w:szCs w:val="18"/>
                <w:color w:val="auto"/>
              </w:rPr>
              <w:t>David W. Dorman</w:t>
            </w:r>
          </w:p>
        </w:tc>
        <w:tc>
          <w:tcPr>
            <w:tcW w:w="8600" w:type="dxa"/>
            <w:vAlign w:val="bottom"/>
          </w:tcPr>
          <w:p>
            <w:pPr>
              <w:spacing w:after="0"/>
              <w:rPr>
                <w:sz w:val="20"/>
                <w:szCs w:val="20"/>
                <w:color w:val="auto"/>
              </w:rPr>
            </w:pPr>
            <w:r>
              <w:rPr>
                <w:rFonts w:ascii="Arial" w:cs="Arial" w:eastAsia="Arial" w:hAnsi="Arial"/>
                <w:sz w:val="18"/>
                <w:szCs w:val="18"/>
                <w:color w:val="auto"/>
              </w:rPr>
              <w:t>Founding Partner</w:t>
            </w:r>
          </w:p>
        </w:tc>
      </w:tr>
      <w:tr>
        <w:trPr>
          <w:trHeight w:val="230"/>
        </w:trPr>
        <w:tc>
          <w:tcPr>
            <w:tcW w:w="2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Centerview Capital Technology</w:t>
            </w:r>
          </w:p>
        </w:tc>
      </w:tr>
      <w:tr>
        <w:trPr>
          <w:trHeight w:val="323"/>
        </w:trPr>
        <w:tc>
          <w:tcPr>
            <w:tcW w:w="2420" w:type="dxa"/>
            <w:vAlign w:val="bottom"/>
            <w:gridSpan w:val="2"/>
          </w:tcPr>
          <w:p>
            <w:pPr>
              <w:spacing w:after="0"/>
              <w:rPr>
                <w:sz w:val="20"/>
                <w:szCs w:val="20"/>
                <w:color w:val="auto"/>
              </w:rPr>
            </w:pPr>
            <w:r>
              <w:rPr>
                <w:rFonts w:ascii="Arial" w:cs="Arial" w:eastAsia="Arial" w:hAnsi="Arial"/>
                <w:sz w:val="18"/>
                <w:szCs w:val="18"/>
                <w:color w:val="auto"/>
              </w:rPr>
              <w:t>Egon Durban</w:t>
            </w:r>
          </w:p>
        </w:tc>
        <w:tc>
          <w:tcPr>
            <w:tcW w:w="8600" w:type="dxa"/>
            <w:vAlign w:val="bottom"/>
          </w:tcPr>
          <w:p>
            <w:pPr>
              <w:spacing w:after="0"/>
              <w:rPr>
                <w:sz w:val="20"/>
                <w:szCs w:val="20"/>
                <w:color w:val="auto"/>
              </w:rPr>
            </w:pPr>
            <w:r>
              <w:rPr>
                <w:rFonts w:ascii="Arial" w:cs="Arial" w:eastAsia="Arial" w:hAnsi="Arial"/>
                <w:sz w:val="18"/>
                <w:szCs w:val="18"/>
                <w:color w:val="auto"/>
              </w:rPr>
              <w:t>Co-Chief Executive Officer</w:t>
            </w:r>
          </w:p>
        </w:tc>
      </w:tr>
      <w:tr>
        <w:trPr>
          <w:trHeight w:val="230"/>
        </w:trPr>
        <w:tc>
          <w:tcPr>
            <w:tcW w:w="2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Silver Lake</w:t>
            </w:r>
          </w:p>
        </w:tc>
      </w:tr>
      <w:tr>
        <w:trPr>
          <w:trHeight w:val="338"/>
        </w:trPr>
        <w:tc>
          <w:tcPr>
            <w:tcW w:w="2420" w:type="dxa"/>
            <w:vAlign w:val="bottom"/>
            <w:gridSpan w:val="2"/>
          </w:tcPr>
          <w:p>
            <w:pPr>
              <w:spacing w:after="0"/>
              <w:rPr>
                <w:sz w:val="20"/>
                <w:szCs w:val="20"/>
                <w:color w:val="auto"/>
              </w:rPr>
            </w:pPr>
            <w:r>
              <w:rPr>
                <w:rFonts w:ascii="Arial" w:cs="Arial" w:eastAsia="Arial" w:hAnsi="Arial"/>
                <w:sz w:val="18"/>
                <w:szCs w:val="18"/>
                <w:color w:val="auto"/>
              </w:rPr>
              <w:t>William D. Green</w:t>
            </w:r>
          </w:p>
        </w:tc>
        <w:tc>
          <w:tcPr>
            <w:tcW w:w="8600" w:type="dxa"/>
            <w:vAlign w:val="bottom"/>
          </w:tcPr>
          <w:p>
            <w:pPr>
              <w:spacing w:after="0"/>
              <w:rPr>
                <w:sz w:val="20"/>
                <w:szCs w:val="20"/>
                <w:color w:val="auto"/>
              </w:rPr>
            </w:pPr>
            <w:r>
              <w:rPr>
                <w:rFonts w:ascii="Arial" w:cs="Arial" w:eastAsia="Arial" w:hAnsi="Arial"/>
                <w:sz w:val="18"/>
                <w:szCs w:val="18"/>
                <w:color w:val="auto"/>
              </w:rPr>
              <w:t>Board member</w:t>
            </w:r>
          </w:p>
        </w:tc>
      </w:tr>
      <w:tr>
        <w:trPr>
          <w:trHeight w:val="310"/>
        </w:trPr>
        <w:tc>
          <w:tcPr>
            <w:tcW w:w="2420" w:type="dxa"/>
            <w:vAlign w:val="bottom"/>
            <w:gridSpan w:val="2"/>
          </w:tcPr>
          <w:p>
            <w:pPr>
              <w:spacing w:after="0"/>
              <w:rPr>
                <w:sz w:val="20"/>
                <w:szCs w:val="20"/>
                <w:color w:val="auto"/>
              </w:rPr>
            </w:pPr>
            <w:r>
              <w:rPr>
                <w:rFonts w:ascii="Arial" w:cs="Arial" w:eastAsia="Arial" w:hAnsi="Arial"/>
                <w:sz w:val="18"/>
                <w:szCs w:val="18"/>
                <w:color w:val="auto"/>
              </w:rPr>
              <w:t>Ellen J. Kullman</w:t>
            </w:r>
          </w:p>
        </w:tc>
        <w:tc>
          <w:tcPr>
            <w:tcW w:w="86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2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Carbon, Inc.</w:t>
            </w:r>
          </w:p>
        </w:tc>
      </w:tr>
      <w:tr>
        <w:trPr>
          <w:trHeight w:val="323"/>
        </w:trPr>
        <w:tc>
          <w:tcPr>
            <w:tcW w:w="2420" w:type="dxa"/>
            <w:vAlign w:val="bottom"/>
            <w:gridSpan w:val="2"/>
          </w:tcPr>
          <w:p>
            <w:pPr>
              <w:spacing w:after="0"/>
              <w:rPr>
                <w:sz w:val="20"/>
                <w:szCs w:val="20"/>
                <w:color w:val="auto"/>
              </w:rPr>
            </w:pPr>
            <w:r>
              <w:rPr>
                <w:rFonts w:ascii="Arial" w:cs="Arial" w:eastAsia="Arial" w:hAnsi="Arial"/>
                <w:sz w:val="18"/>
                <w:szCs w:val="18"/>
                <w:color w:val="auto"/>
              </w:rPr>
              <w:t>Simon Patterson</w:t>
            </w:r>
          </w:p>
        </w:tc>
        <w:tc>
          <w:tcPr>
            <w:tcW w:w="860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230"/>
        </w:trPr>
        <w:tc>
          <w:tcPr>
            <w:tcW w:w="2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Silver Lake</w:t>
            </w:r>
          </w:p>
        </w:tc>
      </w:tr>
      <w:tr>
        <w:trPr>
          <w:trHeight w:val="338"/>
        </w:trPr>
        <w:tc>
          <w:tcPr>
            <w:tcW w:w="2420" w:type="dxa"/>
            <w:vAlign w:val="bottom"/>
            <w:gridSpan w:val="2"/>
          </w:tcPr>
          <w:p>
            <w:pPr>
              <w:spacing w:after="0"/>
              <w:rPr>
                <w:sz w:val="20"/>
                <w:szCs w:val="20"/>
                <w:color w:val="auto"/>
              </w:rPr>
            </w:pPr>
            <w:r>
              <w:rPr>
                <w:rFonts w:ascii="Arial" w:cs="Arial" w:eastAsia="Arial" w:hAnsi="Arial"/>
                <w:sz w:val="18"/>
                <w:szCs w:val="18"/>
                <w:color w:val="auto"/>
              </w:rPr>
              <w:t>Lynn M. Vojvodich</w:t>
            </w:r>
          </w:p>
        </w:tc>
        <w:tc>
          <w:tcPr>
            <w:tcW w:w="8600" w:type="dxa"/>
            <w:vAlign w:val="bottom"/>
          </w:tcPr>
          <w:p>
            <w:pPr>
              <w:spacing w:after="0"/>
              <w:rPr>
                <w:sz w:val="20"/>
                <w:szCs w:val="20"/>
                <w:color w:val="auto"/>
              </w:rPr>
            </w:pPr>
            <w:r>
              <w:rPr>
                <w:rFonts w:ascii="Arial" w:cs="Arial" w:eastAsia="Arial" w:hAnsi="Arial"/>
                <w:sz w:val="18"/>
                <w:szCs w:val="18"/>
                <w:color w:val="auto"/>
              </w:rPr>
              <w:t>Board member and advisor to companies</w:t>
            </w:r>
          </w:p>
        </w:tc>
      </w:tr>
      <w:tr>
        <w:trPr>
          <w:trHeight w:val="378"/>
        </w:trPr>
        <w:tc>
          <w:tcPr>
            <w:tcW w:w="2420" w:type="dxa"/>
            <w:vAlign w:val="bottom"/>
            <w:gridSpan w:val="2"/>
          </w:tcPr>
          <w:p>
            <w:pPr>
              <w:spacing w:after="0"/>
              <w:rPr>
                <w:sz w:val="20"/>
                <w:szCs w:val="20"/>
                <w:color w:val="auto"/>
              </w:rPr>
            </w:pPr>
            <w:r>
              <w:rPr>
                <w:rFonts w:ascii="Arial" w:cs="Arial" w:eastAsia="Arial" w:hAnsi="Arial"/>
                <w:sz w:val="14"/>
                <w:szCs w:val="14"/>
                <w:b w:val="1"/>
                <w:bCs w:val="1"/>
                <w:color w:val="auto"/>
              </w:rPr>
              <w:t>Executive Officers</w:t>
            </w:r>
          </w:p>
        </w:tc>
        <w:tc>
          <w:tcPr>
            <w:tcW w:w="8600" w:type="dxa"/>
            <w:vAlign w:val="bottom"/>
          </w:tcPr>
          <w:p>
            <w:pPr>
              <w:ind w:left="4160"/>
              <w:spacing w:after="0"/>
              <w:rPr>
                <w:sz w:val="20"/>
                <w:szCs w:val="20"/>
                <w:color w:val="auto"/>
              </w:rPr>
            </w:pPr>
            <w:r>
              <w:rPr>
                <w:rFonts w:ascii="Arial" w:cs="Arial" w:eastAsia="Arial" w:hAnsi="Arial"/>
                <w:sz w:val="14"/>
                <w:szCs w:val="14"/>
                <w:b w:val="1"/>
                <w:bCs w:val="1"/>
                <w:color w:val="auto"/>
              </w:rPr>
              <w:t>Title</w:t>
            </w:r>
          </w:p>
        </w:tc>
      </w:tr>
      <w:tr>
        <w:trPr>
          <w:trHeight w:val="224"/>
        </w:trPr>
        <w:tc>
          <w:tcPr>
            <w:tcW w:w="2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Michael S. Dell</w:t>
            </w:r>
          </w:p>
        </w:tc>
        <w:tc>
          <w:tcPr>
            <w:tcW w:w="220" w:type="dxa"/>
            <w:vAlign w:val="bottom"/>
          </w:tcPr>
          <w:p>
            <w:pPr>
              <w:spacing w:after="0"/>
              <w:rPr>
                <w:sz w:val="19"/>
                <w:szCs w:val="19"/>
                <w:color w:val="auto"/>
              </w:rPr>
            </w:pPr>
          </w:p>
        </w:tc>
        <w:tc>
          <w:tcPr>
            <w:tcW w:w="8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Chief Executive Officer</w:t>
            </w:r>
          </w:p>
        </w:tc>
      </w:tr>
      <w:tr>
        <w:trPr>
          <w:trHeight w:val="310"/>
        </w:trPr>
        <w:tc>
          <w:tcPr>
            <w:tcW w:w="2420" w:type="dxa"/>
            <w:vAlign w:val="bottom"/>
            <w:gridSpan w:val="2"/>
          </w:tcPr>
          <w:p>
            <w:pPr>
              <w:spacing w:after="0"/>
              <w:rPr>
                <w:sz w:val="20"/>
                <w:szCs w:val="20"/>
                <w:color w:val="auto"/>
              </w:rPr>
            </w:pPr>
            <w:r>
              <w:rPr>
                <w:rFonts w:ascii="Arial" w:cs="Arial" w:eastAsia="Arial" w:hAnsi="Arial"/>
                <w:sz w:val="18"/>
                <w:szCs w:val="18"/>
                <w:color w:val="auto"/>
              </w:rPr>
              <w:t>Jeffrey W. Clarke</w:t>
            </w:r>
          </w:p>
        </w:tc>
        <w:tc>
          <w:tcPr>
            <w:tcW w:w="8600" w:type="dxa"/>
            <w:vAlign w:val="bottom"/>
          </w:tcPr>
          <w:p>
            <w:pPr>
              <w:spacing w:after="0"/>
              <w:rPr>
                <w:sz w:val="20"/>
                <w:szCs w:val="20"/>
                <w:color w:val="auto"/>
              </w:rPr>
            </w:pPr>
            <w:r>
              <w:rPr>
                <w:rFonts w:ascii="Arial" w:cs="Arial" w:eastAsia="Arial" w:hAnsi="Arial"/>
                <w:sz w:val="18"/>
                <w:szCs w:val="18"/>
                <w:color w:val="auto"/>
              </w:rPr>
              <w:t>Vice Chairman, Products and Operations</w:t>
            </w:r>
          </w:p>
        </w:tc>
      </w:tr>
      <w:tr>
        <w:trPr>
          <w:trHeight w:val="324"/>
        </w:trPr>
        <w:tc>
          <w:tcPr>
            <w:tcW w:w="2420" w:type="dxa"/>
            <w:vAlign w:val="bottom"/>
            <w:gridSpan w:val="2"/>
          </w:tcPr>
          <w:p>
            <w:pPr>
              <w:spacing w:after="0"/>
              <w:rPr>
                <w:sz w:val="20"/>
                <w:szCs w:val="20"/>
                <w:color w:val="auto"/>
              </w:rPr>
            </w:pPr>
            <w:r>
              <w:rPr>
                <w:rFonts w:ascii="Arial" w:cs="Arial" w:eastAsia="Arial" w:hAnsi="Arial"/>
                <w:sz w:val="18"/>
                <w:szCs w:val="18"/>
                <w:color w:val="auto"/>
              </w:rPr>
              <w:t>Allison Dew</w:t>
            </w:r>
          </w:p>
        </w:tc>
        <w:tc>
          <w:tcPr>
            <w:tcW w:w="8600" w:type="dxa"/>
            <w:vAlign w:val="bottom"/>
          </w:tcPr>
          <w:p>
            <w:pPr>
              <w:spacing w:after="0"/>
              <w:rPr>
                <w:sz w:val="20"/>
                <w:szCs w:val="20"/>
                <w:color w:val="auto"/>
              </w:rPr>
            </w:pPr>
            <w:r>
              <w:rPr>
                <w:rFonts w:ascii="Arial" w:cs="Arial" w:eastAsia="Arial" w:hAnsi="Arial"/>
                <w:sz w:val="18"/>
                <w:szCs w:val="18"/>
                <w:color w:val="auto"/>
              </w:rPr>
              <w:t>Chief Marketing Officer</w:t>
            </w:r>
          </w:p>
        </w:tc>
      </w:tr>
      <w:tr>
        <w:trPr>
          <w:trHeight w:val="324"/>
        </w:trPr>
        <w:tc>
          <w:tcPr>
            <w:tcW w:w="2420" w:type="dxa"/>
            <w:vAlign w:val="bottom"/>
            <w:gridSpan w:val="2"/>
          </w:tcPr>
          <w:p>
            <w:pPr>
              <w:spacing w:after="0"/>
              <w:rPr>
                <w:sz w:val="20"/>
                <w:szCs w:val="20"/>
                <w:color w:val="auto"/>
              </w:rPr>
            </w:pPr>
            <w:r>
              <w:rPr>
                <w:rFonts w:ascii="Arial" w:cs="Arial" w:eastAsia="Arial" w:hAnsi="Arial"/>
                <w:sz w:val="18"/>
                <w:szCs w:val="18"/>
                <w:color w:val="auto"/>
              </w:rPr>
              <w:t>Howard D. Elias</w:t>
            </w:r>
          </w:p>
        </w:tc>
        <w:tc>
          <w:tcPr>
            <w:tcW w:w="8600" w:type="dxa"/>
            <w:vAlign w:val="bottom"/>
          </w:tcPr>
          <w:p>
            <w:pPr>
              <w:spacing w:after="0"/>
              <w:rPr>
                <w:sz w:val="20"/>
                <w:szCs w:val="20"/>
                <w:color w:val="auto"/>
              </w:rPr>
            </w:pPr>
            <w:r>
              <w:rPr>
                <w:rFonts w:ascii="Arial" w:cs="Arial" w:eastAsia="Arial" w:hAnsi="Arial"/>
                <w:sz w:val="18"/>
                <w:szCs w:val="18"/>
                <w:color w:val="auto"/>
              </w:rPr>
              <w:t>President, Services and Digital</w:t>
            </w:r>
          </w:p>
        </w:tc>
      </w:tr>
      <w:tr>
        <w:trPr>
          <w:trHeight w:val="324"/>
        </w:trPr>
        <w:tc>
          <w:tcPr>
            <w:tcW w:w="2420" w:type="dxa"/>
            <w:vAlign w:val="bottom"/>
            <w:gridSpan w:val="2"/>
          </w:tcPr>
          <w:p>
            <w:pPr>
              <w:spacing w:after="0"/>
              <w:rPr>
                <w:sz w:val="20"/>
                <w:szCs w:val="20"/>
                <w:color w:val="auto"/>
              </w:rPr>
            </w:pPr>
            <w:r>
              <w:rPr>
                <w:rFonts w:ascii="Arial" w:cs="Arial" w:eastAsia="Arial" w:hAnsi="Arial"/>
                <w:sz w:val="18"/>
                <w:szCs w:val="18"/>
                <w:color w:val="auto"/>
              </w:rPr>
              <w:t>Steven H. Price</w:t>
            </w:r>
          </w:p>
        </w:tc>
        <w:tc>
          <w:tcPr>
            <w:tcW w:w="8600" w:type="dxa"/>
            <w:vAlign w:val="bottom"/>
          </w:tcPr>
          <w:p>
            <w:pPr>
              <w:spacing w:after="0"/>
              <w:rPr>
                <w:sz w:val="20"/>
                <w:szCs w:val="20"/>
                <w:color w:val="auto"/>
              </w:rPr>
            </w:pPr>
            <w:r>
              <w:rPr>
                <w:rFonts w:ascii="Arial" w:cs="Arial" w:eastAsia="Arial" w:hAnsi="Arial"/>
                <w:sz w:val="18"/>
                <w:szCs w:val="18"/>
                <w:color w:val="auto"/>
              </w:rPr>
              <w:t>Chief Human Resources Officer</w:t>
            </w:r>
          </w:p>
        </w:tc>
      </w:tr>
      <w:tr>
        <w:trPr>
          <w:trHeight w:val="324"/>
        </w:trPr>
        <w:tc>
          <w:tcPr>
            <w:tcW w:w="2420" w:type="dxa"/>
            <w:vAlign w:val="bottom"/>
            <w:gridSpan w:val="2"/>
          </w:tcPr>
          <w:p>
            <w:pPr>
              <w:spacing w:after="0"/>
              <w:rPr>
                <w:sz w:val="20"/>
                <w:szCs w:val="20"/>
                <w:color w:val="auto"/>
              </w:rPr>
            </w:pPr>
            <w:r>
              <w:rPr>
                <w:rFonts w:ascii="Arial" w:cs="Arial" w:eastAsia="Arial" w:hAnsi="Arial"/>
                <w:sz w:val="18"/>
                <w:szCs w:val="18"/>
                <w:color w:val="auto"/>
              </w:rPr>
              <w:t>Richard J. Rothberg</w:t>
            </w:r>
          </w:p>
        </w:tc>
        <w:tc>
          <w:tcPr>
            <w:tcW w:w="8600" w:type="dxa"/>
            <w:vAlign w:val="bottom"/>
          </w:tcPr>
          <w:p>
            <w:pPr>
              <w:spacing w:after="0"/>
              <w:rPr>
                <w:sz w:val="20"/>
                <w:szCs w:val="20"/>
                <w:color w:val="auto"/>
              </w:rPr>
            </w:pPr>
            <w:r>
              <w:rPr>
                <w:rFonts w:ascii="Arial" w:cs="Arial" w:eastAsia="Arial" w:hAnsi="Arial"/>
                <w:sz w:val="18"/>
                <w:szCs w:val="18"/>
                <w:color w:val="auto"/>
              </w:rPr>
              <w:t>General Counsel</w:t>
            </w:r>
          </w:p>
        </w:tc>
      </w:tr>
      <w:tr>
        <w:trPr>
          <w:trHeight w:val="324"/>
        </w:trPr>
        <w:tc>
          <w:tcPr>
            <w:tcW w:w="2420" w:type="dxa"/>
            <w:vAlign w:val="bottom"/>
            <w:gridSpan w:val="2"/>
          </w:tcPr>
          <w:p>
            <w:pPr>
              <w:spacing w:after="0"/>
              <w:rPr>
                <w:sz w:val="20"/>
                <w:szCs w:val="20"/>
                <w:color w:val="auto"/>
              </w:rPr>
            </w:pPr>
            <w:r>
              <w:rPr>
                <w:rFonts w:ascii="Arial" w:cs="Arial" w:eastAsia="Arial" w:hAnsi="Arial"/>
                <w:sz w:val="18"/>
                <w:szCs w:val="18"/>
                <w:color w:val="auto"/>
              </w:rPr>
              <w:t>William F. Scannell</w:t>
            </w:r>
          </w:p>
        </w:tc>
        <w:tc>
          <w:tcPr>
            <w:tcW w:w="8600" w:type="dxa"/>
            <w:vAlign w:val="bottom"/>
          </w:tcPr>
          <w:p>
            <w:pPr>
              <w:spacing w:after="0"/>
              <w:rPr>
                <w:sz w:val="20"/>
                <w:szCs w:val="20"/>
                <w:color w:val="auto"/>
              </w:rPr>
            </w:pPr>
            <w:r>
              <w:rPr>
                <w:rFonts w:ascii="Arial" w:cs="Arial" w:eastAsia="Arial" w:hAnsi="Arial"/>
                <w:sz w:val="18"/>
                <w:szCs w:val="18"/>
                <w:color w:val="auto"/>
              </w:rPr>
              <w:t>President, Global Sales and Customer Operations</w:t>
            </w:r>
          </w:p>
        </w:tc>
      </w:tr>
      <w:tr>
        <w:trPr>
          <w:trHeight w:val="324"/>
        </w:trPr>
        <w:tc>
          <w:tcPr>
            <w:tcW w:w="2420" w:type="dxa"/>
            <w:vAlign w:val="bottom"/>
            <w:gridSpan w:val="2"/>
          </w:tcPr>
          <w:p>
            <w:pPr>
              <w:spacing w:after="0"/>
              <w:rPr>
                <w:sz w:val="20"/>
                <w:szCs w:val="20"/>
                <w:color w:val="auto"/>
              </w:rPr>
            </w:pPr>
            <w:r>
              <w:rPr>
                <w:rFonts w:ascii="Arial" w:cs="Arial" w:eastAsia="Arial" w:hAnsi="Arial"/>
                <w:sz w:val="18"/>
                <w:szCs w:val="18"/>
                <w:color w:val="auto"/>
              </w:rPr>
              <w:t>Thomas W. Sweet</w:t>
            </w:r>
          </w:p>
        </w:tc>
        <w:tc>
          <w:tcPr>
            <w:tcW w:w="86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020"/>
          </w:cols>
          <w:pgMar w:left="440" w:top="270" w:right="4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EMC CORPORATION</w:t>
      </w:r>
    </w:p>
    <w:p>
      <w:pPr>
        <w:spacing w:after="0" w:line="225"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The following sets forth the name, position and principal occupation of each director and executive officer of EMC Corporation. Each such person is a citizen of the United States. The business address of each director and executive officer is c/o Dell Technologies Inc., One Dell Way, Round Rock, Texas 78682. To the best of Dell Technologies Inc.’s knowledge, other than Mr. Dell, who is a Reporting Person in this Schedule 13D, none of the directors or executive officers of EMC Corporation beneficially owns any shares of Class A Common Stock of the Issuer. Except as otherwise indicated, the principal occupation of each of the individuals named below is as an officer or executive officer of Dell Technologies Inc. under the titled listed.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420" w:type="dxa"/>
            <w:vAlign w:val="bottom"/>
            <w:gridSpan w:val="2"/>
          </w:tcPr>
          <w:p>
            <w:pPr>
              <w:spacing w:after="0"/>
              <w:rPr>
                <w:sz w:val="20"/>
                <w:szCs w:val="20"/>
                <w:color w:val="auto"/>
              </w:rPr>
            </w:pPr>
            <w:r>
              <w:rPr>
                <w:rFonts w:ascii="Arial" w:cs="Arial" w:eastAsia="Arial" w:hAnsi="Arial"/>
                <w:sz w:val="14"/>
                <w:szCs w:val="14"/>
                <w:b w:val="1"/>
                <w:bCs w:val="1"/>
                <w:color w:val="auto"/>
              </w:rPr>
              <w:t>Director</w:t>
            </w:r>
          </w:p>
        </w:tc>
        <w:tc>
          <w:tcPr>
            <w:tcW w:w="8600" w:type="dxa"/>
            <w:vAlign w:val="bottom"/>
          </w:tcPr>
          <w:p>
            <w:pPr>
              <w:ind w:left="3640"/>
              <w:spacing w:after="0"/>
              <w:rPr>
                <w:sz w:val="20"/>
                <w:szCs w:val="20"/>
                <w:color w:val="auto"/>
              </w:rPr>
            </w:pPr>
            <w:r>
              <w:rPr>
                <w:rFonts w:ascii="Arial" w:cs="Arial" w:eastAsia="Arial" w:hAnsi="Arial"/>
                <w:sz w:val="14"/>
                <w:szCs w:val="14"/>
                <w:b w:val="1"/>
                <w:bCs w:val="1"/>
                <w:color w:val="auto"/>
              </w:rPr>
              <w:t>Principal Occupation</w:t>
            </w:r>
          </w:p>
        </w:tc>
      </w:tr>
      <w:tr>
        <w:trPr>
          <w:trHeight w:val="224"/>
        </w:trPr>
        <w:tc>
          <w:tcPr>
            <w:tcW w:w="2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Robert L. Potts</w:t>
            </w:r>
          </w:p>
        </w:tc>
        <w:tc>
          <w:tcPr>
            <w:tcW w:w="220" w:type="dxa"/>
            <w:vAlign w:val="bottom"/>
          </w:tcPr>
          <w:p>
            <w:pPr>
              <w:spacing w:after="0"/>
              <w:rPr>
                <w:sz w:val="19"/>
                <w:szCs w:val="19"/>
                <w:color w:val="auto"/>
              </w:rPr>
            </w:pPr>
          </w:p>
        </w:tc>
        <w:tc>
          <w:tcPr>
            <w:tcW w:w="8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Senior Vice President, Corporate Securities &amp; Finance Counsel</w:t>
            </w:r>
          </w:p>
        </w:tc>
      </w:tr>
      <w:tr>
        <w:trPr>
          <w:trHeight w:val="364"/>
        </w:trPr>
        <w:tc>
          <w:tcPr>
            <w:tcW w:w="2420" w:type="dxa"/>
            <w:vAlign w:val="bottom"/>
            <w:gridSpan w:val="2"/>
          </w:tcPr>
          <w:p>
            <w:pPr>
              <w:spacing w:after="0"/>
              <w:rPr>
                <w:sz w:val="20"/>
                <w:szCs w:val="20"/>
                <w:color w:val="auto"/>
              </w:rPr>
            </w:pPr>
            <w:r>
              <w:rPr>
                <w:rFonts w:ascii="Arial" w:cs="Arial" w:eastAsia="Arial" w:hAnsi="Arial"/>
                <w:sz w:val="14"/>
                <w:szCs w:val="14"/>
                <w:b w:val="1"/>
                <w:bCs w:val="1"/>
                <w:color w:val="auto"/>
              </w:rPr>
              <w:t>Executive Officers</w:t>
            </w:r>
          </w:p>
        </w:tc>
        <w:tc>
          <w:tcPr>
            <w:tcW w:w="8600" w:type="dxa"/>
            <w:vAlign w:val="bottom"/>
          </w:tcPr>
          <w:p>
            <w:pPr>
              <w:ind w:left="4160"/>
              <w:spacing w:after="0"/>
              <w:rPr>
                <w:sz w:val="20"/>
                <w:szCs w:val="20"/>
                <w:color w:val="auto"/>
              </w:rPr>
            </w:pPr>
            <w:r>
              <w:rPr>
                <w:rFonts w:ascii="Arial" w:cs="Arial" w:eastAsia="Arial" w:hAnsi="Arial"/>
                <w:sz w:val="14"/>
                <w:szCs w:val="14"/>
                <w:b w:val="1"/>
                <w:bCs w:val="1"/>
                <w:color w:val="auto"/>
              </w:rPr>
              <w:t>Title</w:t>
            </w:r>
          </w:p>
        </w:tc>
      </w:tr>
      <w:tr>
        <w:trPr>
          <w:trHeight w:val="224"/>
        </w:trPr>
        <w:tc>
          <w:tcPr>
            <w:tcW w:w="2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Michael S. Dell</w:t>
            </w:r>
          </w:p>
        </w:tc>
        <w:tc>
          <w:tcPr>
            <w:tcW w:w="220" w:type="dxa"/>
            <w:vAlign w:val="bottom"/>
          </w:tcPr>
          <w:p>
            <w:pPr>
              <w:spacing w:after="0"/>
              <w:rPr>
                <w:sz w:val="19"/>
                <w:szCs w:val="19"/>
                <w:color w:val="auto"/>
              </w:rPr>
            </w:pPr>
          </w:p>
        </w:tc>
        <w:tc>
          <w:tcPr>
            <w:tcW w:w="8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Chief Executive Officer and Chairman</w:t>
            </w:r>
          </w:p>
        </w:tc>
      </w:tr>
      <w:tr>
        <w:trPr>
          <w:trHeight w:val="310"/>
        </w:trPr>
        <w:tc>
          <w:tcPr>
            <w:tcW w:w="2420" w:type="dxa"/>
            <w:vAlign w:val="bottom"/>
            <w:gridSpan w:val="2"/>
          </w:tcPr>
          <w:p>
            <w:pPr>
              <w:spacing w:after="0"/>
              <w:rPr>
                <w:sz w:val="20"/>
                <w:szCs w:val="20"/>
                <w:color w:val="auto"/>
              </w:rPr>
            </w:pPr>
            <w:r>
              <w:rPr>
                <w:rFonts w:ascii="Arial" w:cs="Arial" w:eastAsia="Arial" w:hAnsi="Arial"/>
                <w:sz w:val="18"/>
                <w:szCs w:val="18"/>
                <w:color w:val="auto"/>
              </w:rPr>
              <w:t>Tyler W. Johnson</w:t>
            </w:r>
          </w:p>
        </w:tc>
        <w:tc>
          <w:tcPr>
            <w:tcW w:w="8600" w:type="dxa"/>
            <w:vAlign w:val="bottom"/>
          </w:tcPr>
          <w:p>
            <w:pPr>
              <w:spacing w:after="0"/>
              <w:rPr>
                <w:sz w:val="20"/>
                <w:szCs w:val="20"/>
                <w:color w:val="auto"/>
              </w:rPr>
            </w:pPr>
            <w:r>
              <w:rPr>
                <w:rFonts w:ascii="Arial" w:cs="Arial" w:eastAsia="Arial" w:hAnsi="Arial"/>
                <w:sz w:val="18"/>
                <w:szCs w:val="18"/>
                <w:color w:val="auto"/>
              </w:rPr>
              <w:t>Senior Vice President and Treasurer</w:t>
            </w:r>
          </w:p>
        </w:tc>
      </w:tr>
      <w:tr>
        <w:trPr>
          <w:trHeight w:val="324"/>
        </w:trPr>
        <w:tc>
          <w:tcPr>
            <w:tcW w:w="2420" w:type="dxa"/>
            <w:vAlign w:val="bottom"/>
            <w:gridSpan w:val="2"/>
          </w:tcPr>
          <w:p>
            <w:pPr>
              <w:spacing w:after="0"/>
              <w:rPr>
                <w:sz w:val="20"/>
                <w:szCs w:val="20"/>
                <w:color w:val="auto"/>
              </w:rPr>
            </w:pPr>
            <w:r>
              <w:rPr>
                <w:rFonts w:ascii="Arial" w:cs="Arial" w:eastAsia="Arial" w:hAnsi="Arial"/>
                <w:sz w:val="18"/>
                <w:szCs w:val="18"/>
                <w:color w:val="auto"/>
              </w:rPr>
              <w:t>Richard J. Rothberg</w:t>
            </w:r>
          </w:p>
        </w:tc>
        <w:tc>
          <w:tcPr>
            <w:tcW w:w="8600" w:type="dxa"/>
            <w:vAlign w:val="bottom"/>
          </w:tcPr>
          <w:p>
            <w:pPr>
              <w:spacing w:after="0"/>
              <w:rPr>
                <w:sz w:val="20"/>
                <w:szCs w:val="20"/>
                <w:color w:val="auto"/>
              </w:rPr>
            </w:pPr>
            <w:r>
              <w:rPr>
                <w:rFonts w:ascii="Arial" w:cs="Arial" w:eastAsia="Arial" w:hAnsi="Arial"/>
                <w:sz w:val="18"/>
                <w:szCs w:val="18"/>
                <w:color w:val="auto"/>
              </w:rPr>
              <w:t>General Counsel and Secretary</w:t>
            </w:r>
          </w:p>
        </w:tc>
      </w:tr>
      <w:tr>
        <w:trPr>
          <w:trHeight w:val="324"/>
        </w:trPr>
        <w:tc>
          <w:tcPr>
            <w:tcW w:w="2420" w:type="dxa"/>
            <w:vAlign w:val="bottom"/>
            <w:gridSpan w:val="2"/>
          </w:tcPr>
          <w:p>
            <w:pPr>
              <w:spacing w:after="0"/>
              <w:rPr>
                <w:sz w:val="20"/>
                <w:szCs w:val="20"/>
                <w:color w:val="auto"/>
              </w:rPr>
            </w:pPr>
            <w:r>
              <w:rPr>
                <w:rFonts w:ascii="Arial" w:cs="Arial" w:eastAsia="Arial" w:hAnsi="Arial"/>
                <w:sz w:val="18"/>
                <w:szCs w:val="18"/>
                <w:color w:val="auto"/>
              </w:rPr>
              <w:t>Thomas W. Sweet</w:t>
            </w:r>
          </w:p>
        </w:tc>
        <w:tc>
          <w:tcPr>
            <w:tcW w:w="86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324"/>
        </w:trPr>
        <w:tc>
          <w:tcPr>
            <w:tcW w:w="2420" w:type="dxa"/>
            <w:vAlign w:val="bottom"/>
            <w:gridSpan w:val="2"/>
          </w:tcPr>
          <w:p>
            <w:pPr>
              <w:spacing w:after="0"/>
              <w:rPr>
                <w:sz w:val="20"/>
                <w:szCs w:val="20"/>
                <w:color w:val="auto"/>
              </w:rPr>
            </w:pPr>
            <w:r>
              <w:rPr>
                <w:rFonts w:ascii="Arial" w:cs="Arial" w:eastAsia="Arial" w:hAnsi="Arial"/>
                <w:sz w:val="18"/>
                <w:szCs w:val="18"/>
                <w:color w:val="auto"/>
              </w:rPr>
              <w:t>Robert L. Potts</w:t>
            </w:r>
          </w:p>
        </w:tc>
        <w:tc>
          <w:tcPr>
            <w:tcW w:w="8600" w:type="dxa"/>
            <w:vAlign w:val="bottom"/>
          </w:tcPr>
          <w:p>
            <w:pPr>
              <w:spacing w:after="0"/>
              <w:rPr>
                <w:sz w:val="20"/>
                <w:szCs w:val="20"/>
                <w:color w:val="auto"/>
              </w:rPr>
            </w:pPr>
            <w:r>
              <w:rPr>
                <w:rFonts w:ascii="Arial" w:cs="Arial" w:eastAsia="Arial" w:hAnsi="Arial"/>
                <w:sz w:val="18"/>
                <w:szCs w:val="18"/>
                <w:color w:val="auto"/>
              </w:rPr>
              <w:t>Senior Vice President and Assistant Secretary</w:t>
            </w:r>
          </w:p>
        </w:tc>
      </w:tr>
      <w:tr>
        <w:trPr>
          <w:trHeight w:val="324"/>
        </w:trPr>
        <w:tc>
          <w:tcPr>
            <w:tcW w:w="2420" w:type="dxa"/>
            <w:vAlign w:val="bottom"/>
            <w:gridSpan w:val="2"/>
          </w:tcPr>
          <w:p>
            <w:pPr>
              <w:spacing w:after="0"/>
              <w:rPr>
                <w:sz w:val="20"/>
                <w:szCs w:val="20"/>
                <w:color w:val="auto"/>
              </w:rPr>
            </w:pPr>
            <w:r>
              <w:rPr>
                <w:rFonts w:ascii="Arial" w:cs="Arial" w:eastAsia="Arial" w:hAnsi="Arial"/>
                <w:sz w:val="18"/>
                <w:szCs w:val="18"/>
                <w:color w:val="auto"/>
              </w:rPr>
              <w:t>Tom Vallone</w:t>
            </w:r>
          </w:p>
        </w:tc>
        <w:tc>
          <w:tcPr>
            <w:tcW w:w="8600" w:type="dxa"/>
            <w:vAlign w:val="bottom"/>
          </w:tcPr>
          <w:p>
            <w:pPr>
              <w:spacing w:after="0"/>
              <w:rPr>
                <w:sz w:val="20"/>
                <w:szCs w:val="20"/>
                <w:color w:val="auto"/>
              </w:rPr>
            </w:pPr>
            <w:r>
              <w:rPr>
                <w:rFonts w:ascii="Arial" w:cs="Arial" w:eastAsia="Arial" w:hAnsi="Arial"/>
                <w:sz w:val="18"/>
                <w:szCs w:val="18"/>
                <w:color w:val="auto"/>
              </w:rPr>
              <w:t>Senior Vice President, Tax</w:t>
            </w:r>
          </w:p>
        </w:tc>
      </w:tr>
      <w:tr>
        <w:trPr>
          <w:trHeight w:val="324"/>
        </w:trPr>
        <w:tc>
          <w:tcPr>
            <w:tcW w:w="2420" w:type="dxa"/>
            <w:vAlign w:val="bottom"/>
            <w:gridSpan w:val="2"/>
          </w:tcPr>
          <w:p>
            <w:pPr>
              <w:spacing w:after="0"/>
              <w:rPr>
                <w:sz w:val="20"/>
                <w:szCs w:val="20"/>
                <w:color w:val="auto"/>
              </w:rPr>
            </w:pPr>
            <w:r>
              <w:rPr>
                <w:rFonts w:ascii="Arial" w:cs="Arial" w:eastAsia="Arial" w:hAnsi="Arial"/>
                <w:sz w:val="18"/>
                <w:szCs w:val="18"/>
                <w:color w:val="auto"/>
              </w:rPr>
              <w:t>Brunilda Rios</w:t>
            </w:r>
          </w:p>
        </w:tc>
        <w:tc>
          <w:tcPr>
            <w:tcW w:w="8600" w:type="dxa"/>
            <w:vAlign w:val="bottom"/>
          </w:tcPr>
          <w:p>
            <w:pPr>
              <w:spacing w:after="0"/>
              <w:rPr>
                <w:sz w:val="20"/>
                <w:szCs w:val="20"/>
                <w:color w:val="auto"/>
              </w:rPr>
            </w:pPr>
            <w:r>
              <w:rPr>
                <w:rFonts w:ascii="Arial" w:cs="Arial" w:eastAsia="Arial" w:hAnsi="Arial"/>
                <w:sz w:val="18"/>
                <w:szCs w:val="18"/>
                <w:color w:val="auto"/>
              </w:rPr>
              <w:t>Senior Vice President and Chief Accounting Officer</w:t>
            </w:r>
          </w:p>
        </w:tc>
      </w:tr>
    </w:tbl>
    <w:p>
      <w:pPr>
        <w:sectPr>
          <w:pgSz w:w="11900" w:h="16838" w:orient="portrait"/>
          <w:cols w:equalWidth="0" w:num="1">
            <w:col w:w="11020"/>
          </w:cols>
          <w:pgMar w:left="440" w:top="274" w:right="4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VMW HOLDCO LLC</w:t>
      </w:r>
    </w:p>
    <w:p>
      <w:pPr>
        <w:spacing w:after="0" w:line="225"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The following sets forth the name, position and principal occupation of each director and executive officer of VMW Holdco LLC. Each such person is a citizen of the United States. The business address of each director and executive officer is c/o Dell Technologies Inc., One Dell Way, Round Rock, Texas 78682. To the best of Dell Technologies Inc.’s knowledge, other than Mr. Dell, who is a Reporting Person in this Schedule 13D, none of the directors or executive officers of VMW Holdco LLC beneficially owns any shares of Class A Common Stock of the Issuer. Except as otherwise indicated, the principal occupation of each of the individuals named below is as an officer or executive officer of Dell Technologies Inc. under the titled listed.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420" w:type="dxa"/>
            <w:vAlign w:val="bottom"/>
            <w:gridSpan w:val="2"/>
          </w:tcPr>
          <w:p>
            <w:pPr>
              <w:spacing w:after="0"/>
              <w:rPr>
                <w:sz w:val="20"/>
                <w:szCs w:val="20"/>
                <w:color w:val="auto"/>
              </w:rPr>
            </w:pPr>
            <w:r>
              <w:rPr>
                <w:rFonts w:ascii="Arial" w:cs="Arial" w:eastAsia="Arial" w:hAnsi="Arial"/>
                <w:sz w:val="14"/>
                <w:szCs w:val="14"/>
                <w:b w:val="1"/>
                <w:bCs w:val="1"/>
                <w:color w:val="auto"/>
              </w:rPr>
              <w:t>Directors</w:t>
            </w:r>
          </w:p>
        </w:tc>
        <w:tc>
          <w:tcPr>
            <w:tcW w:w="8600" w:type="dxa"/>
            <w:vAlign w:val="bottom"/>
          </w:tcPr>
          <w:p>
            <w:pPr>
              <w:ind w:left="3640"/>
              <w:spacing w:after="0"/>
              <w:rPr>
                <w:sz w:val="20"/>
                <w:szCs w:val="20"/>
                <w:color w:val="auto"/>
              </w:rPr>
            </w:pPr>
            <w:r>
              <w:rPr>
                <w:rFonts w:ascii="Arial" w:cs="Arial" w:eastAsia="Arial" w:hAnsi="Arial"/>
                <w:sz w:val="14"/>
                <w:szCs w:val="14"/>
                <w:b w:val="1"/>
                <w:bCs w:val="1"/>
                <w:color w:val="auto"/>
              </w:rPr>
              <w:t>Principal Occupation</w:t>
            </w:r>
          </w:p>
        </w:tc>
      </w:tr>
      <w:tr>
        <w:trPr>
          <w:trHeight w:val="224"/>
        </w:trPr>
        <w:tc>
          <w:tcPr>
            <w:tcW w:w="2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Robert L. Potts</w:t>
            </w:r>
          </w:p>
        </w:tc>
        <w:tc>
          <w:tcPr>
            <w:tcW w:w="220" w:type="dxa"/>
            <w:vAlign w:val="bottom"/>
          </w:tcPr>
          <w:p>
            <w:pPr>
              <w:spacing w:after="0"/>
              <w:rPr>
                <w:sz w:val="19"/>
                <w:szCs w:val="19"/>
                <w:color w:val="auto"/>
              </w:rPr>
            </w:pPr>
          </w:p>
        </w:tc>
        <w:tc>
          <w:tcPr>
            <w:tcW w:w="8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Senior Vice President, Corporate Securities &amp; Finance Counsel</w:t>
            </w:r>
          </w:p>
        </w:tc>
      </w:tr>
      <w:tr>
        <w:trPr>
          <w:trHeight w:val="310"/>
        </w:trPr>
        <w:tc>
          <w:tcPr>
            <w:tcW w:w="2420" w:type="dxa"/>
            <w:vAlign w:val="bottom"/>
            <w:gridSpan w:val="2"/>
          </w:tcPr>
          <w:p>
            <w:pPr>
              <w:spacing w:after="0"/>
              <w:rPr>
                <w:sz w:val="20"/>
                <w:szCs w:val="20"/>
                <w:color w:val="auto"/>
              </w:rPr>
            </w:pPr>
            <w:r>
              <w:rPr>
                <w:rFonts w:ascii="Arial" w:cs="Arial" w:eastAsia="Arial" w:hAnsi="Arial"/>
                <w:sz w:val="18"/>
                <w:szCs w:val="18"/>
                <w:color w:val="auto"/>
              </w:rPr>
              <w:t>Michelle A. Dryer</w:t>
            </w:r>
          </w:p>
        </w:tc>
        <w:tc>
          <w:tcPr>
            <w:tcW w:w="8600" w:type="dxa"/>
            <w:vAlign w:val="bottom"/>
          </w:tcPr>
          <w:p>
            <w:pPr>
              <w:spacing w:after="0"/>
              <w:rPr>
                <w:sz w:val="20"/>
                <w:szCs w:val="20"/>
                <w:color w:val="auto"/>
              </w:rPr>
            </w:pPr>
            <w:r>
              <w:rPr>
                <w:rFonts w:ascii="Arial" w:cs="Arial" w:eastAsia="Arial" w:hAnsi="Arial"/>
                <w:sz w:val="18"/>
                <w:szCs w:val="18"/>
                <w:color w:val="auto"/>
              </w:rPr>
              <w:t>Independent Director</w:t>
            </w:r>
          </w:p>
        </w:tc>
      </w:tr>
      <w:tr>
        <w:trPr>
          <w:trHeight w:val="378"/>
        </w:trPr>
        <w:tc>
          <w:tcPr>
            <w:tcW w:w="2420" w:type="dxa"/>
            <w:vAlign w:val="bottom"/>
            <w:gridSpan w:val="2"/>
          </w:tcPr>
          <w:p>
            <w:pPr>
              <w:spacing w:after="0"/>
              <w:rPr>
                <w:sz w:val="20"/>
                <w:szCs w:val="20"/>
                <w:color w:val="auto"/>
              </w:rPr>
            </w:pPr>
            <w:r>
              <w:rPr>
                <w:rFonts w:ascii="Arial" w:cs="Arial" w:eastAsia="Arial" w:hAnsi="Arial"/>
                <w:sz w:val="14"/>
                <w:szCs w:val="14"/>
                <w:b w:val="1"/>
                <w:bCs w:val="1"/>
                <w:color w:val="auto"/>
              </w:rPr>
              <w:t>Executive Officers</w:t>
            </w:r>
          </w:p>
        </w:tc>
        <w:tc>
          <w:tcPr>
            <w:tcW w:w="8600" w:type="dxa"/>
            <w:vAlign w:val="bottom"/>
          </w:tcPr>
          <w:p>
            <w:pPr>
              <w:ind w:left="4160"/>
              <w:spacing w:after="0"/>
              <w:rPr>
                <w:sz w:val="20"/>
                <w:szCs w:val="20"/>
                <w:color w:val="auto"/>
              </w:rPr>
            </w:pPr>
            <w:r>
              <w:rPr>
                <w:rFonts w:ascii="Arial" w:cs="Arial" w:eastAsia="Arial" w:hAnsi="Arial"/>
                <w:sz w:val="14"/>
                <w:szCs w:val="14"/>
                <w:b w:val="1"/>
                <w:bCs w:val="1"/>
                <w:color w:val="auto"/>
              </w:rPr>
              <w:t>Title</w:t>
            </w:r>
          </w:p>
        </w:tc>
      </w:tr>
      <w:tr>
        <w:trPr>
          <w:trHeight w:val="224"/>
        </w:trPr>
        <w:tc>
          <w:tcPr>
            <w:tcW w:w="2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Michael S. Dell</w:t>
            </w:r>
          </w:p>
        </w:tc>
        <w:tc>
          <w:tcPr>
            <w:tcW w:w="220" w:type="dxa"/>
            <w:vAlign w:val="bottom"/>
          </w:tcPr>
          <w:p>
            <w:pPr>
              <w:spacing w:after="0"/>
              <w:rPr>
                <w:sz w:val="19"/>
                <w:szCs w:val="19"/>
                <w:color w:val="auto"/>
              </w:rPr>
            </w:pPr>
          </w:p>
        </w:tc>
        <w:tc>
          <w:tcPr>
            <w:tcW w:w="8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Chief Executive Officer and Chairman</w:t>
            </w:r>
          </w:p>
        </w:tc>
      </w:tr>
      <w:tr>
        <w:trPr>
          <w:trHeight w:val="310"/>
        </w:trPr>
        <w:tc>
          <w:tcPr>
            <w:tcW w:w="2420" w:type="dxa"/>
            <w:vAlign w:val="bottom"/>
            <w:gridSpan w:val="2"/>
          </w:tcPr>
          <w:p>
            <w:pPr>
              <w:spacing w:after="0"/>
              <w:rPr>
                <w:sz w:val="20"/>
                <w:szCs w:val="20"/>
                <w:color w:val="auto"/>
              </w:rPr>
            </w:pPr>
            <w:r>
              <w:rPr>
                <w:rFonts w:ascii="Arial" w:cs="Arial" w:eastAsia="Arial" w:hAnsi="Arial"/>
                <w:sz w:val="18"/>
                <w:szCs w:val="18"/>
                <w:color w:val="auto"/>
              </w:rPr>
              <w:t>Tyler W. Johnson</w:t>
            </w:r>
          </w:p>
        </w:tc>
        <w:tc>
          <w:tcPr>
            <w:tcW w:w="8600" w:type="dxa"/>
            <w:vAlign w:val="bottom"/>
          </w:tcPr>
          <w:p>
            <w:pPr>
              <w:spacing w:after="0"/>
              <w:rPr>
                <w:sz w:val="20"/>
                <w:szCs w:val="20"/>
                <w:color w:val="auto"/>
              </w:rPr>
            </w:pPr>
            <w:r>
              <w:rPr>
                <w:rFonts w:ascii="Arial" w:cs="Arial" w:eastAsia="Arial" w:hAnsi="Arial"/>
                <w:sz w:val="18"/>
                <w:szCs w:val="18"/>
                <w:color w:val="auto"/>
              </w:rPr>
              <w:t>Senior Vice President and Treasurer</w:t>
            </w:r>
          </w:p>
        </w:tc>
      </w:tr>
      <w:tr>
        <w:trPr>
          <w:trHeight w:val="324"/>
        </w:trPr>
        <w:tc>
          <w:tcPr>
            <w:tcW w:w="2420" w:type="dxa"/>
            <w:vAlign w:val="bottom"/>
            <w:gridSpan w:val="2"/>
          </w:tcPr>
          <w:p>
            <w:pPr>
              <w:spacing w:after="0"/>
              <w:rPr>
                <w:sz w:val="20"/>
                <w:szCs w:val="20"/>
                <w:color w:val="auto"/>
              </w:rPr>
            </w:pPr>
            <w:r>
              <w:rPr>
                <w:rFonts w:ascii="Arial" w:cs="Arial" w:eastAsia="Arial" w:hAnsi="Arial"/>
                <w:sz w:val="18"/>
                <w:szCs w:val="18"/>
                <w:color w:val="auto"/>
              </w:rPr>
              <w:t>Richard J. Rothberg</w:t>
            </w:r>
          </w:p>
        </w:tc>
        <w:tc>
          <w:tcPr>
            <w:tcW w:w="8600" w:type="dxa"/>
            <w:vAlign w:val="bottom"/>
          </w:tcPr>
          <w:p>
            <w:pPr>
              <w:spacing w:after="0"/>
              <w:rPr>
                <w:sz w:val="20"/>
                <w:szCs w:val="20"/>
                <w:color w:val="auto"/>
              </w:rPr>
            </w:pPr>
            <w:r>
              <w:rPr>
                <w:rFonts w:ascii="Arial" w:cs="Arial" w:eastAsia="Arial" w:hAnsi="Arial"/>
                <w:sz w:val="18"/>
                <w:szCs w:val="18"/>
                <w:color w:val="auto"/>
              </w:rPr>
              <w:t>General Counsel and Secretary</w:t>
            </w:r>
          </w:p>
        </w:tc>
      </w:tr>
      <w:tr>
        <w:trPr>
          <w:trHeight w:val="324"/>
        </w:trPr>
        <w:tc>
          <w:tcPr>
            <w:tcW w:w="2420" w:type="dxa"/>
            <w:vAlign w:val="bottom"/>
            <w:gridSpan w:val="2"/>
          </w:tcPr>
          <w:p>
            <w:pPr>
              <w:spacing w:after="0"/>
              <w:rPr>
                <w:sz w:val="20"/>
                <w:szCs w:val="20"/>
                <w:color w:val="auto"/>
              </w:rPr>
            </w:pPr>
            <w:r>
              <w:rPr>
                <w:rFonts w:ascii="Arial" w:cs="Arial" w:eastAsia="Arial" w:hAnsi="Arial"/>
                <w:sz w:val="18"/>
                <w:szCs w:val="18"/>
                <w:color w:val="auto"/>
              </w:rPr>
              <w:t>Thomas W. Sweet</w:t>
            </w:r>
          </w:p>
        </w:tc>
        <w:tc>
          <w:tcPr>
            <w:tcW w:w="86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324"/>
        </w:trPr>
        <w:tc>
          <w:tcPr>
            <w:tcW w:w="2420" w:type="dxa"/>
            <w:vAlign w:val="bottom"/>
            <w:gridSpan w:val="2"/>
          </w:tcPr>
          <w:p>
            <w:pPr>
              <w:spacing w:after="0"/>
              <w:rPr>
                <w:sz w:val="20"/>
                <w:szCs w:val="20"/>
                <w:color w:val="auto"/>
              </w:rPr>
            </w:pPr>
            <w:r>
              <w:rPr>
                <w:rFonts w:ascii="Arial" w:cs="Arial" w:eastAsia="Arial" w:hAnsi="Arial"/>
                <w:sz w:val="18"/>
                <w:szCs w:val="18"/>
                <w:color w:val="auto"/>
              </w:rPr>
              <w:t>Robert L. Potts</w:t>
            </w:r>
          </w:p>
        </w:tc>
        <w:tc>
          <w:tcPr>
            <w:tcW w:w="8600" w:type="dxa"/>
            <w:vAlign w:val="bottom"/>
          </w:tcPr>
          <w:p>
            <w:pPr>
              <w:spacing w:after="0"/>
              <w:rPr>
                <w:sz w:val="20"/>
                <w:szCs w:val="20"/>
                <w:color w:val="auto"/>
              </w:rPr>
            </w:pPr>
            <w:r>
              <w:rPr>
                <w:rFonts w:ascii="Arial" w:cs="Arial" w:eastAsia="Arial" w:hAnsi="Arial"/>
                <w:sz w:val="18"/>
                <w:szCs w:val="18"/>
                <w:color w:val="auto"/>
              </w:rPr>
              <w:t>Senior Vice President and Assistant Secretary</w:t>
            </w:r>
          </w:p>
        </w:tc>
      </w:tr>
      <w:tr>
        <w:trPr>
          <w:trHeight w:val="324"/>
        </w:trPr>
        <w:tc>
          <w:tcPr>
            <w:tcW w:w="2420" w:type="dxa"/>
            <w:vAlign w:val="bottom"/>
            <w:gridSpan w:val="2"/>
          </w:tcPr>
          <w:p>
            <w:pPr>
              <w:spacing w:after="0"/>
              <w:rPr>
                <w:sz w:val="20"/>
                <w:szCs w:val="20"/>
                <w:color w:val="auto"/>
              </w:rPr>
            </w:pPr>
            <w:r>
              <w:rPr>
                <w:rFonts w:ascii="Arial" w:cs="Arial" w:eastAsia="Arial" w:hAnsi="Arial"/>
                <w:sz w:val="18"/>
                <w:szCs w:val="18"/>
                <w:color w:val="auto"/>
              </w:rPr>
              <w:t>Tom Vallone</w:t>
            </w:r>
          </w:p>
        </w:tc>
        <w:tc>
          <w:tcPr>
            <w:tcW w:w="8600" w:type="dxa"/>
            <w:vAlign w:val="bottom"/>
          </w:tcPr>
          <w:p>
            <w:pPr>
              <w:spacing w:after="0"/>
              <w:rPr>
                <w:sz w:val="20"/>
                <w:szCs w:val="20"/>
                <w:color w:val="auto"/>
              </w:rPr>
            </w:pPr>
            <w:r>
              <w:rPr>
                <w:rFonts w:ascii="Arial" w:cs="Arial" w:eastAsia="Arial" w:hAnsi="Arial"/>
                <w:sz w:val="18"/>
                <w:szCs w:val="18"/>
                <w:color w:val="auto"/>
              </w:rPr>
              <w:t>Senior Vice President, Tax</w:t>
            </w:r>
          </w:p>
        </w:tc>
      </w:tr>
      <w:tr>
        <w:trPr>
          <w:trHeight w:val="324"/>
        </w:trPr>
        <w:tc>
          <w:tcPr>
            <w:tcW w:w="2420" w:type="dxa"/>
            <w:vAlign w:val="bottom"/>
            <w:gridSpan w:val="2"/>
          </w:tcPr>
          <w:p>
            <w:pPr>
              <w:spacing w:after="0"/>
              <w:rPr>
                <w:sz w:val="20"/>
                <w:szCs w:val="20"/>
                <w:color w:val="auto"/>
              </w:rPr>
            </w:pPr>
            <w:r>
              <w:rPr>
                <w:rFonts w:ascii="Arial" w:cs="Arial" w:eastAsia="Arial" w:hAnsi="Arial"/>
                <w:sz w:val="18"/>
                <w:szCs w:val="18"/>
                <w:color w:val="auto"/>
              </w:rPr>
              <w:t>Brunilda Rios</w:t>
            </w:r>
          </w:p>
        </w:tc>
        <w:tc>
          <w:tcPr>
            <w:tcW w:w="8600" w:type="dxa"/>
            <w:vAlign w:val="bottom"/>
          </w:tcPr>
          <w:p>
            <w:pPr>
              <w:spacing w:after="0"/>
              <w:rPr>
                <w:sz w:val="20"/>
                <w:szCs w:val="20"/>
                <w:color w:val="auto"/>
              </w:rPr>
            </w:pPr>
            <w:r>
              <w:rPr>
                <w:rFonts w:ascii="Arial" w:cs="Arial" w:eastAsia="Arial" w:hAnsi="Arial"/>
                <w:sz w:val="18"/>
                <w:szCs w:val="18"/>
                <w:color w:val="auto"/>
              </w:rPr>
              <w:t>Senior Vice President and Chief Accounting Officer</w:t>
            </w:r>
          </w:p>
        </w:tc>
      </w:tr>
    </w:tbl>
    <w:p>
      <w:pPr>
        <w:sectPr>
          <w:pgSz w:w="11900" w:h="16838" w:orient="portrait"/>
          <w:cols w:equalWidth="0" w:num="1">
            <w:col w:w="11020"/>
          </w:cols>
          <w:pgMar w:left="440" w:top="274" w:right="43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4</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MANAGER AND EXECUTIVE OFFICERS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EMC EQUITY ASSETS LLC</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following sets forth the name, position and principal occupation of each manager and executive officer of EMC Equity Assets LLC. Each such person is a citizen of the United States. The business address of each manager and executive officer is c/o Dell Technologies Inc., One Dell Way, Round Rock, Texas 78682. To the best of Dell Technologies Inc.’s knowledge, other than Mr. Dell, who is a Reporting Person in this Schedule 13D, none of the managers or executive officers of EMC Equity Assets LLC beneficially owns any shares of Class A Common Stock of the Issuer.</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420" w:type="dxa"/>
            <w:vAlign w:val="bottom"/>
            <w:gridSpan w:val="2"/>
          </w:tcPr>
          <w:p>
            <w:pPr>
              <w:spacing w:after="0"/>
              <w:rPr>
                <w:sz w:val="20"/>
                <w:szCs w:val="20"/>
                <w:color w:val="auto"/>
              </w:rPr>
            </w:pPr>
            <w:r>
              <w:rPr>
                <w:rFonts w:ascii="Arial" w:cs="Arial" w:eastAsia="Arial" w:hAnsi="Arial"/>
                <w:sz w:val="14"/>
                <w:szCs w:val="14"/>
                <w:b w:val="1"/>
                <w:bCs w:val="1"/>
                <w:color w:val="auto"/>
              </w:rPr>
              <w:t>Manager</w:t>
            </w:r>
          </w:p>
        </w:tc>
        <w:tc>
          <w:tcPr>
            <w:tcW w:w="8600" w:type="dxa"/>
            <w:vAlign w:val="bottom"/>
          </w:tcPr>
          <w:p>
            <w:pPr>
              <w:ind w:left="3640"/>
              <w:spacing w:after="0"/>
              <w:rPr>
                <w:sz w:val="20"/>
                <w:szCs w:val="20"/>
                <w:color w:val="auto"/>
              </w:rPr>
            </w:pPr>
            <w:r>
              <w:rPr>
                <w:rFonts w:ascii="Arial" w:cs="Arial" w:eastAsia="Arial" w:hAnsi="Arial"/>
                <w:sz w:val="14"/>
                <w:szCs w:val="14"/>
                <w:b w:val="1"/>
                <w:bCs w:val="1"/>
                <w:color w:val="auto"/>
              </w:rPr>
              <w:t>Principal Occupation</w:t>
            </w:r>
          </w:p>
        </w:tc>
      </w:tr>
      <w:tr>
        <w:trPr>
          <w:trHeight w:val="224"/>
        </w:trPr>
        <w:tc>
          <w:tcPr>
            <w:tcW w:w="2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Robert L. Potts</w:t>
            </w:r>
          </w:p>
        </w:tc>
        <w:tc>
          <w:tcPr>
            <w:tcW w:w="220" w:type="dxa"/>
            <w:vAlign w:val="bottom"/>
          </w:tcPr>
          <w:p>
            <w:pPr>
              <w:spacing w:after="0"/>
              <w:rPr>
                <w:sz w:val="19"/>
                <w:szCs w:val="19"/>
                <w:color w:val="auto"/>
              </w:rPr>
            </w:pPr>
          </w:p>
        </w:tc>
        <w:tc>
          <w:tcPr>
            <w:tcW w:w="8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Senior Vice President and Assistant Secretary</w:t>
            </w:r>
          </w:p>
        </w:tc>
      </w:tr>
      <w:tr>
        <w:trPr>
          <w:trHeight w:val="364"/>
        </w:trPr>
        <w:tc>
          <w:tcPr>
            <w:tcW w:w="2420" w:type="dxa"/>
            <w:vAlign w:val="bottom"/>
            <w:gridSpan w:val="2"/>
          </w:tcPr>
          <w:p>
            <w:pPr>
              <w:spacing w:after="0"/>
              <w:rPr>
                <w:sz w:val="20"/>
                <w:szCs w:val="20"/>
                <w:color w:val="auto"/>
              </w:rPr>
            </w:pPr>
            <w:r>
              <w:rPr>
                <w:rFonts w:ascii="Arial" w:cs="Arial" w:eastAsia="Arial" w:hAnsi="Arial"/>
                <w:sz w:val="14"/>
                <w:szCs w:val="14"/>
                <w:b w:val="1"/>
                <w:bCs w:val="1"/>
                <w:color w:val="auto"/>
              </w:rPr>
              <w:t>Executive Officers</w:t>
            </w:r>
          </w:p>
        </w:tc>
        <w:tc>
          <w:tcPr>
            <w:tcW w:w="8600" w:type="dxa"/>
            <w:vAlign w:val="bottom"/>
          </w:tcPr>
          <w:p>
            <w:pPr>
              <w:ind w:left="4160"/>
              <w:spacing w:after="0"/>
              <w:rPr>
                <w:sz w:val="20"/>
                <w:szCs w:val="20"/>
                <w:color w:val="auto"/>
              </w:rPr>
            </w:pPr>
            <w:r>
              <w:rPr>
                <w:rFonts w:ascii="Arial" w:cs="Arial" w:eastAsia="Arial" w:hAnsi="Arial"/>
                <w:sz w:val="14"/>
                <w:szCs w:val="14"/>
                <w:b w:val="1"/>
                <w:bCs w:val="1"/>
                <w:color w:val="auto"/>
              </w:rPr>
              <w:t>Title</w:t>
            </w:r>
          </w:p>
        </w:tc>
      </w:tr>
      <w:tr>
        <w:trPr>
          <w:trHeight w:val="224"/>
        </w:trPr>
        <w:tc>
          <w:tcPr>
            <w:tcW w:w="2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Michael S. Dell</w:t>
            </w:r>
          </w:p>
        </w:tc>
        <w:tc>
          <w:tcPr>
            <w:tcW w:w="220" w:type="dxa"/>
            <w:vAlign w:val="bottom"/>
          </w:tcPr>
          <w:p>
            <w:pPr>
              <w:spacing w:after="0"/>
              <w:rPr>
                <w:sz w:val="19"/>
                <w:szCs w:val="19"/>
                <w:color w:val="auto"/>
              </w:rPr>
            </w:pPr>
          </w:p>
        </w:tc>
        <w:tc>
          <w:tcPr>
            <w:tcW w:w="8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Chief Executive Officer and Chairman</w:t>
            </w:r>
          </w:p>
        </w:tc>
      </w:tr>
      <w:tr>
        <w:trPr>
          <w:trHeight w:val="310"/>
        </w:trPr>
        <w:tc>
          <w:tcPr>
            <w:tcW w:w="2420" w:type="dxa"/>
            <w:vAlign w:val="bottom"/>
            <w:gridSpan w:val="2"/>
          </w:tcPr>
          <w:p>
            <w:pPr>
              <w:spacing w:after="0"/>
              <w:rPr>
                <w:sz w:val="20"/>
                <w:szCs w:val="20"/>
                <w:color w:val="auto"/>
              </w:rPr>
            </w:pPr>
            <w:r>
              <w:rPr>
                <w:rFonts w:ascii="Arial" w:cs="Arial" w:eastAsia="Arial" w:hAnsi="Arial"/>
                <w:sz w:val="18"/>
                <w:szCs w:val="18"/>
                <w:color w:val="auto"/>
              </w:rPr>
              <w:t>Tyler W. Johnson</w:t>
            </w:r>
          </w:p>
        </w:tc>
        <w:tc>
          <w:tcPr>
            <w:tcW w:w="8600" w:type="dxa"/>
            <w:vAlign w:val="bottom"/>
          </w:tcPr>
          <w:p>
            <w:pPr>
              <w:spacing w:after="0"/>
              <w:rPr>
                <w:sz w:val="20"/>
                <w:szCs w:val="20"/>
                <w:color w:val="auto"/>
              </w:rPr>
            </w:pPr>
            <w:r>
              <w:rPr>
                <w:rFonts w:ascii="Arial" w:cs="Arial" w:eastAsia="Arial" w:hAnsi="Arial"/>
                <w:sz w:val="18"/>
                <w:szCs w:val="18"/>
                <w:color w:val="auto"/>
              </w:rPr>
              <w:t>Senior Vice President and Treasurer</w:t>
            </w:r>
          </w:p>
        </w:tc>
      </w:tr>
      <w:tr>
        <w:trPr>
          <w:trHeight w:val="324"/>
        </w:trPr>
        <w:tc>
          <w:tcPr>
            <w:tcW w:w="2420" w:type="dxa"/>
            <w:vAlign w:val="bottom"/>
            <w:gridSpan w:val="2"/>
          </w:tcPr>
          <w:p>
            <w:pPr>
              <w:spacing w:after="0"/>
              <w:rPr>
                <w:sz w:val="20"/>
                <w:szCs w:val="20"/>
                <w:color w:val="auto"/>
              </w:rPr>
            </w:pPr>
            <w:r>
              <w:rPr>
                <w:rFonts w:ascii="Arial" w:cs="Arial" w:eastAsia="Arial" w:hAnsi="Arial"/>
                <w:sz w:val="18"/>
                <w:szCs w:val="18"/>
                <w:color w:val="auto"/>
              </w:rPr>
              <w:t>Richard J. Rothberg</w:t>
            </w:r>
          </w:p>
        </w:tc>
        <w:tc>
          <w:tcPr>
            <w:tcW w:w="8600" w:type="dxa"/>
            <w:vAlign w:val="bottom"/>
          </w:tcPr>
          <w:p>
            <w:pPr>
              <w:spacing w:after="0"/>
              <w:rPr>
                <w:sz w:val="20"/>
                <w:szCs w:val="20"/>
                <w:color w:val="auto"/>
              </w:rPr>
            </w:pPr>
            <w:r>
              <w:rPr>
                <w:rFonts w:ascii="Arial" w:cs="Arial" w:eastAsia="Arial" w:hAnsi="Arial"/>
                <w:sz w:val="18"/>
                <w:szCs w:val="18"/>
                <w:color w:val="auto"/>
              </w:rPr>
              <w:t>General Counsel and Secretary</w:t>
            </w:r>
          </w:p>
        </w:tc>
      </w:tr>
      <w:tr>
        <w:trPr>
          <w:trHeight w:val="324"/>
        </w:trPr>
        <w:tc>
          <w:tcPr>
            <w:tcW w:w="2420" w:type="dxa"/>
            <w:vAlign w:val="bottom"/>
            <w:gridSpan w:val="2"/>
          </w:tcPr>
          <w:p>
            <w:pPr>
              <w:spacing w:after="0"/>
              <w:rPr>
                <w:sz w:val="20"/>
                <w:szCs w:val="20"/>
                <w:color w:val="auto"/>
              </w:rPr>
            </w:pPr>
            <w:r>
              <w:rPr>
                <w:rFonts w:ascii="Arial" w:cs="Arial" w:eastAsia="Arial" w:hAnsi="Arial"/>
                <w:sz w:val="18"/>
                <w:szCs w:val="18"/>
                <w:color w:val="auto"/>
              </w:rPr>
              <w:t>Thomas W. Sweet</w:t>
            </w:r>
          </w:p>
        </w:tc>
        <w:tc>
          <w:tcPr>
            <w:tcW w:w="86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324"/>
        </w:trPr>
        <w:tc>
          <w:tcPr>
            <w:tcW w:w="2420" w:type="dxa"/>
            <w:vAlign w:val="bottom"/>
            <w:gridSpan w:val="2"/>
          </w:tcPr>
          <w:p>
            <w:pPr>
              <w:spacing w:after="0"/>
              <w:rPr>
                <w:sz w:val="20"/>
                <w:szCs w:val="20"/>
                <w:color w:val="auto"/>
              </w:rPr>
            </w:pPr>
            <w:r>
              <w:rPr>
                <w:rFonts w:ascii="Arial" w:cs="Arial" w:eastAsia="Arial" w:hAnsi="Arial"/>
                <w:sz w:val="18"/>
                <w:szCs w:val="18"/>
                <w:color w:val="auto"/>
              </w:rPr>
              <w:t>Robert L. Potts</w:t>
            </w:r>
          </w:p>
        </w:tc>
        <w:tc>
          <w:tcPr>
            <w:tcW w:w="8600" w:type="dxa"/>
            <w:vAlign w:val="bottom"/>
          </w:tcPr>
          <w:p>
            <w:pPr>
              <w:spacing w:after="0"/>
              <w:rPr>
                <w:sz w:val="20"/>
                <w:szCs w:val="20"/>
                <w:color w:val="auto"/>
              </w:rPr>
            </w:pPr>
            <w:r>
              <w:rPr>
                <w:rFonts w:ascii="Arial" w:cs="Arial" w:eastAsia="Arial" w:hAnsi="Arial"/>
                <w:sz w:val="18"/>
                <w:szCs w:val="18"/>
                <w:color w:val="auto"/>
              </w:rPr>
              <w:t>Senior Vice President and Assistant Secretary</w:t>
            </w:r>
          </w:p>
        </w:tc>
      </w:tr>
      <w:tr>
        <w:trPr>
          <w:trHeight w:val="324"/>
        </w:trPr>
        <w:tc>
          <w:tcPr>
            <w:tcW w:w="2420" w:type="dxa"/>
            <w:vAlign w:val="bottom"/>
            <w:gridSpan w:val="2"/>
          </w:tcPr>
          <w:p>
            <w:pPr>
              <w:spacing w:after="0"/>
              <w:rPr>
                <w:sz w:val="20"/>
                <w:szCs w:val="20"/>
                <w:color w:val="auto"/>
              </w:rPr>
            </w:pPr>
            <w:r>
              <w:rPr>
                <w:rFonts w:ascii="Arial" w:cs="Arial" w:eastAsia="Arial" w:hAnsi="Arial"/>
                <w:sz w:val="18"/>
                <w:szCs w:val="18"/>
                <w:color w:val="auto"/>
              </w:rPr>
              <w:t>Tom Vallone</w:t>
            </w:r>
          </w:p>
        </w:tc>
        <w:tc>
          <w:tcPr>
            <w:tcW w:w="8600" w:type="dxa"/>
            <w:vAlign w:val="bottom"/>
          </w:tcPr>
          <w:p>
            <w:pPr>
              <w:spacing w:after="0"/>
              <w:rPr>
                <w:sz w:val="20"/>
                <w:szCs w:val="20"/>
                <w:color w:val="auto"/>
              </w:rPr>
            </w:pPr>
            <w:r>
              <w:rPr>
                <w:rFonts w:ascii="Arial" w:cs="Arial" w:eastAsia="Arial" w:hAnsi="Arial"/>
                <w:sz w:val="18"/>
                <w:szCs w:val="18"/>
                <w:color w:val="auto"/>
              </w:rPr>
              <w:t>Senior Vice President, Tax</w:t>
            </w:r>
          </w:p>
        </w:tc>
      </w:tr>
      <w:tr>
        <w:trPr>
          <w:trHeight w:val="324"/>
        </w:trPr>
        <w:tc>
          <w:tcPr>
            <w:tcW w:w="2420" w:type="dxa"/>
            <w:vAlign w:val="bottom"/>
            <w:gridSpan w:val="2"/>
          </w:tcPr>
          <w:p>
            <w:pPr>
              <w:spacing w:after="0"/>
              <w:rPr>
                <w:sz w:val="20"/>
                <w:szCs w:val="20"/>
                <w:color w:val="auto"/>
              </w:rPr>
            </w:pPr>
            <w:r>
              <w:rPr>
                <w:rFonts w:ascii="Arial" w:cs="Arial" w:eastAsia="Arial" w:hAnsi="Arial"/>
                <w:sz w:val="18"/>
                <w:szCs w:val="18"/>
                <w:color w:val="auto"/>
              </w:rPr>
              <w:t>Brunilda Rios</w:t>
            </w:r>
          </w:p>
        </w:tc>
        <w:tc>
          <w:tcPr>
            <w:tcW w:w="8600" w:type="dxa"/>
            <w:vAlign w:val="bottom"/>
          </w:tcPr>
          <w:p>
            <w:pPr>
              <w:spacing w:after="0"/>
              <w:rPr>
                <w:sz w:val="20"/>
                <w:szCs w:val="20"/>
                <w:color w:val="auto"/>
              </w:rPr>
            </w:pPr>
            <w:r>
              <w:rPr>
                <w:rFonts w:ascii="Arial" w:cs="Arial" w:eastAsia="Arial" w:hAnsi="Arial"/>
                <w:sz w:val="18"/>
                <w:szCs w:val="18"/>
                <w:color w:val="auto"/>
              </w:rPr>
              <w:t>Senior Vice President and Chief Accounting Officer</w:t>
            </w:r>
          </w:p>
        </w:tc>
      </w:tr>
    </w:tbl>
    <w:p>
      <w:pPr>
        <w:spacing w:after="0" w:line="1" w:lineRule="exact"/>
        <w:rPr>
          <w:sz w:val="20"/>
          <w:szCs w:val="20"/>
          <w:color w:val="auto"/>
        </w:rPr>
      </w:pPr>
    </w:p>
    <w:sectPr>
      <w:pgSz w:w="11900" w:h="16838" w:orient="portrait"/>
      <w:cols w:equalWidth="0" w:num="1">
        <w:col w:w="11020"/>
      </w:cols>
      <w:pgMar w:left="4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1"/>
    </w:lvl>
  </w:abstractNum>
  <w:abstractNum w:abstractNumId="2">
    <w:nsid w:val="3D1B58BA"/>
    <w:multiLevelType w:val="hybridMultilevel"/>
    <w:lvl w:ilvl="0">
      <w:lvlJc w:val="left"/>
      <w:lvlText w:val="(%1)"/>
      <w:numFmt w:val="lowerRoman"/>
      <w:start w:val="1"/>
    </w:lvl>
  </w:abstractNum>
  <w:abstractNum w:abstractNumId="3">
    <w:nsid w:val="507ED7AB"/>
    <w:multiLevelType w:val="hybridMultilevel"/>
    <w:lvl w:ilvl="0">
      <w:lvlJc w:val="left"/>
      <w:lvlText w:val="(%1)"/>
      <w:numFmt w:val="lowerRoman"/>
      <w:start w:val="1"/>
    </w:lvl>
  </w:abstractNum>
  <w:abstractNum w:abstractNumId="4">
    <w:nsid w:val="2EB141F2"/>
    <w:multiLevelType w:val="hybridMultilevel"/>
    <w:lvl w:ilvl="0">
      <w:lvlJc w:val="left"/>
      <w:lvlText w:val="(%1)"/>
      <w:numFmt w:val="lowerRoman"/>
      <w:start w:val="1"/>
    </w:lvl>
  </w:abstractNum>
  <w:abstractNum w:abstractNumId="5">
    <w:nsid w:val="41B71EFB"/>
    <w:multiLevelType w:val="hybridMultilevel"/>
    <w:lvl w:ilvl="0">
      <w:lvlJc w:val="left"/>
      <w:lvlText w:val="(%1)"/>
      <w:numFmt w:val="lowerRoman"/>
      <w:start w:val="1"/>
    </w:lvl>
  </w:abstractNum>
  <w:abstractNum w:abstractNumId="6">
    <w:nsid w:val="79E2A9E3"/>
    <w:multiLevelType w:val="hybridMultilevel"/>
    <w:lvl w:ilvl="0">
      <w:lvlJc w:val="left"/>
      <w:lvlText w:val="(%1)"/>
      <w:numFmt w:val="lowerRoman"/>
      <w:start w:val="1"/>
    </w:lvl>
  </w:abstractNum>
  <w:abstractNum w:abstractNumId="7">
    <w:nsid w:val="7545E146"/>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2020-07-15T15:53:12Z</dcterms:created>
  <dcterms:modified xsi:type="dcterms:W3CDTF">2020-07-15T15:53:12Z</dcterms:modified>
</cp:coreProperties>
</file>