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340"/>
          </w:cols>
          <w:pgMar w:left="460" w:top="215" w:right="4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IV, L.P.</w:t>
              </w:r>
            </w:hyperlink>
          </w:p>
        </w:tc>
        <w:tc>
          <w:tcPr>
            <w:tcW w:w="60" w:type="dxa"/>
            <w:vAlign w:val="bottom"/>
          </w:tcPr>
          <w:p>
            <w:pPr>
              <w:spacing w:after="0"/>
              <w:rPr>
                <w:sz w:val="15"/>
                <w:szCs w:val="15"/>
                <w:color w:val="auto"/>
              </w:rPr>
            </w:pPr>
          </w:p>
        </w:tc>
        <w:tc>
          <w:tcPr>
            <w:tcW w:w="2800" w:type="dxa"/>
            <w:vAlign w:val="bottom"/>
            <w:gridSpan w:val="5"/>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vMerge w:val="restart"/>
          </w:tcPr>
          <w:p>
            <w:pPr>
              <w:ind w:left="220"/>
              <w:spacing w:after="0" w:line="146" w:lineRule="exact"/>
              <w:rPr>
                <w:sz w:val="20"/>
                <w:szCs w:val="20"/>
                <w:color w:val="auto"/>
              </w:rPr>
            </w:pPr>
            <w:r>
              <w:rPr>
                <w:rFonts w:ascii="Arial" w:cs="Arial" w:eastAsia="Arial" w:hAnsi="Arial"/>
                <w:sz w:val="13"/>
                <w:szCs w:val="13"/>
                <w:color w:val="auto"/>
              </w:rPr>
              <w:t>Director</w:t>
            </w:r>
          </w:p>
        </w:tc>
        <w:tc>
          <w:tcPr>
            <w:tcW w:w="1800" w:type="dxa"/>
            <w:vAlign w:val="bottom"/>
            <w:gridSpan w:val="3"/>
            <w:vMerge w:val="restart"/>
          </w:tcPr>
          <w:p>
            <w:pPr>
              <w:ind w:left="6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Arial" w:cs="Arial" w:eastAsia="Arial" w:hAnsi="Arial"/>
                <w:sz w:val="13"/>
                <w:szCs w:val="13"/>
                <w:color w:val="auto"/>
                <w:w w:val="95"/>
              </w:rPr>
              <w:t>Officer (give title</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520" w:type="dxa"/>
            <w:vAlign w:val="bottom"/>
          </w:tcPr>
          <w:p>
            <w:pPr>
              <w:ind w:left="40"/>
              <w:spacing w:after="0"/>
              <w:rPr>
                <w:sz w:val="20"/>
                <w:szCs w:val="20"/>
                <w:color w:val="auto"/>
              </w:rPr>
            </w:pPr>
            <w:r>
              <w:rPr>
                <w:rFonts w:ascii="Arial" w:cs="Arial" w:eastAsia="Arial" w:hAnsi="Arial"/>
                <w:sz w:val="13"/>
                <w:szCs w:val="13"/>
                <w:color w:val="auto"/>
                <w:w w:val="97"/>
              </w:rPr>
              <w:t>(Middle)</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below)</w:t>
            </w:r>
          </w:p>
        </w:tc>
        <w:tc>
          <w:tcPr>
            <w:tcW w:w="1800" w:type="dxa"/>
            <w:vAlign w:val="bottom"/>
            <w:gridSpan w:val="3"/>
          </w:tcPr>
          <w:p>
            <w:pPr>
              <w:ind w:left="6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06/09/2026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80" w:type="dxa"/>
            <w:vAlign w:val="bottom"/>
            <w:gridSpan w:val="6"/>
            <w:vMerge w:val="restart"/>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480" w:type="dxa"/>
            <w:vAlign w:val="bottom"/>
          </w:tcPr>
          <w:p>
            <w:pPr>
              <w:spacing w:after="0"/>
              <w:rPr>
                <w:sz w:val="6"/>
                <w:szCs w:val="6"/>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0000FF"/>
              </w:rPr>
              <w:t>CA</w:t>
            </w:r>
          </w:p>
        </w:tc>
        <w:tc>
          <w:tcPr>
            <w:tcW w:w="52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94025</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0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40" w:type="dxa"/>
            <w:vAlign w:val="bottom"/>
            <w:tcBorders>
              <w:top w:val="single" w:sz="8" w:color="2C2C2C"/>
            </w:tcBorders>
            <w:gridSpan w:val="15"/>
          </w:tcPr>
          <w:p>
            <w:pPr>
              <w:jc w:val="right"/>
              <w:ind w:right="51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5"/>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504</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504</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380.49</w:t>
            </w:r>
            <w:r>
              <w:rPr>
                <w:rFonts w:ascii="Times New Roman" w:cs="Times New Roman" w:eastAsia="Times New Roman" w:hAnsi="Times New Roman"/>
                <w:sz w:val="20"/>
                <w:szCs w:val="20"/>
                <w:color w:val="008000"/>
                <w:w w:val="95"/>
                <w:vertAlign w:val="superscript"/>
              </w:rPr>
              <w:t>(10)</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466</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381.74</w:t>
            </w:r>
            <w:r>
              <w:rPr>
                <w:rFonts w:ascii="Times New Roman" w:cs="Times New Roman" w:eastAsia="Times New Roman" w:hAnsi="Times New Roman"/>
                <w:sz w:val="20"/>
                <w:szCs w:val="20"/>
                <w:color w:val="008000"/>
                <w:w w:val="95"/>
                <w:vertAlign w:val="superscript"/>
              </w:rPr>
              <w:t>(11)</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379</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382.63</w:t>
            </w:r>
            <w:r>
              <w:rPr>
                <w:rFonts w:ascii="Times New Roman" w:cs="Times New Roman" w:eastAsia="Times New Roman" w:hAnsi="Times New Roman"/>
                <w:sz w:val="20"/>
                <w:szCs w:val="20"/>
                <w:color w:val="008000"/>
                <w:w w:val="95"/>
                <w:vertAlign w:val="superscript"/>
              </w:rPr>
              <w:t>(12)</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372</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383.02</w:t>
            </w:r>
            <w:r>
              <w:rPr>
                <w:rFonts w:ascii="Times New Roman" w:cs="Times New Roman" w:eastAsia="Times New Roman" w:hAnsi="Times New Roman"/>
                <w:sz w:val="20"/>
                <w:szCs w:val="20"/>
                <w:color w:val="008000"/>
                <w:w w:val="95"/>
                <w:vertAlign w:val="superscript"/>
              </w:rPr>
              <w:t>(13)</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368</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384.15</w:t>
            </w:r>
            <w:r>
              <w:rPr>
                <w:rFonts w:ascii="Times New Roman" w:cs="Times New Roman" w:eastAsia="Times New Roman" w:hAnsi="Times New Roman"/>
                <w:sz w:val="20"/>
                <w:szCs w:val="20"/>
                <w:color w:val="008000"/>
                <w:w w:val="95"/>
                <w:vertAlign w:val="superscript"/>
              </w:rPr>
              <w:t>(14)</w:t>
            </w: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color w:val="0000FF"/>
              </w:rPr>
              <w:t>367</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19" w:lineRule="exact"/>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386.25</w:t>
            </w:r>
            <w:r>
              <w:rPr>
                <w:rFonts w:ascii="Times New Roman" w:cs="Times New Roman" w:eastAsia="Times New Roman" w:hAnsi="Times New Roman"/>
                <w:sz w:val="20"/>
                <w:szCs w:val="20"/>
                <w:color w:val="008000"/>
                <w:w w:val="95"/>
                <w:vertAlign w:val="superscript"/>
              </w:rPr>
              <w:t>(15)</w:t>
            </w: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0000FF"/>
              </w:rPr>
              <w:t>358</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Technology</w:t>
      </w:r>
    </w:p>
    <w:p>
      <w:pPr>
        <w:spacing w:after="0" w:line="1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Investors</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(3)(4)</w:t>
      </w:r>
    </w:p>
    <w:p>
      <w:pPr>
        <w:sectPr>
          <w:pgSz w:w="11900" w:h="16838" w:orient="portrait"/>
          <w:cols w:equalWidth="0" w:num="1">
            <w:col w:w="10980"/>
          </w:cols>
          <w:pgMar w:left="460" w:top="215" w:right="4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7065" cy="1052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065" cy="10525125"/>
                    </a:xfrm>
                    <a:prstGeom prst="rect">
                      <a:avLst/>
                    </a:prstGeom>
                    <a:noFill/>
                  </pic:spPr>
                </pic:pic>
              </a:graphicData>
            </a:graphic>
          </wp:anchor>
        </w:drawing>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jc w:val="center"/>
              <w:ind w:left="544"/>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7</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387.41</w:t>
            </w:r>
            <w:r>
              <w:rPr>
                <w:rFonts w:ascii="Times New Roman" w:cs="Times New Roman" w:eastAsia="Times New Roman" w:hAnsi="Times New Roman"/>
                <w:sz w:val="20"/>
                <w:szCs w:val="20"/>
                <w:color w:val="008000"/>
                <w:vertAlign w:val="superscript"/>
              </w:rPr>
              <w:t>(16)</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351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9</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388.67</w:t>
            </w:r>
            <w:r>
              <w:rPr>
                <w:rFonts w:ascii="Times New Roman" w:cs="Times New Roman" w:eastAsia="Times New Roman" w:hAnsi="Times New Roman"/>
                <w:sz w:val="20"/>
                <w:szCs w:val="20"/>
                <w:color w:val="008000"/>
                <w:vertAlign w:val="superscript"/>
              </w:rPr>
              <w:t>(17)</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342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64</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390.54</w:t>
            </w:r>
            <w:r>
              <w:rPr>
                <w:rFonts w:ascii="Times New Roman" w:cs="Times New Roman" w:eastAsia="Times New Roman" w:hAnsi="Times New Roman"/>
                <w:sz w:val="20"/>
                <w:szCs w:val="20"/>
                <w:color w:val="008000"/>
                <w:vertAlign w:val="superscript"/>
              </w:rPr>
              <w:t>(18)</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278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42</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391.43</w:t>
            </w:r>
            <w:r>
              <w:rPr>
                <w:rFonts w:ascii="Times New Roman" w:cs="Times New Roman" w:eastAsia="Times New Roman" w:hAnsi="Times New Roman"/>
                <w:sz w:val="20"/>
                <w:szCs w:val="20"/>
                <w:color w:val="008000"/>
                <w:vertAlign w:val="superscript"/>
              </w:rPr>
              <w:t>(19)</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237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392.04</w:t>
            </w:r>
            <w:r>
              <w:rPr>
                <w:rFonts w:ascii="Times New Roman" w:cs="Times New Roman" w:eastAsia="Times New Roman" w:hAnsi="Times New Roman"/>
                <w:sz w:val="20"/>
                <w:szCs w:val="20"/>
                <w:color w:val="008000"/>
                <w:vertAlign w:val="superscript"/>
              </w:rPr>
              <w:t>(20)</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236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6</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395.11</w:t>
            </w:r>
            <w:r>
              <w:rPr>
                <w:rFonts w:ascii="Times New Roman" w:cs="Times New Roman" w:eastAsia="Times New Roman" w:hAnsi="Times New Roman"/>
                <w:sz w:val="20"/>
                <w:szCs w:val="20"/>
                <w:color w:val="008000"/>
                <w:vertAlign w:val="superscript"/>
              </w:rPr>
              <w:t>(21)</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230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22</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396.18</w:t>
            </w:r>
            <w:r>
              <w:rPr>
                <w:rFonts w:ascii="Times New Roman" w:cs="Times New Roman" w:eastAsia="Times New Roman" w:hAnsi="Times New Roman"/>
                <w:sz w:val="20"/>
                <w:szCs w:val="20"/>
                <w:color w:val="008000"/>
                <w:vertAlign w:val="superscript"/>
              </w:rPr>
              <w:t>(22)</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208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40</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396.99</w:t>
            </w:r>
            <w:r>
              <w:rPr>
                <w:rFonts w:ascii="Times New Roman" w:cs="Times New Roman" w:eastAsia="Times New Roman" w:hAnsi="Times New Roman"/>
                <w:sz w:val="20"/>
                <w:szCs w:val="20"/>
                <w:color w:val="008000"/>
                <w:vertAlign w:val="superscript"/>
              </w:rPr>
              <w:t>(23)</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169</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31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398.17</w:t>
            </w:r>
            <w:r>
              <w:rPr>
                <w:rFonts w:ascii="Times New Roman" w:cs="Times New Roman" w:eastAsia="Times New Roman" w:hAnsi="Times New Roman"/>
                <w:sz w:val="20"/>
                <w:szCs w:val="20"/>
                <w:color w:val="008000"/>
                <w:vertAlign w:val="superscript"/>
              </w:rPr>
              <w:t>(24)</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137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13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399.01</w:t>
            </w:r>
            <w:r>
              <w:rPr>
                <w:rFonts w:ascii="Times New Roman" w:cs="Times New Roman" w:eastAsia="Times New Roman" w:hAnsi="Times New Roman"/>
                <w:sz w:val="20"/>
                <w:szCs w:val="20"/>
                <w:color w:val="008000"/>
                <w:vertAlign w:val="superscript"/>
              </w:rPr>
              <w:t>(25)</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125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4"/>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44"/>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64"/>
              <w:spacing w:after="0"/>
              <w:rPr>
                <w:sz w:val="20"/>
                <w:szCs w:val="20"/>
                <w:color w:val="auto"/>
              </w:rPr>
            </w:pPr>
            <w:r>
              <w:rPr>
                <w:rFonts w:ascii="Times New Roman" w:cs="Times New Roman" w:eastAsia="Times New Roman" w:hAnsi="Times New Roman"/>
                <w:sz w:val="16"/>
                <w:szCs w:val="16"/>
                <w:color w:val="0000FF"/>
                <w:w w:val="99"/>
              </w:rPr>
              <w:t>21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400.07</w:t>
            </w:r>
            <w:r>
              <w:rPr>
                <w:rFonts w:ascii="Times New Roman" w:cs="Times New Roman" w:eastAsia="Times New Roman" w:hAnsi="Times New Roman"/>
                <w:sz w:val="20"/>
                <w:szCs w:val="20"/>
                <w:color w:val="008000"/>
                <w:vertAlign w:val="superscript"/>
              </w:rPr>
              <w:t>(26)</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104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9" w:right="479" w:bottom="616" w:gutter="0" w:footer="0" w:header="0"/>
        </w:sectPr>
      </w:pPr>
    </w:p>
    <w:p>
      <w:pPr>
        <w:ind w:left="10100"/>
        <w:spacing w:after="0" w:line="201"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0940"/>
          </w:cols>
          <w:pgMar w:left="480" w:top="189" w:right="479" w:bottom="616"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6997065" cy="1052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065" cy="10525125"/>
                    </a:xfrm>
                    <a:prstGeom prst="rect">
                      <a:avLst/>
                    </a:prstGeom>
                    <a:noFill/>
                  </pic:spPr>
                </pic:pic>
              </a:graphicData>
            </a:graphic>
          </wp:anchor>
        </w:drawing>
        <w:t>Table I - Non-Derivative Securities Acquired, Disposed of, or Beneficially Owned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color w:val="0000FF"/>
              </w:rPr>
              <w:t>9</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401.09</w:t>
            </w:r>
            <w:r>
              <w:rPr>
                <w:rFonts w:ascii="Times New Roman" w:cs="Times New Roman" w:eastAsia="Times New Roman" w:hAnsi="Times New Roman"/>
                <w:sz w:val="20"/>
                <w:szCs w:val="20"/>
                <w:color w:val="008000"/>
                <w:vertAlign w:val="superscript"/>
              </w:rPr>
              <w:t>(27)</w:t>
            </w:r>
          </w:p>
        </w:tc>
        <w:tc>
          <w:tcPr>
            <w:tcW w:w="10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96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4"/>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4"/>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color w:val="0000FF"/>
              </w:rPr>
              <w:t>13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402.24</w:t>
            </w:r>
            <w:r>
              <w:rPr>
                <w:rFonts w:ascii="Times New Roman" w:cs="Times New Roman" w:eastAsia="Times New Roman" w:hAnsi="Times New Roman"/>
                <w:sz w:val="20"/>
                <w:szCs w:val="20"/>
                <w:color w:val="008000"/>
                <w:vertAlign w:val="superscript"/>
              </w:rPr>
              <w:t>(28)</w:t>
            </w:r>
          </w:p>
        </w:tc>
        <w:tc>
          <w:tcPr>
            <w:tcW w:w="10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83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20"/>
        <w:spacing w:after="0" w:line="201"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1080"/>
          </w:cols>
          <w:pgMar w:left="460" w:top="189" w:right="359" w:bottom="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Held</w:t>
      </w:r>
    </w:p>
    <w:p>
      <w:pPr>
        <w:spacing w:after="0" w:line="30"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through</w:t>
      </w:r>
    </w:p>
    <w:p>
      <w:pPr>
        <w:spacing w:after="0" w:line="17" w:lineRule="exact"/>
        <w:rPr>
          <w:sz w:val="20"/>
          <w:szCs w:val="20"/>
          <w:color w:val="auto"/>
        </w:rPr>
      </w:pPr>
    </w:p>
    <w:p>
      <w:pPr>
        <w:ind w:left="80"/>
        <w:spacing w:after="0"/>
        <w:tabs>
          <w:tab w:leader="none" w:pos="8400" w:val="left"/>
          <w:tab w:leader="none" w:pos="9560" w:val="left"/>
          <w:tab w:leader="none" w:pos="1010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9,359</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16"/>
          <w:szCs w:val="16"/>
          <w:color w:val="0000FF"/>
        </w:rPr>
        <w:t>Silver Lake</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Group,</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4,845</w:t>
            </w:r>
          </w:p>
        </w:tc>
        <w:tc>
          <w:tcPr>
            <w:tcW w:w="700" w:type="dxa"/>
            <w:vAlign w:val="bottom"/>
          </w:tcPr>
          <w:p>
            <w:pPr>
              <w:spacing w:after="0"/>
              <w:rPr>
                <w:sz w:val="17"/>
                <w:szCs w:val="17"/>
                <w:color w:val="auto"/>
              </w:rPr>
            </w:pP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3"/>
              <w:spacing w:after="0"/>
              <w:rPr>
                <w:sz w:val="20"/>
                <w:szCs w:val="20"/>
                <w:color w:val="auto"/>
              </w:rPr>
            </w:pPr>
            <w:r>
              <w:rPr>
                <w:rFonts w:ascii="Times New Roman" w:cs="Times New Roman" w:eastAsia="Times New Roman" w:hAnsi="Times New Roman"/>
                <w:sz w:val="16"/>
                <w:szCs w:val="16"/>
                <w:color w:val="0000FF"/>
              </w:rPr>
              <w:t>1,317,963</w:t>
            </w:r>
          </w:p>
        </w:tc>
        <w:tc>
          <w:tcPr>
            <w:tcW w:w="900" w:type="dxa"/>
            <w:vAlign w:val="bottom"/>
            <w:tcBorders>
              <w:top w:val="single" w:sz="8" w:color="2C2C2C"/>
              <w:bottom w:val="single" w:sz="8" w:color="2C2C2C"/>
            </w:tcBorders>
            <w:gridSpan w:val="2"/>
          </w:tcPr>
          <w:p>
            <w:pPr>
              <w:jc w:val="center"/>
              <w:ind w:right="591"/>
              <w:spacing w:after="0" w:line="301"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5,322</w:t>
            </w:r>
          </w:p>
        </w:tc>
        <w:tc>
          <w:tcPr>
            <w:tcW w:w="7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2"/>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color w:val="0000FF"/>
              </w:rPr>
              <w:t>504</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06/09/2026</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504</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vMerge w:val="continue"/>
          </w:tcPr>
          <w:p>
            <w:pPr>
              <w:spacing w:after="0"/>
              <w:rPr>
                <w:sz w:val="13"/>
                <w:szCs w:val="13"/>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3"/>
                <w:szCs w:val="13"/>
                <w:color w:val="0000FF"/>
              </w:rPr>
              <w:t>261,510</w:t>
            </w:r>
          </w:p>
        </w:tc>
        <w:tc>
          <w:tcPr>
            <w:tcW w:w="1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Borders>
              <w:right w:val="single" w:sz="8" w:color="2C2C2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0000FF"/>
              </w:rPr>
              <w:t>Investors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Borders>
              <w:right w:val="single" w:sz="8" w:color="2C2C2C"/>
            </w:tcBorders>
            <w:gridSpan w:val="3"/>
          </w:tcPr>
          <w:p>
            <w:pPr>
              <w:ind w:left="20"/>
              <w:spacing w:after="0" w:line="159" w:lineRule="exact"/>
              <w:rPr>
                <w:sz w:val="20"/>
                <w:szCs w:val="20"/>
                <w:color w:val="auto"/>
              </w:rPr>
            </w:pPr>
            <w:r>
              <w:rPr>
                <w:rFonts w:ascii="Times New Roman" w:cs="Times New Roman" w:eastAsia="Times New Roman" w:hAnsi="Times New Roman"/>
                <w:sz w:val="12"/>
                <w:szCs w:val="12"/>
                <w:color w:val="0000FF"/>
              </w:rPr>
              <w:t>IV, L.P.</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44,826,668</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8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0"/>
                <w:szCs w:val="10"/>
                <w:color w:val="0000FF"/>
              </w:rPr>
              <w:t>44,826,668</w:t>
            </w:r>
          </w:p>
        </w:tc>
        <w:tc>
          <w:tcPr>
            <w:tcW w:w="180" w:type="dxa"/>
            <w:vAlign w:val="bottom"/>
          </w:tcPr>
          <w:p>
            <w:pPr>
              <w:spacing w:after="0"/>
              <w:rPr>
                <w:sz w:val="3"/>
                <w:szCs w:val="3"/>
                <w:color w:val="auto"/>
              </w:rPr>
            </w:pPr>
          </w:p>
        </w:tc>
        <w:tc>
          <w:tcPr>
            <w:tcW w:w="720" w:type="dxa"/>
            <w:vAlign w:val="bottom"/>
            <w:vMerge w:val="restart"/>
          </w:tcPr>
          <w:p>
            <w:pPr>
              <w:ind w:left="3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tcBorders>
              <w:right w:val="single" w:sz="8" w:color="2C2C2C"/>
            </w:tcBorders>
            <w:gridSpan w:val="3"/>
          </w:tcPr>
          <w:p>
            <w:pPr>
              <w:ind w:left="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IV, L.P.</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40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4"/>
          </w:tcPr>
          <w:p>
            <w:pPr>
              <w:ind w:left="40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line="214" w:lineRule="exact"/>
              <w:rPr>
                <w:rFonts w:ascii="Times New Roman" w:cs="Times New Roman" w:eastAsia="Times New Roman" w:hAnsi="Times New Roman"/>
                <w:sz w:val="20"/>
                <w:szCs w:val="20"/>
                <w:color w:val="0000EE"/>
                <w:w w:val="98"/>
              </w:rPr>
            </w:pPr>
            <w:hyperlink r:id="rId17">
              <w:r>
                <w:rPr>
                  <w:rFonts w:ascii="Times New Roman" w:cs="Times New Roman" w:eastAsia="Times New Roman" w:hAnsi="Times New Roman"/>
                  <w:sz w:val="20"/>
                  <w:szCs w:val="20"/>
                  <w:color w:val="0000EE"/>
                  <w:w w:val="98"/>
                </w:rPr>
                <w:t>Silver Lake Technology Associates IV, L.P.</w:t>
              </w:r>
            </w:hyperlink>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4"/>
          </w:tcPr>
          <w:p>
            <w:pPr>
              <w:ind w:left="40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-5626100</wp:posOffset>
            </wp:positionV>
            <wp:extent cx="28575" cy="2596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575" cy="2596515"/>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IV (GP),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4"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4"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5323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12415" cy="53232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jc w:val="both"/>
        <w:ind w:left="20" w:right="220" w:hanging="2"/>
        <w:spacing w:after="0" w:line="232"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p>
      <w:pPr>
        <w:spacing w:after="0" w:line="25" w:lineRule="exact"/>
        <w:rPr>
          <w:rFonts w:ascii="Times New Roman" w:cs="Times New Roman" w:eastAsia="Times New Roman" w:hAnsi="Times New Roman"/>
          <w:sz w:val="13"/>
          <w:szCs w:val="13"/>
          <w:color w:val="008000"/>
        </w:rPr>
      </w:pPr>
    </w:p>
    <w:p>
      <w:pPr>
        <w:jc w:val="both"/>
        <w:ind w:left="20" w:right="260" w:hanging="2"/>
        <w:spacing w:after="0" w:line="23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p>
      <w:pPr>
        <w:spacing w:after="0" w:line="26" w:lineRule="exact"/>
        <w:rPr>
          <w:rFonts w:ascii="Times New Roman" w:cs="Times New Roman" w:eastAsia="Times New Roman" w:hAnsi="Times New Roman"/>
          <w:sz w:val="13"/>
          <w:szCs w:val="13"/>
          <w:color w:val="008000"/>
        </w:rPr>
      </w:pPr>
    </w:p>
    <w:p>
      <w:pPr>
        <w:ind w:left="20" w:righ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IV, L.P. The general partner of Silver Lake Technology Investors IV, L.P. is Silver Lake Technology Associates IV, L.P. and the general partner of Silver Lake Technology Associates IV, L.P. is SLTA IV (GP), L.L.C.</w:t>
      </w:r>
    </w:p>
    <w:p>
      <w:pPr>
        <w:spacing w:after="0" w:line="21" w:lineRule="exact"/>
        <w:rPr>
          <w:rFonts w:ascii="Times New Roman" w:cs="Times New Roman" w:eastAsia="Times New Roman" w:hAnsi="Times New Roman"/>
          <w:sz w:val="13"/>
          <w:szCs w:val="13"/>
          <w:color w:val="008000"/>
        </w:rPr>
      </w:pPr>
    </w:p>
    <w:p>
      <w:pPr>
        <w:ind w:left="20" w:right="24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21" w:lineRule="exact"/>
        <w:rPr>
          <w:rFonts w:ascii="Times New Roman" w:cs="Times New Roman" w:eastAsia="Times New Roman" w:hAnsi="Times New Roman"/>
          <w:sz w:val="13"/>
          <w:szCs w:val="13"/>
          <w:color w:val="008000"/>
        </w:rPr>
      </w:pPr>
    </w:p>
    <w:p>
      <w:pPr>
        <w:ind w:left="20" w:right="2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p>
      <w:pPr>
        <w:spacing w:after="0" w:line="21" w:lineRule="exact"/>
        <w:rPr>
          <w:rFonts w:ascii="Times New Roman" w:cs="Times New Roman" w:eastAsia="Times New Roman" w:hAnsi="Times New Roman"/>
          <w:sz w:val="13"/>
          <w:szCs w:val="13"/>
          <w:color w:val="008000"/>
        </w:rPr>
      </w:pPr>
    </w:p>
    <w:p>
      <w:pPr>
        <w:ind w:left="20" w:right="24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p>
      <w:pPr>
        <w:spacing w:after="0" w:line="21" w:lineRule="exact"/>
        <w:rPr>
          <w:rFonts w:ascii="Times New Roman" w:cs="Times New Roman" w:eastAsia="Times New Roman" w:hAnsi="Times New Roman"/>
          <w:sz w:val="13"/>
          <w:szCs w:val="13"/>
          <w:color w:val="008000"/>
        </w:rPr>
      </w:pPr>
    </w:p>
    <w:p>
      <w:pPr>
        <w:ind w:left="20" w:right="200" w:hanging="2"/>
        <w:spacing w:after="0" w:line="263"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p>
      <w:pPr>
        <w:spacing w:after="0" w:line="11" w:lineRule="exact"/>
        <w:rPr>
          <w:rFonts w:ascii="Times New Roman" w:cs="Times New Roman" w:eastAsia="Times New Roman" w:hAnsi="Times New Roman"/>
          <w:sz w:val="12"/>
          <w:szCs w:val="12"/>
          <w:color w:val="008000"/>
        </w:rPr>
      </w:pPr>
    </w:p>
    <w:p>
      <w:pPr>
        <w:ind w:left="20" w:right="16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by Mr. Durban including shares received in connection with the distributions of shares of Class C Common Stock on June 9, 2026. The receipt of such shares of Class C Common Stock was exempt from reporting pursuant to Rule 16a-13 of the Exchange Act. Mr. Durban has filed a separate Form 4 reporting transactions in securities of the Issuer on June 9, 2026.</w:t>
      </w:r>
    </w:p>
    <w:p>
      <w:pPr>
        <w:ind w:left="20" w:right="6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$380.0000 to $380.9800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$381.0000 to $381.9300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$382.0500 to $382.8500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$383.0000 to $383.1200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$384.1200 to $384.1800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$385.7600 to $386.7000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$386.9900 to $387.9300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$388.3200 to $389.1100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$390.0000 to $390.9983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$391.0000 to $391.9818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$392.0187 to $392.0794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$394.4800 to $395.4268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$395.5264 to $396.4800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0" w:hanging="182"/>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$396.5300 to $397.5167 per share, inclusive. The Reporting Persons undertake to</w:t>
      </w:r>
    </w:p>
    <w:p>
      <w:pPr>
        <w:sectPr>
          <w:pgSz w:w="11900" w:h="16838" w:orient="portrait"/>
          <w:cols w:equalWidth="0" w:num="1">
            <w:col w:w="10920"/>
          </w:cols>
          <w:pgMar w:left="480" w:top="278" w:right="499" w:bottom="0" w:gutter="0" w:footer="0" w:header="0"/>
        </w:sectPr>
      </w:pPr>
    </w:p>
    <w:bookmarkStart w:id="4" w:name="page5"/>
    <w:bookmarkEnd w:id="4"/>
    <w:p>
      <w:pPr>
        <w:ind w:left="2"/>
        <w:spacing w:after="0"/>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SEC, upon request, full information regarding the number of shares sold at each separate price within the range set forth in this footnote.</w:t>
      </w:r>
    </w:p>
    <w:p>
      <w:pPr>
        <w:spacing w:after="0" w:line="39" w:lineRule="exact"/>
        <w:rPr>
          <w:sz w:val="20"/>
          <w:szCs w:val="20"/>
          <w:color w:val="auto"/>
        </w:rPr>
      </w:pP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$397.5900 to $398.5700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$398.5900 to $399.5097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$399.6000 to $400.5786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$400.7600 to $401.7224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$401.8262 to $402.7200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right="8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0 shares of Class C Common Stock, Silver Lake Partners IV, L.P. directly holds 0 shares of Class C Common Stock, Silver Lake Partners V DE (AIV), L.P. directly holds 5,322 shares of Class C Common Stock, and Silver Lake Technology Investors V, L.P. directly holds 0 shares of Class C Common Stock, which securities and related transactions are reported on separate Form 4 filings.</w:t>
      </w:r>
    </w:p>
    <w:p>
      <w:pPr>
        <w:spacing w:after="0" w:line="26" w:lineRule="exact"/>
        <w:rPr>
          <w:rFonts w:ascii="Times New Roman" w:cs="Times New Roman" w:eastAsia="Times New Roman" w:hAnsi="Times New Roman"/>
          <w:sz w:val="13"/>
          <w:szCs w:val="13"/>
          <w:color w:val="008000"/>
        </w:rPr>
      </w:pPr>
    </w:p>
    <w:p>
      <w:pPr>
        <w:jc w:val="both"/>
        <w:ind w:left="2" w:right="4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17,314,068 shares of Class B Common Stock, Silver Lake Partners IV, L.P. directly holds 17,773,759 shares of Class B Common Stock, Silver Lake Partners V DE (AIV), L.P. directly holds 9,620,914 shares of Class B Common Stock, and Silver Lake Technology Investors V, L.P. directly holds 117,927 shares of Class B Common Stock, which securities are reported on separate Form 4 filings.</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right="160"/>
        <w:spacing w:after="0" w:line="255"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02"/>
          </w:cols>
          <w:pgMar w:left="498" w:top="127" w:right="499" w:bottom="1440" w:gutter="0" w:footer="0" w:header="0"/>
        </w:sectPr>
      </w:pPr>
    </w:p>
    <w:p>
      <w:pPr>
        <w:spacing w:after="0" w:line="42"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09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07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9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 gen.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290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Technology Investors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160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093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73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339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61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52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093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2736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2249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1798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5911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-4445</wp:posOffset>
            </wp:positionV>
            <wp:extent cx="1009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10661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-12065</wp:posOffset>
            </wp:positionV>
            <wp:extent cx="311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692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662" w:space="100"/>
            <w:col w:w="2140"/>
          </w:cols>
          <w:pgMar w:left="498" w:top="127" w:right="499" w:bottom="1440" w:gutter="0" w:footer="0" w:header="0"/>
          <w:type w:val="continuous"/>
        </w:sect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2"/>
      </w:cols>
      <w:pgMar w:left="498"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672565"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672566" TargetMode="External"/><Relationship Id="rId19" Type="http://schemas.openxmlformats.org/officeDocument/2006/relationships/hyperlink" Target="http://www.sec.gov/cgi-bin/browse-edgar?action=getcompany&amp;CIK=0001672568"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2026-06-11T16:44:23Z</dcterms:created>
  <dcterms:modified xsi:type="dcterms:W3CDTF">2026-06-11T16:44:23Z</dcterms:modified>
</cp:coreProperties>
</file>