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184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1" w:lineRule="exact"/>
        <w:rPr>
          <w:sz w:val="24"/>
          <w:szCs w:val="24"/>
          <w:color w:val="auto"/>
        </w:rPr>
      </w:pPr>
    </w:p>
    <w:p>
      <w:pPr>
        <w:sectPr>
          <w:pgSz w:w="11900" w:h="16838" w:orient="portrait"/>
          <w:cols w:equalWidth="0" w:num="2">
            <w:col w:w="7400" w:space="720"/>
            <w:col w:w="2900"/>
          </w:cols>
          <w:pgMar w:left="440" w:top="382"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0" w:space="720"/>
            <w:col w:w="3020"/>
          </w:cols>
          <w:pgMar w:left="440" w:top="382"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9"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C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DELL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January 24, 2023, two wholly-owned subsidiaries of Dell Technologies Inc. (the “Company”), Dell International L.L.C. and EMC Corporation (together, the “Issuers”), completed a public offering (the “Offering”) of $1,000,000,000 aggregate principal amount of the Issuers’ 5.250% Senior Notes due 2028 (the “2028 Notes”) and $1,000,000,000 aggregate principal amount of the Issuers’ 5.750% Senior Notes due 2033 (the “2033 Notes” and, together with the 2028 Notes, the “Notes”). The Notes were sold pursuant to a shelf registration statement on Form S-3ASR (File No. 333-269159).</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Notes were issued pursuant to a Base Indenture, dated as of January 24, 2023 (the “Base Indenture”), among the Issuers, the Guarantors (as defined below) and The Bank of New York Mellon Trust Company, N.A., as trustee (in such capacity, the “Trustee”), as supplemented, (i) with respect to the 2028 Notes, by the 2028 Notes Supplemental Indenture No. 1 (the “2028 Notes Supplemental Indenture”), dated as of January 24, 2023, among the Issuers, the Guarantors and the Trustee, and (ii) with respect to the 2033 Notes, by the 2033 Notes Supplemental Indenture No. 1 (the “2033 Notes Supplemental Indenture” and, together with the Base Indenture and the 2028 Notes Supplemental Indenture, the “Indenture”), dated as of January 24, 2023, among the Issuers, the Guarantors and the Trustee.</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Notes are senior unsecured obligations of the Issuers and rank equal in right of payment with all of the Issuers’ existing and future senior indebtedness and senior in right of payment to all of the Issuers’ existing and future subordinated indebtedness. The Notes are guaranteed on a joint and several unsecured basis by the Company, Denali Intermediate, Inc. (“Denali Intermediate”) and Dell Inc. (“Dell” and, together with Denali Intermediate and the Company, the “Guarantors”), each a wholly-owned subsidiary of the Company. Such note guarantees rank equal in right of payment with all existing and future senior indebtedness of the Guarantors and senior in right of payment to all future subordinated indebtedness of the Guarantors. The Notes and the note guarantees are structurally subordinated to all of the existing and future indebtedness and other liabilities of any existing and future subsidiaries of the Company that do not guarantee the Notes.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Interest on each series of the Notes begins accruing on January 24, 2023, the issue date of the Notes. Interest on the 2028 Notes accrues at a rate of</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5.250% per year, payable semi-annually in arrears on February 1 and August 1 of each year, commencing on August 1, 2023. Interest on the 2033 Notes accrues at a rate of 5.750% per year, payable semi-annually in arrears on February 1 and August 1 of each year, commencing on August 1, 2023. The 2028 Notes mature on February 1, 2028 and the 2033 Notes mature on February 1, 2033.</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(i) January 1, 2028 (the date one month prior to the maturity of the 2028 Notes), in the case of the 2028 Notes, and (ii) November 1, 2032 (the date three months prior to the maturity of the 2033 Notes), in the case of the 2033 Notes, the Issuers may, on any one or more occasions, redeem some or all of the Notes of such series at a “make-whole” premium, plus accrued and unpaid interest to the redemption date.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or after (i) January 1, 2028, in the case of the 2028 Notes, and (ii) November 1, 2032, in the case of the 2033 Notes, the Issuers may, on any one or more occasions, redeem some or all of the Notes of such series at a price equal to 100% of the aggregate principal amount of the Notes of such series to be redeemed, plus accrued and unpaid interest to the redemption date.</w:t>
      </w:r>
    </w:p>
    <w:p>
      <w:pPr>
        <w:spacing w:after="0" w:line="18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If a change of control triggering event occurs, the holders of the Notes may require the Issuers to purchase for cash all or a portion of their Notes at a purchase price equal to 101% of the principal amount of the Notes, plus accrued and unpaid interest to the repurchase date.</w:t>
      </w:r>
    </w:p>
    <w:p>
      <w:pPr>
        <w:spacing w:after="0" w:line="14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Indenture contains covenants that impose limitations on, among other things, creating liens on certain assets to secure debt; consolidating, merging, selling or otherwise disposing of all or substantially all assets; and entering into sale and leaseback transactions. The Indenture also contains customary events of default and covenants for an issuer of investment grade debt securities.</w:t>
      </w:r>
    </w:p>
    <w:p>
      <w:pPr>
        <w:sectPr>
          <w:pgSz w:w="11900" w:h="16838" w:orient="portrait"/>
          <w:cols w:equalWidth="0" w:num="1">
            <w:col w:w="11020"/>
          </w:cols>
          <w:pgMar w:left="440" w:top="297" w:right="439" w:bottom="1440" w:gutter="0" w:footer="0" w:header="0"/>
        </w:sectPr>
      </w:pPr>
    </w:p>
    <w:bookmarkStart w:id="2" w:name="page3"/>
    <w:bookmarkEnd w:id="2"/>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summaries of the Base Indenture, the 2028 Notes Supplemental Indenture and the 2033 Notes Supplemental Indenture do not purport to be complete and are qualified in their entirety by reference to the full texts of such documents filed as Exhibits 4.1, 4.2 and 4.3, respectively, to this Current Report on Form 8-K (including the forms of Notes included therein and filed as Exhibits 4.4 and 4.5 hereto), which documents are incorporated herein by reference. In addition, legal opinions of Simpson Thacher &amp; Bartlett LLP and Holland &amp; Knight LLP relating to the Notes are filed as Exhibit 5.1 and 5.2, respectively, to this Current Report on Form 8-K and are incorporated herein by reference.</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2.03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herewith filed as exhibits to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56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58"/>
        </w:trPr>
        <w:tc>
          <w:tcPr>
            <w:tcW w:w="460" w:type="dxa"/>
            <w:vAlign w:val="bottom"/>
          </w:tcPr>
          <w:p>
            <w:pPr>
              <w:jc w:val="right"/>
              <w:ind w:right="33"/>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6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3"/>
                <w:szCs w:val="23"/>
                <w:color w:val="auto"/>
              </w:rPr>
            </w:pPr>
          </w:p>
        </w:tc>
        <w:tc>
          <w:tcPr>
            <w:tcW w:w="101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Base Indenture, dated as of January 24, 2023, among Dell International L.L.C, EMC Corporation, the guarantors party thereto and The Bank</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of New York Mellon Trust Company, N.A., as Trustee</w:t>
            </w:r>
          </w:p>
        </w:tc>
        <w:tc>
          <w:tcPr>
            <w:tcW w:w="6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0000EE"/>
                <w:w w:val="91"/>
              </w:rPr>
              <w:t>2028 Notes Supplemental Indenture No. 1, dated as of January 24, 2023, among Dell International L.L.C, EMC Corporation, the guarantors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party thereto and The Bank of New York Mellon Trust Company, N.A., as Trustee</w:t>
            </w:r>
          </w:p>
        </w:tc>
        <w:tc>
          <w:tcPr>
            <w:tcW w:w="4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0000EE"/>
                <w:w w:val="91"/>
              </w:rPr>
              <w:t>2033 Notes Supplemental Indenture No. 1, dated as of January 24, 2023, among Dell International L.L.C, EMC Corporation, the guarantors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party thereto and The Bank of New York Mellon Trust Company, N.A., as Trustee</w:t>
            </w:r>
          </w:p>
        </w:tc>
        <w:tc>
          <w:tcPr>
            <w:tcW w:w="414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Form of Global Note for 5.250% Senior Notes due 2028 (included in Exhibit 4.2)</w:t>
            </w:r>
          </w:p>
        </w:tc>
        <w:tc>
          <w:tcPr>
            <w:tcW w:w="4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0000EE"/>
              </w:rPr>
              <w:t>Form of Global Note for 5.750% Senior Notes due 2033 (included in Exhibit 4.3)</w:t>
            </w: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58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Opinion of Simpson Thacher &amp; Bartlett LLP</w:t>
            </w:r>
          </w:p>
        </w:tc>
        <w:tc>
          <w:tcPr>
            <w:tcW w:w="4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2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6"/>
              </w:rPr>
              <w:t>Opinion of Holland &amp; Knight LLP</w:t>
            </w:r>
          </w:p>
        </w:tc>
        <w:tc>
          <w:tcPr>
            <w:tcW w:w="720" w:type="dxa"/>
            <w:vAlign w:val="bottom"/>
            <w:tcBorders>
              <w:top w:val="single" w:sz="8" w:color="0000EE"/>
            </w:tcBorders>
          </w:tcPr>
          <w:p>
            <w:pPr>
              <w:spacing w:after="0"/>
              <w:rPr>
                <w:sz w:val="24"/>
                <w:szCs w:val="24"/>
                <w:color w:val="auto"/>
              </w:rPr>
            </w:pPr>
          </w:p>
        </w:tc>
        <w:tc>
          <w:tcPr>
            <w:tcW w:w="6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5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Consent of Simpson Thacher &amp; Bartlett LLP (included in Exhibit 5.1)</w:t>
            </w:r>
          </w:p>
        </w:tc>
        <w:tc>
          <w:tcPr>
            <w:tcW w:w="50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23.2</w:t>
            </w:r>
          </w:p>
        </w:tc>
        <w:tc>
          <w:tcPr>
            <w:tcW w:w="42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Consent of Holland &amp; Knight LLP (included in Exhibit 5.2)</w:t>
            </w:r>
          </w:p>
        </w:tc>
        <w:tc>
          <w:tcPr>
            <w:tcW w:w="58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301" w:right="4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January 24, 2023</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p>
      <w:pPr>
        <w:ind w:left="562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Christopher Garcia</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6"/>
          <w:szCs w:val="16"/>
          <w:color w:val="auto"/>
        </w:rPr>
        <w:t>Senior Vice President and Assistant Secretary</w:t>
      </w:r>
    </w:p>
    <w:p>
      <w:pPr>
        <w:spacing w:after="0" w:line="32"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(Duly Authorized Officer)</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BASE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January 24, 2023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DELL INTERNATIONAL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EMC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Issuers,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GUARANTORS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SENIOR DEBT SECURITIES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 MAY BE ISSUED FROM TIME TO TIME IN ONE OR MORE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420" w:type="dxa"/>
            <w:vAlign w:val="bottom"/>
            <w:gridSpan w:val="2"/>
          </w:tcPr>
          <w:p>
            <w:pPr>
              <w:ind w:left="2720"/>
              <w:spacing w:after="0"/>
              <w:rPr>
                <w:sz w:val="20"/>
                <w:szCs w:val="20"/>
                <w:color w:val="auto"/>
              </w:rPr>
            </w:pPr>
            <w:r>
              <w:rPr>
                <w:rFonts w:ascii="Arial" w:cs="Arial" w:eastAsia="Arial" w:hAnsi="Arial"/>
                <w:sz w:val="18"/>
                <w:szCs w:val="18"/>
                <w:color w:val="auto"/>
              </w:rPr>
              <w:t>CROSS-REFERENCE TABLE*</w:t>
            </w:r>
          </w:p>
        </w:tc>
      </w:tr>
      <w:tr>
        <w:trPr>
          <w:trHeight w:val="412"/>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Trust Indenture Act Section</w:t>
            </w:r>
          </w:p>
        </w:tc>
        <w:tc>
          <w:tcPr>
            <w:tcW w:w="80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Indenture Section</w:t>
            </w:r>
          </w:p>
        </w:tc>
      </w:tr>
      <w:tr>
        <w:trPr>
          <w:trHeight w:val="189"/>
        </w:trPr>
        <w:tc>
          <w:tcPr>
            <w:tcW w:w="1600" w:type="dxa"/>
            <w:vAlign w:val="bottom"/>
          </w:tcPr>
          <w:p>
            <w:pPr>
              <w:jc w:val="right"/>
              <w:ind w:right="830"/>
              <w:spacing w:after="0" w:line="189" w:lineRule="exact"/>
              <w:rPr>
                <w:sz w:val="20"/>
                <w:szCs w:val="20"/>
                <w:color w:val="auto"/>
              </w:rPr>
            </w:pPr>
            <w:r>
              <w:rPr>
                <w:rFonts w:ascii="Arial" w:cs="Arial" w:eastAsia="Arial" w:hAnsi="Arial"/>
                <w:sz w:val="18"/>
                <w:szCs w:val="18"/>
                <w:color w:val="auto"/>
                <w:w w:val="89"/>
              </w:rPr>
              <w:t>310(a)(1)</w:t>
            </w:r>
          </w:p>
        </w:tc>
        <w:tc>
          <w:tcPr>
            <w:tcW w:w="80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1"/>
              </w:rPr>
              <w:t>7.10</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(a)(2)</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7.10</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(a)(3)</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(a)(4)</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(a)(5)</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7.10</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7.10</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311(a)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7.11</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7.11</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312(a)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2.05</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13.03</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13.03</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313(a)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7.06</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(b)(1)</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(b)(2)</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9"/>
              </w:rPr>
              <w:t>7.06; 7.07</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center"/>
              <w:ind w:left="7990"/>
              <w:spacing w:after="0"/>
              <w:rPr>
                <w:sz w:val="20"/>
                <w:szCs w:val="20"/>
                <w:color w:val="auto"/>
              </w:rPr>
            </w:pPr>
            <w:r>
              <w:rPr>
                <w:rFonts w:ascii="Arial" w:cs="Arial" w:eastAsia="Arial" w:hAnsi="Arial"/>
                <w:sz w:val="18"/>
                <w:szCs w:val="18"/>
                <w:color w:val="auto"/>
                <w:w w:val="90"/>
              </w:rPr>
              <w:t>7.06; 13.02</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7.06</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314(a)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9"/>
              </w:rPr>
              <w:t>4.03; 4.04</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(c)(1)</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13.04</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(c)(2)</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13.04</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(c)(3)</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(d)</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13.04</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(f)</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315(a)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7.01</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7.05</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7.01</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9"/>
              </w:rPr>
              <w:t>7.01; 7.02</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6.14</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89"/>
              </w:rPr>
              <w:t>316(a)(1)</w:t>
            </w:r>
          </w:p>
        </w:tc>
        <w:tc>
          <w:tcPr>
            <w:tcW w:w="9420" w:type="dxa"/>
            <w:vAlign w:val="bottom"/>
            <w:gridSpan w:val="2"/>
          </w:tcPr>
          <w:p>
            <w:pPr>
              <w:jc w:val="center"/>
              <w:ind w:left="7990"/>
              <w:spacing w:after="0"/>
              <w:rPr>
                <w:sz w:val="20"/>
                <w:szCs w:val="20"/>
                <w:color w:val="auto"/>
              </w:rPr>
            </w:pPr>
            <w:r>
              <w:rPr>
                <w:rFonts w:ascii="Arial" w:cs="Arial" w:eastAsia="Arial" w:hAnsi="Arial"/>
                <w:sz w:val="18"/>
                <w:szCs w:val="18"/>
                <w:color w:val="auto"/>
                <w:w w:val="91"/>
              </w:rPr>
              <w:t>6.02; 6.04; 6.05</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rPr>
              <w:t>(a)(2)</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6.07</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1.05</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317(a)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6.12</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91"/>
              </w:rPr>
              <w:t>2.04</w:t>
            </w:r>
          </w:p>
        </w:tc>
      </w:tr>
      <w:tr>
        <w:trPr>
          <w:trHeight w:val="216"/>
        </w:trPr>
        <w:tc>
          <w:tcPr>
            <w:tcW w:w="1600" w:type="dxa"/>
            <w:vAlign w:val="bottom"/>
          </w:tcPr>
          <w:p>
            <w:pPr>
              <w:jc w:val="right"/>
              <w:ind w:right="1050"/>
              <w:spacing w:after="0"/>
              <w:rPr>
                <w:sz w:val="20"/>
                <w:szCs w:val="20"/>
                <w:color w:val="auto"/>
              </w:rPr>
            </w:pPr>
            <w:r>
              <w:rPr>
                <w:rFonts w:ascii="Arial" w:cs="Arial" w:eastAsia="Arial" w:hAnsi="Arial"/>
                <w:sz w:val="18"/>
                <w:szCs w:val="18"/>
                <w:color w:val="auto"/>
                <w:w w:val="84"/>
              </w:rPr>
              <w:t>318(a)</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13.01</w:t>
            </w:r>
          </w:p>
        </w:tc>
      </w:tr>
      <w:tr>
        <w:trPr>
          <w:trHeight w:val="216"/>
        </w:trPr>
        <w:tc>
          <w:tcPr>
            <w:tcW w:w="1600" w:type="dxa"/>
            <w:vAlign w:val="bottom"/>
          </w:tcPr>
          <w:p>
            <w:pPr>
              <w:ind w:left="260"/>
              <w:spacing w:after="0"/>
              <w:rPr>
                <w:sz w:val="20"/>
                <w:szCs w:val="20"/>
                <w:color w:val="auto"/>
              </w:rPr>
            </w:pPr>
            <w:r>
              <w:rPr>
                <w:rFonts w:ascii="Arial" w:cs="Arial" w:eastAsia="Arial" w:hAnsi="Arial"/>
                <w:sz w:val="18"/>
                <w:szCs w:val="18"/>
                <w:color w:val="auto"/>
              </w:rPr>
              <w:t>(b)</w:t>
            </w:r>
          </w:p>
        </w:tc>
        <w:tc>
          <w:tcPr>
            <w:tcW w:w="8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1600" w:type="dxa"/>
            <w:vAlign w:val="bottom"/>
          </w:tcPr>
          <w:p>
            <w:pPr>
              <w:ind w:left="26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center"/>
              <w:ind w:left="7970"/>
              <w:spacing w:after="0"/>
              <w:rPr>
                <w:sz w:val="20"/>
                <w:szCs w:val="20"/>
                <w:color w:val="auto"/>
              </w:rPr>
            </w:pPr>
            <w:r>
              <w:rPr>
                <w:rFonts w:ascii="Arial" w:cs="Arial" w:eastAsia="Arial" w:hAnsi="Arial"/>
                <w:sz w:val="18"/>
                <w:szCs w:val="18"/>
                <w:color w:val="auto"/>
                <w:w w:val="88"/>
              </w:rPr>
              <w:t>13.01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Cross-Reference Table is not part of the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9320" w:type="dxa"/>
            <w:vAlign w:val="bottom"/>
          </w:tcPr>
          <w:p>
            <w:pPr>
              <w:jc w:val="center"/>
              <w:ind w:right="890"/>
              <w:spacing w:after="0"/>
              <w:rPr>
                <w:sz w:val="20"/>
                <w:szCs w:val="20"/>
                <w:color w:val="auto"/>
              </w:rPr>
            </w:pPr>
            <w:r>
              <w:rPr>
                <w:rFonts w:ascii="Arial" w:cs="Arial" w:eastAsia="Arial" w:hAnsi="Arial"/>
                <w:sz w:val="18"/>
                <w:szCs w:val="18"/>
                <w:color w:val="auto"/>
                <w:w w:val="95"/>
              </w:rPr>
              <w:t>TABLE OF CONTENTS</w:t>
            </w:r>
          </w:p>
        </w:tc>
        <w:tc>
          <w:tcPr>
            <w:tcW w:w="300" w:type="dxa"/>
            <w:vAlign w:val="bottom"/>
          </w:tcPr>
          <w:p>
            <w:pPr>
              <w:spacing w:after="0"/>
              <w:rPr>
                <w:sz w:val="20"/>
                <w:szCs w:val="20"/>
                <w:color w:val="auto"/>
              </w:rPr>
            </w:pPr>
          </w:p>
        </w:tc>
      </w:tr>
      <w:tr>
        <w:trPr>
          <w:trHeight w:val="871"/>
        </w:trPr>
        <w:tc>
          <w:tcPr>
            <w:tcW w:w="13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418"/>
        </w:trPr>
        <w:tc>
          <w:tcPr>
            <w:tcW w:w="1340" w:type="dxa"/>
            <w:vAlign w:val="bottom"/>
          </w:tcPr>
          <w:p>
            <w:pPr>
              <w:spacing w:after="0"/>
              <w:rPr>
                <w:sz w:val="24"/>
                <w:szCs w:val="24"/>
                <w:color w:val="auto"/>
              </w:rPr>
            </w:pPr>
          </w:p>
        </w:tc>
        <w:tc>
          <w:tcPr>
            <w:tcW w:w="9320" w:type="dxa"/>
            <w:vAlign w:val="bottom"/>
          </w:tcPr>
          <w:p>
            <w:pPr>
              <w:jc w:val="center"/>
              <w:ind w:right="950"/>
              <w:spacing w:after="0"/>
              <w:rPr>
                <w:sz w:val="20"/>
                <w:szCs w:val="20"/>
                <w:color w:val="auto"/>
              </w:rPr>
            </w:pPr>
            <w:r>
              <w:rPr>
                <w:rFonts w:ascii="Arial" w:cs="Arial" w:eastAsia="Arial" w:hAnsi="Arial"/>
                <w:sz w:val="18"/>
                <w:szCs w:val="18"/>
                <w:color w:val="auto"/>
                <w:w w:val="96"/>
              </w:rPr>
              <w:t>ARTICLE 1</w:t>
            </w:r>
          </w:p>
        </w:tc>
        <w:tc>
          <w:tcPr>
            <w:tcW w:w="30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9320" w:type="dxa"/>
            <w:vAlign w:val="bottom"/>
          </w:tcPr>
          <w:p>
            <w:pPr>
              <w:jc w:val="center"/>
              <w:ind w:right="970"/>
              <w:spacing w:after="0"/>
              <w:rPr>
                <w:sz w:val="20"/>
                <w:szCs w:val="20"/>
                <w:color w:val="auto"/>
              </w:rPr>
            </w:pPr>
            <w:r>
              <w:rPr>
                <w:rFonts w:ascii="Arial" w:cs="Arial" w:eastAsia="Arial" w:hAnsi="Arial"/>
                <w:sz w:val="18"/>
                <w:szCs w:val="18"/>
                <w:color w:val="auto"/>
                <w:w w:val="96"/>
              </w:rPr>
              <w:t>DEFINITIONS AND INCORPORATION BY REFERENCE</w:t>
            </w:r>
          </w:p>
        </w:tc>
        <w:tc>
          <w:tcPr>
            <w:tcW w:w="30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1.01.</w:t>
            </w:r>
          </w:p>
        </w:tc>
        <w:tc>
          <w:tcPr>
            <w:tcW w:w="932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1.02.</w:t>
            </w:r>
          </w:p>
        </w:tc>
        <w:tc>
          <w:tcPr>
            <w:tcW w:w="9320" w:type="dxa"/>
            <w:vAlign w:val="bottom"/>
          </w:tcPr>
          <w:p>
            <w:pPr>
              <w:ind w:left="180"/>
              <w:spacing w:after="0"/>
              <w:rPr>
                <w:sz w:val="20"/>
                <w:szCs w:val="20"/>
                <w:color w:val="auto"/>
              </w:rPr>
            </w:pPr>
            <w:r>
              <w:rPr>
                <w:rFonts w:ascii="Arial" w:cs="Arial" w:eastAsia="Arial" w:hAnsi="Arial"/>
                <w:sz w:val="18"/>
                <w:szCs w:val="18"/>
                <w:color w:val="auto"/>
              </w:rPr>
              <w:t>Other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1.03.</w:t>
            </w:r>
          </w:p>
        </w:tc>
        <w:tc>
          <w:tcPr>
            <w:tcW w:w="9320" w:type="dxa"/>
            <w:vAlign w:val="bottom"/>
          </w:tcPr>
          <w:p>
            <w:pPr>
              <w:ind w:left="18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1.04.</w:t>
            </w:r>
          </w:p>
        </w:tc>
        <w:tc>
          <w:tcPr>
            <w:tcW w:w="9320" w:type="dxa"/>
            <w:vAlign w:val="bottom"/>
          </w:tcPr>
          <w:p>
            <w:pPr>
              <w:ind w:left="18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1.05.</w:t>
            </w:r>
          </w:p>
        </w:tc>
        <w:tc>
          <w:tcPr>
            <w:tcW w:w="9320" w:type="dxa"/>
            <w:vAlign w:val="bottom"/>
          </w:tcPr>
          <w:p>
            <w:pPr>
              <w:ind w:left="180"/>
              <w:spacing w:after="0"/>
              <w:rPr>
                <w:sz w:val="20"/>
                <w:szCs w:val="20"/>
                <w:color w:val="auto"/>
              </w:rPr>
            </w:pPr>
            <w:r>
              <w:rPr>
                <w:rFonts w:ascii="Arial" w:cs="Arial" w:eastAsia="Arial" w:hAnsi="Arial"/>
                <w:sz w:val="18"/>
                <w:szCs w:val="18"/>
                <w:color w:val="auto"/>
              </w:rPr>
              <w:t>Acts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340" w:type="dxa"/>
            <w:vAlign w:val="bottom"/>
          </w:tcPr>
          <w:p>
            <w:pPr>
              <w:spacing w:after="0"/>
              <w:rPr>
                <w:sz w:val="24"/>
                <w:szCs w:val="24"/>
                <w:color w:val="auto"/>
              </w:rPr>
            </w:pPr>
          </w:p>
        </w:tc>
        <w:tc>
          <w:tcPr>
            <w:tcW w:w="9320" w:type="dxa"/>
            <w:vAlign w:val="bottom"/>
          </w:tcPr>
          <w:p>
            <w:pPr>
              <w:jc w:val="center"/>
              <w:ind w:right="950"/>
              <w:spacing w:after="0"/>
              <w:rPr>
                <w:sz w:val="20"/>
                <w:szCs w:val="20"/>
                <w:color w:val="auto"/>
              </w:rPr>
            </w:pPr>
            <w:r>
              <w:rPr>
                <w:rFonts w:ascii="Arial" w:cs="Arial" w:eastAsia="Arial" w:hAnsi="Arial"/>
                <w:sz w:val="18"/>
                <w:szCs w:val="18"/>
                <w:color w:val="auto"/>
                <w:w w:val="96"/>
              </w:rPr>
              <w:t>ARTICLE 2</w:t>
            </w:r>
          </w:p>
        </w:tc>
        <w:tc>
          <w:tcPr>
            <w:tcW w:w="30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9320" w:type="dxa"/>
            <w:vAlign w:val="bottom"/>
          </w:tcPr>
          <w:p>
            <w:pPr>
              <w:jc w:val="center"/>
              <w:ind w:right="970"/>
              <w:spacing w:after="0"/>
              <w:rPr>
                <w:sz w:val="20"/>
                <w:szCs w:val="20"/>
                <w:color w:val="auto"/>
              </w:rPr>
            </w:pPr>
            <w:r>
              <w:rPr>
                <w:rFonts w:ascii="Arial" w:cs="Arial" w:eastAsia="Arial" w:hAnsi="Arial"/>
                <w:sz w:val="18"/>
                <w:szCs w:val="18"/>
                <w:color w:val="auto"/>
                <w:w w:val="95"/>
              </w:rPr>
              <w:t>THE SECURITIES</w:t>
            </w:r>
          </w:p>
        </w:tc>
        <w:tc>
          <w:tcPr>
            <w:tcW w:w="30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2.01.</w:t>
            </w:r>
          </w:p>
        </w:tc>
        <w:tc>
          <w:tcPr>
            <w:tcW w:w="9320" w:type="dxa"/>
            <w:vAlign w:val="bottom"/>
          </w:tcPr>
          <w:p>
            <w:pPr>
              <w:ind w:left="180"/>
              <w:spacing w:after="0"/>
              <w:rPr>
                <w:sz w:val="20"/>
                <w:szCs w:val="20"/>
                <w:color w:val="auto"/>
              </w:rPr>
            </w:pPr>
            <w:r>
              <w:rPr>
                <w:rFonts w:ascii="Arial" w:cs="Arial" w:eastAsia="Arial" w:hAnsi="Arial"/>
                <w:sz w:val="18"/>
                <w:szCs w:val="18"/>
                <w:color w:val="auto"/>
              </w:rPr>
              <w:t>Form and Dating;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2.02.</w:t>
            </w:r>
          </w:p>
        </w:tc>
        <w:tc>
          <w:tcPr>
            <w:tcW w:w="9320" w:type="dxa"/>
            <w:vAlign w:val="bottom"/>
          </w:tcPr>
          <w:p>
            <w:pPr>
              <w:ind w:left="180"/>
              <w:spacing w:after="0"/>
              <w:rPr>
                <w:sz w:val="20"/>
                <w:szCs w:val="20"/>
                <w:color w:val="auto"/>
              </w:rPr>
            </w:pPr>
            <w:r>
              <w:rPr>
                <w:rFonts w:ascii="Arial" w:cs="Arial" w:eastAsia="Arial" w:hAnsi="Arial"/>
                <w:sz w:val="18"/>
                <w:szCs w:val="18"/>
                <w:color w:val="auto"/>
              </w:rPr>
              <w:t>Execution and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2.03.</w:t>
            </w:r>
          </w:p>
        </w:tc>
        <w:tc>
          <w:tcPr>
            <w:tcW w:w="9320" w:type="dxa"/>
            <w:vAlign w:val="bottom"/>
          </w:tcPr>
          <w:p>
            <w:pPr>
              <w:ind w:left="180"/>
              <w:spacing w:after="0"/>
              <w:rPr>
                <w:sz w:val="20"/>
                <w:szCs w:val="20"/>
                <w:color w:val="auto"/>
              </w:rPr>
            </w:pPr>
            <w:r>
              <w:rPr>
                <w:rFonts w:ascii="Arial" w:cs="Arial" w:eastAsia="Arial" w:hAnsi="Arial"/>
                <w:sz w:val="18"/>
                <w:szCs w:val="18"/>
                <w:color w:val="auto"/>
              </w:rPr>
              <w:t>Registrar and Paying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2.04.</w:t>
            </w:r>
          </w:p>
        </w:tc>
        <w:tc>
          <w:tcPr>
            <w:tcW w:w="9320" w:type="dxa"/>
            <w:vAlign w:val="bottom"/>
          </w:tcPr>
          <w:p>
            <w:pPr>
              <w:ind w:left="18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2.05.</w:t>
            </w:r>
          </w:p>
        </w:tc>
        <w:tc>
          <w:tcPr>
            <w:tcW w:w="9320" w:type="dxa"/>
            <w:vAlign w:val="bottom"/>
          </w:tcPr>
          <w:p>
            <w:pPr>
              <w:ind w:left="180"/>
              <w:spacing w:after="0"/>
              <w:rPr>
                <w:sz w:val="20"/>
                <w:szCs w:val="20"/>
                <w:color w:val="auto"/>
              </w:rPr>
            </w:pPr>
            <w:r>
              <w:rPr>
                <w:rFonts w:ascii="Arial" w:cs="Arial" w:eastAsia="Arial" w:hAnsi="Arial"/>
                <w:sz w:val="18"/>
                <w:szCs w:val="18"/>
                <w:color w:val="auto"/>
              </w:rPr>
              <w:t>Holder Lists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2.06.</w:t>
            </w:r>
          </w:p>
        </w:tc>
        <w:tc>
          <w:tcPr>
            <w:tcW w:w="9320" w:type="dxa"/>
            <w:vAlign w:val="bottom"/>
          </w:tcPr>
          <w:p>
            <w:pPr>
              <w:ind w:left="180"/>
              <w:spacing w:after="0"/>
              <w:rPr>
                <w:sz w:val="20"/>
                <w:szCs w:val="20"/>
                <w:color w:val="auto"/>
              </w:rPr>
            </w:pPr>
            <w:r>
              <w:rPr>
                <w:rFonts w:ascii="Arial" w:cs="Arial" w:eastAsia="Arial" w:hAnsi="Arial"/>
                <w:sz w:val="18"/>
                <w:szCs w:val="18"/>
                <w:color w:val="auto"/>
              </w:rPr>
              <w:t>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2.07.</w:t>
            </w:r>
          </w:p>
        </w:tc>
        <w:tc>
          <w:tcPr>
            <w:tcW w:w="9320" w:type="dxa"/>
            <w:vAlign w:val="bottom"/>
          </w:tcPr>
          <w:p>
            <w:pPr>
              <w:ind w:left="180"/>
              <w:spacing w:after="0"/>
              <w:rPr>
                <w:sz w:val="20"/>
                <w:szCs w:val="20"/>
                <w:color w:val="auto"/>
              </w:rPr>
            </w:pPr>
            <w:r>
              <w:rPr>
                <w:rFonts w:ascii="Arial" w:cs="Arial" w:eastAsia="Arial" w:hAnsi="Arial"/>
                <w:sz w:val="18"/>
                <w:szCs w:val="18"/>
                <w:color w:val="auto"/>
              </w:rPr>
              <w:t>Replacement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2.08.</w:t>
            </w:r>
          </w:p>
        </w:tc>
        <w:tc>
          <w:tcPr>
            <w:tcW w:w="9320" w:type="dxa"/>
            <w:vAlign w:val="bottom"/>
          </w:tcPr>
          <w:p>
            <w:pPr>
              <w:ind w:left="180"/>
              <w:spacing w:after="0"/>
              <w:rPr>
                <w:sz w:val="20"/>
                <w:szCs w:val="20"/>
                <w:color w:val="auto"/>
              </w:rPr>
            </w:pPr>
            <w:r>
              <w:rPr>
                <w:rFonts w:ascii="Arial" w:cs="Arial" w:eastAsia="Arial" w:hAnsi="Arial"/>
                <w:sz w:val="18"/>
                <w:szCs w:val="18"/>
                <w:color w:val="auto"/>
              </w:rPr>
              <w:t>Outstanding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2.09.</w:t>
            </w:r>
          </w:p>
        </w:tc>
        <w:tc>
          <w:tcPr>
            <w:tcW w:w="9320" w:type="dxa"/>
            <w:vAlign w:val="bottom"/>
          </w:tcPr>
          <w:p>
            <w:pPr>
              <w:ind w:left="180"/>
              <w:spacing w:after="0"/>
              <w:rPr>
                <w:sz w:val="20"/>
                <w:szCs w:val="20"/>
                <w:color w:val="auto"/>
              </w:rPr>
            </w:pPr>
            <w:r>
              <w:rPr>
                <w:rFonts w:ascii="Arial" w:cs="Arial" w:eastAsia="Arial" w:hAnsi="Arial"/>
                <w:sz w:val="18"/>
                <w:szCs w:val="18"/>
                <w:color w:val="auto"/>
              </w:rPr>
              <w:t>Treasury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2.10.</w:t>
            </w:r>
          </w:p>
        </w:tc>
        <w:tc>
          <w:tcPr>
            <w:tcW w:w="9320" w:type="dxa"/>
            <w:vAlign w:val="bottom"/>
          </w:tcPr>
          <w:p>
            <w:pPr>
              <w:ind w:left="18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2.11.</w:t>
            </w:r>
          </w:p>
        </w:tc>
        <w:tc>
          <w:tcPr>
            <w:tcW w:w="9320" w:type="dxa"/>
            <w:vAlign w:val="bottom"/>
          </w:tcPr>
          <w:p>
            <w:pPr>
              <w:ind w:left="18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2.12.</w:t>
            </w:r>
          </w:p>
        </w:tc>
        <w:tc>
          <w:tcPr>
            <w:tcW w:w="9320" w:type="dxa"/>
            <w:vAlign w:val="bottom"/>
          </w:tcPr>
          <w:p>
            <w:pPr>
              <w:ind w:left="180"/>
              <w:spacing w:after="0"/>
              <w:rPr>
                <w:sz w:val="20"/>
                <w:szCs w:val="20"/>
                <w:color w:val="auto"/>
              </w:rPr>
            </w:pPr>
            <w:r>
              <w:rPr>
                <w:rFonts w:ascii="Arial" w:cs="Arial" w:eastAsia="Arial" w:hAnsi="Arial"/>
                <w:sz w:val="18"/>
                <w:szCs w:val="18"/>
                <w:color w:val="auto"/>
              </w:rPr>
              <w:t>Defaulted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2.13.</w:t>
            </w:r>
          </w:p>
        </w:tc>
        <w:tc>
          <w:tcPr>
            <w:tcW w:w="9320" w:type="dxa"/>
            <w:vAlign w:val="bottom"/>
          </w:tcPr>
          <w:p>
            <w:pPr>
              <w:ind w:left="18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2.14.</w:t>
            </w:r>
          </w:p>
        </w:tc>
        <w:tc>
          <w:tcPr>
            <w:tcW w:w="9320" w:type="dxa"/>
            <w:vAlign w:val="bottom"/>
          </w:tcPr>
          <w:p>
            <w:pPr>
              <w:ind w:left="180"/>
              <w:spacing w:after="0"/>
              <w:rPr>
                <w:sz w:val="20"/>
                <w:szCs w:val="20"/>
                <w:color w:val="auto"/>
              </w:rPr>
            </w:pPr>
            <w:r>
              <w:rPr>
                <w:rFonts w:ascii="Arial" w:cs="Arial" w:eastAsia="Arial" w:hAnsi="Arial"/>
                <w:sz w:val="18"/>
                <w:szCs w:val="18"/>
                <w:color w:val="auto"/>
              </w:rPr>
              <w:t>Original Issue Discount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340" w:type="dxa"/>
            <w:vAlign w:val="bottom"/>
          </w:tcPr>
          <w:p>
            <w:pPr>
              <w:spacing w:after="0"/>
              <w:rPr>
                <w:sz w:val="24"/>
                <w:szCs w:val="24"/>
                <w:color w:val="auto"/>
              </w:rPr>
            </w:pPr>
          </w:p>
        </w:tc>
        <w:tc>
          <w:tcPr>
            <w:tcW w:w="9320" w:type="dxa"/>
            <w:vAlign w:val="bottom"/>
          </w:tcPr>
          <w:p>
            <w:pPr>
              <w:jc w:val="center"/>
              <w:ind w:right="950"/>
              <w:spacing w:after="0"/>
              <w:rPr>
                <w:sz w:val="20"/>
                <w:szCs w:val="20"/>
                <w:color w:val="auto"/>
              </w:rPr>
            </w:pPr>
            <w:r>
              <w:rPr>
                <w:rFonts w:ascii="Arial" w:cs="Arial" w:eastAsia="Arial" w:hAnsi="Arial"/>
                <w:sz w:val="18"/>
                <w:szCs w:val="18"/>
                <w:color w:val="auto"/>
                <w:w w:val="96"/>
              </w:rPr>
              <w:t>ARTICLE 3</w:t>
            </w:r>
          </w:p>
        </w:tc>
        <w:tc>
          <w:tcPr>
            <w:tcW w:w="30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9320" w:type="dxa"/>
            <w:vAlign w:val="bottom"/>
          </w:tcPr>
          <w:p>
            <w:pPr>
              <w:jc w:val="center"/>
              <w:ind w:right="950"/>
              <w:spacing w:after="0"/>
              <w:rPr>
                <w:sz w:val="20"/>
                <w:szCs w:val="20"/>
                <w:color w:val="auto"/>
              </w:rPr>
            </w:pPr>
            <w:r>
              <w:rPr>
                <w:rFonts w:ascii="Arial" w:cs="Arial" w:eastAsia="Arial" w:hAnsi="Arial"/>
                <w:sz w:val="18"/>
                <w:szCs w:val="18"/>
                <w:color w:val="auto"/>
                <w:w w:val="96"/>
              </w:rPr>
              <w:t>REDEMPTION</w:t>
            </w:r>
          </w:p>
        </w:tc>
        <w:tc>
          <w:tcPr>
            <w:tcW w:w="30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3.01.</w:t>
            </w:r>
          </w:p>
        </w:tc>
        <w:tc>
          <w:tcPr>
            <w:tcW w:w="9320" w:type="dxa"/>
            <w:vAlign w:val="bottom"/>
          </w:tcPr>
          <w:p>
            <w:pPr>
              <w:ind w:left="180"/>
              <w:spacing w:after="0"/>
              <w:rPr>
                <w:sz w:val="20"/>
                <w:szCs w:val="20"/>
                <w:color w:val="auto"/>
              </w:rPr>
            </w:pPr>
            <w:r>
              <w:rPr>
                <w:rFonts w:ascii="Arial" w:cs="Arial" w:eastAsia="Arial" w:hAnsi="Arial"/>
                <w:sz w:val="18"/>
                <w:szCs w:val="18"/>
                <w:color w:val="auto"/>
              </w:rPr>
              <w:t>Notices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3.02.</w:t>
            </w:r>
          </w:p>
        </w:tc>
        <w:tc>
          <w:tcPr>
            <w:tcW w:w="9320" w:type="dxa"/>
            <w:vAlign w:val="bottom"/>
          </w:tcPr>
          <w:p>
            <w:pPr>
              <w:ind w:left="180"/>
              <w:spacing w:after="0"/>
              <w:rPr>
                <w:sz w:val="20"/>
                <w:szCs w:val="20"/>
                <w:color w:val="auto"/>
              </w:rPr>
            </w:pPr>
            <w:r>
              <w:rPr>
                <w:rFonts w:ascii="Arial" w:cs="Arial" w:eastAsia="Arial" w:hAnsi="Arial"/>
                <w:sz w:val="18"/>
                <w:szCs w:val="18"/>
                <w:color w:val="auto"/>
              </w:rPr>
              <w:t>Selection of Securities to Be Redeemed or Purchased</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3.03.</w:t>
            </w:r>
          </w:p>
        </w:tc>
        <w:tc>
          <w:tcPr>
            <w:tcW w:w="932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3.04.</w:t>
            </w:r>
          </w:p>
        </w:tc>
        <w:tc>
          <w:tcPr>
            <w:tcW w:w="9320" w:type="dxa"/>
            <w:vAlign w:val="bottom"/>
          </w:tcPr>
          <w:p>
            <w:pPr>
              <w:ind w:left="180"/>
              <w:spacing w:after="0"/>
              <w:rPr>
                <w:sz w:val="20"/>
                <w:szCs w:val="20"/>
                <w:color w:val="auto"/>
              </w:rPr>
            </w:pPr>
            <w:r>
              <w:rPr>
                <w:rFonts w:ascii="Arial" w:cs="Arial" w:eastAsia="Arial" w:hAnsi="Arial"/>
                <w:sz w:val="18"/>
                <w:szCs w:val="18"/>
                <w:color w:val="auto"/>
              </w:rPr>
              <w:t>Effect of Notice of Redemption or Purchase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3.05.</w:t>
            </w:r>
          </w:p>
        </w:tc>
        <w:tc>
          <w:tcPr>
            <w:tcW w:w="9320" w:type="dxa"/>
            <w:vAlign w:val="bottom"/>
          </w:tcPr>
          <w:p>
            <w:pPr>
              <w:ind w:left="180"/>
              <w:spacing w:after="0"/>
              <w:rPr>
                <w:sz w:val="20"/>
                <w:szCs w:val="20"/>
                <w:color w:val="auto"/>
              </w:rPr>
            </w:pPr>
            <w:r>
              <w:rPr>
                <w:rFonts w:ascii="Arial" w:cs="Arial" w:eastAsia="Arial" w:hAnsi="Arial"/>
                <w:sz w:val="18"/>
                <w:szCs w:val="18"/>
                <w:color w:val="auto"/>
              </w:rPr>
              <w:t>Deposit of Redemption or 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3.06.</w:t>
            </w:r>
          </w:p>
        </w:tc>
        <w:tc>
          <w:tcPr>
            <w:tcW w:w="9320" w:type="dxa"/>
            <w:vAlign w:val="bottom"/>
          </w:tcPr>
          <w:p>
            <w:pPr>
              <w:ind w:left="180"/>
              <w:spacing w:after="0"/>
              <w:rPr>
                <w:sz w:val="20"/>
                <w:szCs w:val="20"/>
                <w:color w:val="auto"/>
              </w:rPr>
            </w:pPr>
            <w:r>
              <w:rPr>
                <w:rFonts w:ascii="Arial" w:cs="Arial" w:eastAsia="Arial" w:hAnsi="Arial"/>
                <w:sz w:val="18"/>
                <w:szCs w:val="18"/>
                <w:color w:val="auto"/>
              </w:rPr>
              <w:t>Securities Redeemed or Purchased in Part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3.07.</w:t>
            </w:r>
          </w:p>
        </w:tc>
        <w:tc>
          <w:tcPr>
            <w:tcW w:w="932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3.08.</w:t>
            </w:r>
          </w:p>
        </w:tc>
        <w:tc>
          <w:tcPr>
            <w:tcW w:w="9320" w:type="dxa"/>
            <w:vAlign w:val="bottom"/>
          </w:tcPr>
          <w:p>
            <w:pPr>
              <w:ind w:left="180"/>
              <w:spacing w:after="0"/>
              <w:rPr>
                <w:sz w:val="20"/>
                <w:szCs w:val="20"/>
                <w:color w:val="auto"/>
              </w:rPr>
            </w:pPr>
            <w:r>
              <w:rPr>
                <w:rFonts w:ascii="Arial" w:cs="Arial" w:eastAsia="Arial" w:hAnsi="Arial"/>
                <w:sz w:val="18"/>
                <w:szCs w:val="18"/>
                <w:color w:val="auto"/>
              </w:rPr>
              <w:t>Mandatory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ARTICLE 4</w:t>
            </w:r>
          </w:p>
        </w:tc>
        <w:tc>
          <w:tcPr>
            <w:tcW w:w="1920" w:type="dxa"/>
            <w:vAlign w:val="bottom"/>
          </w:tcPr>
          <w:p>
            <w:pPr>
              <w:spacing w:after="0"/>
              <w:rPr>
                <w:sz w:val="20"/>
                <w:szCs w:val="20"/>
                <w:color w:val="auto"/>
              </w:rPr>
            </w:pPr>
          </w:p>
        </w:tc>
      </w:tr>
      <w:tr>
        <w:trPr>
          <w:trHeight w:val="337"/>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COVENANTS</w:t>
            </w:r>
          </w:p>
        </w:tc>
        <w:tc>
          <w:tcPr>
            <w:tcW w:w="192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4.01.</w:t>
            </w:r>
          </w:p>
        </w:tc>
        <w:tc>
          <w:tcPr>
            <w:tcW w:w="7700" w:type="dxa"/>
            <w:vAlign w:val="bottom"/>
          </w:tcPr>
          <w:p>
            <w:pPr>
              <w:ind w:left="180"/>
              <w:spacing w:after="0"/>
              <w:rPr>
                <w:sz w:val="20"/>
                <w:szCs w:val="20"/>
                <w:color w:val="auto"/>
              </w:rPr>
            </w:pPr>
            <w:r>
              <w:rPr>
                <w:rFonts w:ascii="Arial" w:cs="Arial" w:eastAsia="Arial" w:hAnsi="Arial"/>
                <w:sz w:val="18"/>
                <w:szCs w:val="18"/>
                <w:color w:val="auto"/>
              </w:rPr>
              <w:t>Payment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4.02.</w:t>
            </w:r>
          </w:p>
        </w:tc>
        <w:tc>
          <w:tcPr>
            <w:tcW w:w="770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4.03.</w:t>
            </w:r>
          </w:p>
        </w:tc>
        <w:tc>
          <w:tcPr>
            <w:tcW w:w="7700" w:type="dxa"/>
            <w:vAlign w:val="bottom"/>
          </w:tcPr>
          <w:p>
            <w:pPr>
              <w:ind w:left="180"/>
              <w:spacing w:after="0"/>
              <w:rPr>
                <w:sz w:val="20"/>
                <w:szCs w:val="20"/>
                <w:color w:val="auto"/>
              </w:rPr>
            </w:pPr>
            <w:r>
              <w:rPr>
                <w:rFonts w:ascii="Arial" w:cs="Arial" w:eastAsia="Arial" w:hAnsi="Arial"/>
                <w:sz w:val="18"/>
                <w:szCs w:val="18"/>
                <w:color w:val="auto"/>
              </w:rPr>
              <w:t>Reports and Other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4.04.</w:t>
            </w:r>
          </w:p>
        </w:tc>
        <w:tc>
          <w:tcPr>
            <w:tcW w:w="7700" w:type="dxa"/>
            <w:vAlign w:val="bottom"/>
          </w:tcPr>
          <w:p>
            <w:pPr>
              <w:ind w:left="180"/>
              <w:spacing w:after="0"/>
              <w:rPr>
                <w:sz w:val="20"/>
                <w:szCs w:val="20"/>
                <w:color w:val="auto"/>
              </w:rPr>
            </w:pPr>
            <w:r>
              <w:rPr>
                <w:rFonts w:ascii="Arial" w:cs="Arial" w:eastAsia="Arial" w:hAnsi="Arial"/>
                <w:sz w:val="18"/>
                <w:szCs w:val="18"/>
                <w:color w:val="auto"/>
              </w:rPr>
              <w:t>Compliance Certificate</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4.05.</w:t>
            </w:r>
          </w:p>
        </w:tc>
        <w:tc>
          <w:tcPr>
            <w:tcW w:w="7700" w:type="dxa"/>
            <w:vAlign w:val="bottom"/>
          </w:tcPr>
          <w:p>
            <w:pPr>
              <w:ind w:left="180"/>
              <w:spacing w:after="0"/>
              <w:rPr>
                <w:sz w:val="20"/>
                <w:szCs w:val="20"/>
                <w:color w:val="auto"/>
              </w:rPr>
            </w:pPr>
            <w:r>
              <w:rPr>
                <w:rFonts w:ascii="Arial" w:cs="Arial" w:eastAsia="Arial" w:hAnsi="Arial"/>
                <w:sz w:val="18"/>
                <w:szCs w:val="18"/>
                <w:color w:val="auto"/>
              </w:rPr>
              <w:t>Taxes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4.06.</w:t>
            </w:r>
          </w:p>
        </w:tc>
        <w:tc>
          <w:tcPr>
            <w:tcW w:w="7700" w:type="dxa"/>
            <w:vAlign w:val="bottom"/>
          </w:tcPr>
          <w:p>
            <w:pPr>
              <w:ind w:left="180"/>
              <w:spacing w:after="0"/>
              <w:rPr>
                <w:sz w:val="20"/>
                <w:szCs w:val="20"/>
                <w:color w:val="auto"/>
              </w:rPr>
            </w:pPr>
            <w:r>
              <w:rPr>
                <w:rFonts w:ascii="Arial" w:cs="Arial" w:eastAsia="Arial" w:hAnsi="Arial"/>
                <w:sz w:val="18"/>
                <w:szCs w:val="18"/>
                <w:color w:val="auto"/>
              </w:rPr>
              <w:t>Stay, Extension and Usury Laws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4.07.</w:t>
            </w:r>
          </w:p>
        </w:tc>
        <w:tc>
          <w:tcPr>
            <w:tcW w:w="7700" w:type="dxa"/>
            <w:vAlign w:val="bottom"/>
          </w:tcPr>
          <w:p>
            <w:pPr>
              <w:ind w:left="180"/>
              <w:spacing w:after="0"/>
              <w:rPr>
                <w:sz w:val="20"/>
                <w:szCs w:val="20"/>
                <w:color w:val="auto"/>
              </w:rPr>
            </w:pPr>
            <w:r>
              <w:rPr>
                <w:rFonts w:ascii="Arial" w:cs="Arial" w:eastAsia="Arial" w:hAnsi="Arial"/>
                <w:sz w:val="18"/>
                <w:szCs w:val="18"/>
                <w:color w:val="auto"/>
              </w:rPr>
              <w:t>Additional Amounts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4.08.</w:t>
            </w:r>
          </w:p>
        </w:tc>
        <w:tc>
          <w:tcPr>
            <w:tcW w:w="7700" w:type="dxa"/>
            <w:vAlign w:val="bottom"/>
          </w:tcPr>
          <w:p>
            <w:pPr>
              <w:ind w:left="180"/>
              <w:spacing w:after="0"/>
              <w:rPr>
                <w:sz w:val="20"/>
                <w:szCs w:val="20"/>
                <w:color w:val="auto"/>
              </w:rPr>
            </w:pPr>
            <w:r>
              <w:rPr>
                <w:rFonts w:ascii="Arial" w:cs="Arial" w:eastAsia="Arial" w:hAnsi="Arial"/>
                <w:sz w:val="18"/>
                <w:szCs w:val="18"/>
                <w:color w:val="auto"/>
              </w:rPr>
              <w:t>Corporate Existence</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ARTICLE 5</w:t>
            </w:r>
          </w:p>
        </w:tc>
        <w:tc>
          <w:tcPr>
            <w:tcW w:w="192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88"/>
              </w:rPr>
              <w:t>SUCCESSORS</w:t>
            </w:r>
          </w:p>
        </w:tc>
        <w:tc>
          <w:tcPr>
            <w:tcW w:w="192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5.01.</w:t>
            </w:r>
          </w:p>
        </w:tc>
        <w:tc>
          <w:tcPr>
            <w:tcW w:w="7700" w:type="dxa"/>
            <w:vAlign w:val="bottom"/>
          </w:tcPr>
          <w:p>
            <w:pPr>
              <w:ind w:left="180"/>
              <w:spacing w:after="0"/>
              <w:rPr>
                <w:sz w:val="20"/>
                <w:szCs w:val="20"/>
                <w:color w:val="auto"/>
              </w:rPr>
            </w:pPr>
            <w:r>
              <w:rPr>
                <w:rFonts w:ascii="Arial" w:cs="Arial" w:eastAsia="Arial" w:hAnsi="Arial"/>
                <w:sz w:val="18"/>
                <w:szCs w:val="18"/>
                <w:color w:val="auto"/>
              </w:rPr>
              <w:t>Merger, Consolidation, Amalgamation or Sale of All or Substantially All Assets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5.02.</w:t>
            </w:r>
          </w:p>
        </w:tc>
        <w:tc>
          <w:tcPr>
            <w:tcW w:w="7700" w:type="dxa"/>
            <w:vAlign w:val="bottom"/>
          </w:tcPr>
          <w:p>
            <w:pPr>
              <w:ind w:left="180"/>
              <w:spacing w:after="0"/>
              <w:rPr>
                <w:sz w:val="20"/>
                <w:szCs w:val="20"/>
                <w:color w:val="auto"/>
              </w:rPr>
            </w:pPr>
            <w:r>
              <w:rPr>
                <w:rFonts w:ascii="Arial" w:cs="Arial" w:eastAsia="Arial" w:hAnsi="Arial"/>
                <w:sz w:val="18"/>
                <w:szCs w:val="18"/>
                <w:color w:val="auto"/>
              </w:rPr>
              <w:t>Successor Corporation Substituted</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ARTICLE 6</w:t>
            </w:r>
          </w:p>
        </w:tc>
        <w:tc>
          <w:tcPr>
            <w:tcW w:w="192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DEFAULTS AND REMEDIES</w:t>
            </w:r>
          </w:p>
        </w:tc>
        <w:tc>
          <w:tcPr>
            <w:tcW w:w="192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6.01.</w:t>
            </w:r>
          </w:p>
        </w:tc>
        <w:tc>
          <w:tcPr>
            <w:tcW w:w="770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6.02.</w:t>
            </w:r>
          </w:p>
        </w:tc>
        <w:tc>
          <w:tcPr>
            <w:tcW w:w="7700" w:type="dxa"/>
            <w:vAlign w:val="bottom"/>
          </w:tcPr>
          <w:p>
            <w:pPr>
              <w:ind w:left="180"/>
              <w:spacing w:after="0"/>
              <w:rPr>
                <w:sz w:val="20"/>
                <w:szCs w:val="20"/>
                <w:color w:val="auto"/>
              </w:rPr>
            </w:pPr>
            <w:r>
              <w:rPr>
                <w:rFonts w:ascii="Arial" w:cs="Arial" w:eastAsia="Arial" w:hAnsi="Arial"/>
                <w:sz w:val="18"/>
                <w:szCs w:val="18"/>
                <w:color w:val="auto"/>
              </w:rPr>
              <w:t>Acceleration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6.03.</w:t>
            </w:r>
          </w:p>
        </w:tc>
        <w:tc>
          <w:tcPr>
            <w:tcW w:w="7700" w:type="dxa"/>
            <w:vAlign w:val="bottom"/>
          </w:tcPr>
          <w:p>
            <w:pPr>
              <w:ind w:left="180"/>
              <w:spacing w:after="0"/>
              <w:rPr>
                <w:sz w:val="20"/>
                <w:szCs w:val="20"/>
                <w:color w:val="auto"/>
              </w:rPr>
            </w:pPr>
            <w:r>
              <w:rPr>
                <w:rFonts w:ascii="Arial" w:cs="Arial" w:eastAsia="Arial" w:hAnsi="Arial"/>
                <w:sz w:val="18"/>
                <w:szCs w:val="18"/>
                <w:color w:val="auto"/>
              </w:rPr>
              <w:t>Other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6.04.</w:t>
            </w:r>
          </w:p>
        </w:tc>
        <w:tc>
          <w:tcPr>
            <w:tcW w:w="770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6.05.</w:t>
            </w:r>
          </w:p>
        </w:tc>
        <w:tc>
          <w:tcPr>
            <w:tcW w:w="7700" w:type="dxa"/>
            <w:vAlign w:val="bottom"/>
          </w:tcPr>
          <w:p>
            <w:pPr>
              <w:ind w:left="180"/>
              <w:spacing w:after="0"/>
              <w:rPr>
                <w:sz w:val="20"/>
                <w:szCs w:val="20"/>
                <w:color w:val="auto"/>
              </w:rPr>
            </w:pPr>
            <w:r>
              <w:rPr>
                <w:rFonts w:ascii="Arial" w:cs="Arial" w:eastAsia="Arial" w:hAnsi="Arial"/>
                <w:sz w:val="18"/>
                <w:szCs w:val="18"/>
                <w:color w:val="auto"/>
              </w:rPr>
              <w:t>Control by Majority</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6.06.</w:t>
            </w:r>
          </w:p>
        </w:tc>
        <w:tc>
          <w:tcPr>
            <w:tcW w:w="770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6.07.</w:t>
            </w:r>
          </w:p>
        </w:tc>
        <w:tc>
          <w:tcPr>
            <w:tcW w:w="7700" w:type="dxa"/>
            <w:vAlign w:val="bottom"/>
          </w:tcPr>
          <w:p>
            <w:pPr>
              <w:ind w:left="180"/>
              <w:spacing w:after="0"/>
              <w:rPr>
                <w:sz w:val="20"/>
                <w:szCs w:val="20"/>
                <w:color w:val="auto"/>
              </w:rPr>
            </w:pPr>
            <w:r>
              <w:rPr>
                <w:rFonts w:ascii="Arial" w:cs="Arial" w:eastAsia="Arial" w:hAnsi="Arial"/>
                <w:sz w:val="18"/>
                <w:szCs w:val="18"/>
                <w:color w:val="auto"/>
              </w:rPr>
              <w:t>Rights of Holders of Securities to Receive Payment</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6.08.</w:t>
            </w:r>
          </w:p>
        </w:tc>
        <w:tc>
          <w:tcPr>
            <w:tcW w:w="7700" w:type="dxa"/>
            <w:vAlign w:val="bottom"/>
          </w:tcPr>
          <w:p>
            <w:pPr>
              <w:ind w:left="180"/>
              <w:spacing w:after="0"/>
              <w:rPr>
                <w:sz w:val="20"/>
                <w:szCs w:val="20"/>
                <w:color w:val="auto"/>
              </w:rPr>
            </w:pPr>
            <w:r>
              <w:rPr>
                <w:rFonts w:ascii="Arial" w:cs="Arial" w:eastAsia="Arial" w:hAnsi="Arial"/>
                <w:sz w:val="18"/>
                <w:szCs w:val="18"/>
                <w:color w:val="auto"/>
              </w:rPr>
              <w:t>Collection Suit by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6.09.</w:t>
            </w:r>
          </w:p>
        </w:tc>
        <w:tc>
          <w:tcPr>
            <w:tcW w:w="770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6.10.</w:t>
            </w:r>
          </w:p>
        </w:tc>
        <w:tc>
          <w:tcPr>
            <w:tcW w:w="770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6.11.</w:t>
            </w:r>
          </w:p>
        </w:tc>
        <w:tc>
          <w:tcPr>
            <w:tcW w:w="770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6.12.</w:t>
            </w:r>
          </w:p>
        </w:tc>
        <w:tc>
          <w:tcPr>
            <w:tcW w:w="770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6.13.</w:t>
            </w:r>
          </w:p>
        </w:tc>
        <w:tc>
          <w:tcPr>
            <w:tcW w:w="7700" w:type="dxa"/>
            <w:vAlign w:val="bottom"/>
          </w:tcPr>
          <w:p>
            <w:pPr>
              <w:ind w:left="180"/>
              <w:spacing w:after="0"/>
              <w:rPr>
                <w:sz w:val="20"/>
                <w:szCs w:val="20"/>
                <w:color w:val="auto"/>
              </w:rPr>
            </w:pPr>
            <w:r>
              <w:rPr>
                <w:rFonts w:ascii="Arial" w:cs="Arial" w:eastAsia="Arial" w:hAnsi="Arial"/>
                <w:sz w:val="18"/>
                <w:szCs w:val="18"/>
                <w:color w:val="auto"/>
              </w:rPr>
              <w:t>Priorities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6.14.</w:t>
            </w:r>
          </w:p>
        </w:tc>
        <w:tc>
          <w:tcPr>
            <w:tcW w:w="770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6"/>
              </w:rPr>
              <w:t>ARTICLE 7</w:t>
            </w:r>
          </w:p>
        </w:tc>
        <w:tc>
          <w:tcPr>
            <w:tcW w:w="1920" w:type="dxa"/>
            <w:vAlign w:val="bottom"/>
          </w:tcPr>
          <w:p>
            <w:pPr>
              <w:spacing w:after="0"/>
              <w:rPr>
                <w:sz w:val="24"/>
                <w:szCs w:val="24"/>
                <w:color w:val="auto"/>
              </w:rPr>
            </w:pPr>
          </w:p>
        </w:tc>
      </w:tr>
      <w:tr>
        <w:trPr>
          <w:trHeight w:val="337"/>
        </w:trPr>
        <w:tc>
          <w:tcPr>
            <w:tcW w:w="1340" w:type="dxa"/>
            <w:vAlign w:val="bottom"/>
          </w:tcPr>
          <w:p>
            <w:pPr>
              <w:spacing w:after="0"/>
              <w:rPr>
                <w:sz w:val="24"/>
                <w:szCs w:val="24"/>
                <w:color w:val="auto"/>
              </w:rPr>
            </w:pPr>
          </w:p>
        </w:tc>
        <w:tc>
          <w:tcPr>
            <w:tcW w:w="7700" w:type="dxa"/>
            <w:vAlign w:val="bottom"/>
          </w:tcPr>
          <w:p>
            <w:pPr>
              <w:jc w:val="center"/>
              <w:ind w:left="490"/>
              <w:spacing w:after="0"/>
              <w:rPr>
                <w:sz w:val="20"/>
                <w:szCs w:val="20"/>
                <w:color w:val="auto"/>
              </w:rPr>
            </w:pPr>
            <w:r>
              <w:rPr>
                <w:rFonts w:ascii="Arial" w:cs="Arial" w:eastAsia="Arial" w:hAnsi="Arial"/>
                <w:sz w:val="18"/>
                <w:szCs w:val="18"/>
                <w:color w:val="auto"/>
                <w:w w:val="95"/>
              </w:rPr>
              <w:t>TRUSTEE</w:t>
            </w:r>
          </w:p>
        </w:tc>
        <w:tc>
          <w:tcPr>
            <w:tcW w:w="192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7.01.</w:t>
            </w:r>
          </w:p>
        </w:tc>
        <w:tc>
          <w:tcPr>
            <w:tcW w:w="7700" w:type="dxa"/>
            <w:vAlign w:val="bottom"/>
          </w:tcPr>
          <w:p>
            <w:pPr>
              <w:ind w:left="180"/>
              <w:spacing w:after="0"/>
              <w:rPr>
                <w:sz w:val="20"/>
                <w:szCs w:val="20"/>
                <w:color w:val="auto"/>
              </w:rPr>
            </w:pPr>
            <w:r>
              <w:rPr>
                <w:rFonts w:ascii="Arial" w:cs="Arial" w:eastAsia="Arial" w:hAnsi="Arial"/>
                <w:sz w:val="18"/>
                <w:szCs w:val="18"/>
                <w:color w:val="auto"/>
              </w:rPr>
              <w:t>Duties of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7.02.</w:t>
            </w:r>
          </w:p>
        </w:tc>
        <w:tc>
          <w:tcPr>
            <w:tcW w:w="7700" w:type="dxa"/>
            <w:vAlign w:val="bottom"/>
          </w:tcPr>
          <w:p>
            <w:pPr>
              <w:ind w:left="180"/>
              <w:spacing w:after="0"/>
              <w:rPr>
                <w:sz w:val="20"/>
                <w:szCs w:val="20"/>
                <w:color w:val="auto"/>
              </w:rPr>
            </w:pPr>
            <w:r>
              <w:rPr>
                <w:rFonts w:ascii="Arial" w:cs="Arial" w:eastAsia="Arial" w:hAnsi="Arial"/>
                <w:sz w:val="18"/>
                <w:szCs w:val="18"/>
                <w:color w:val="auto"/>
              </w:rPr>
              <w:t>Rights of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7.03.</w:t>
            </w:r>
          </w:p>
        </w:tc>
        <w:tc>
          <w:tcPr>
            <w:tcW w:w="7700" w:type="dxa"/>
            <w:vAlign w:val="bottom"/>
          </w:tcPr>
          <w:p>
            <w:pPr>
              <w:ind w:left="180"/>
              <w:spacing w:after="0"/>
              <w:rPr>
                <w:sz w:val="20"/>
                <w:szCs w:val="20"/>
                <w:color w:val="auto"/>
              </w:rPr>
            </w:pPr>
            <w:r>
              <w:rPr>
                <w:rFonts w:ascii="Arial" w:cs="Arial" w:eastAsia="Arial" w:hAnsi="Arial"/>
                <w:sz w:val="18"/>
                <w:szCs w:val="18"/>
                <w:color w:val="auto"/>
              </w:rPr>
              <w:t>Individual Rights of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7.04.</w:t>
            </w:r>
          </w:p>
        </w:tc>
        <w:tc>
          <w:tcPr>
            <w:tcW w:w="7700" w:type="dxa"/>
            <w:vAlign w:val="bottom"/>
          </w:tcPr>
          <w:p>
            <w:pPr>
              <w:ind w:left="180"/>
              <w:spacing w:after="0"/>
              <w:rPr>
                <w:sz w:val="20"/>
                <w:szCs w:val="20"/>
                <w:color w:val="auto"/>
              </w:rPr>
            </w:pPr>
            <w:r>
              <w:rPr>
                <w:rFonts w:ascii="Arial" w:cs="Arial" w:eastAsia="Arial" w:hAnsi="Arial"/>
                <w:sz w:val="18"/>
                <w:szCs w:val="18"/>
                <w:color w:val="auto"/>
              </w:rPr>
              <w:t>Trustee’s Disclaimer</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7.05.</w:t>
            </w:r>
          </w:p>
        </w:tc>
        <w:tc>
          <w:tcPr>
            <w:tcW w:w="770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7.06.</w:t>
            </w:r>
          </w:p>
        </w:tc>
        <w:tc>
          <w:tcPr>
            <w:tcW w:w="7700" w:type="dxa"/>
            <w:vAlign w:val="bottom"/>
          </w:tcPr>
          <w:p>
            <w:pPr>
              <w:ind w:left="180"/>
              <w:spacing w:after="0"/>
              <w:rPr>
                <w:sz w:val="20"/>
                <w:szCs w:val="20"/>
                <w:color w:val="auto"/>
              </w:rPr>
            </w:pPr>
            <w:r>
              <w:rPr>
                <w:rFonts w:ascii="Arial" w:cs="Arial" w:eastAsia="Arial" w:hAnsi="Arial"/>
                <w:sz w:val="18"/>
                <w:szCs w:val="18"/>
                <w:color w:val="auto"/>
              </w:rPr>
              <w:t>Reports by Trustee to Holders of the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7.07.</w:t>
            </w:r>
          </w:p>
        </w:tc>
        <w:tc>
          <w:tcPr>
            <w:tcW w:w="7700" w:type="dxa"/>
            <w:vAlign w:val="bottom"/>
          </w:tcPr>
          <w:p>
            <w:pPr>
              <w:ind w:left="180"/>
              <w:spacing w:after="0"/>
              <w:rPr>
                <w:sz w:val="20"/>
                <w:szCs w:val="20"/>
                <w:color w:val="auto"/>
              </w:rPr>
            </w:pPr>
            <w:r>
              <w:rPr>
                <w:rFonts w:ascii="Arial" w:cs="Arial" w:eastAsia="Arial" w:hAnsi="Arial"/>
                <w:sz w:val="18"/>
                <w:szCs w:val="18"/>
                <w:color w:val="auto"/>
              </w:rPr>
              <w:t>Compensation and Indemnity</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7.08.</w:t>
            </w:r>
          </w:p>
        </w:tc>
        <w:tc>
          <w:tcPr>
            <w:tcW w:w="7700" w:type="dxa"/>
            <w:vAlign w:val="bottom"/>
          </w:tcPr>
          <w:p>
            <w:pPr>
              <w:ind w:left="180"/>
              <w:spacing w:after="0"/>
              <w:rPr>
                <w:sz w:val="20"/>
                <w:szCs w:val="20"/>
                <w:color w:val="auto"/>
              </w:rPr>
            </w:pPr>
            <w:r>
              <w:rPr>
                <w:rFonts w:ascii="Arial" w:cs="Arial" w:eastAsia="Arial" w:hAnsi="Arial"/>
                <w:sz w:val="18"/>
                <w:szCs w:val="18"/>
                <w:color w:val="auto"/>
              </w:rPr>
              <w:t>Replacement of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7.09.</w:t>
            </w:r>
          </w:p>
        </w:tc>
        <w:tc>
          <w:tcPr>
            <w:tcW w:w="7700" w:type="dxa"/>
            <w:vAlign w:val="bottom"/>
          </w:tcPr>
          <w:p>
            <w:pPr>
              <w:ind w:left="180"/>
              <w:spacing w:after="0"/>
              <w:rPr>
                <w:sz w:val="20"/>
                <w:szCs w:val="20"/>
                <w:color w:val="auto"/>
              </w:rPr>
            </w:pPr>
            <w:r>
              <w:rPr>
                <w:rFonts w:ascii="Arial" w:cs="Arial" w:eastAsia="Arial" w:hAnsi="Arial"/>
                <w:sz w:val="18"/>
                <w:szCs w:val="18"/>
                <w:color w:val="auto"/>
              </w:rPr>
              <w:t>Successor Trustee by Merger, Etc.</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7.10.</w:t>
            </w:r>
          </w:p>
        </w:tc>
        <w:tc>
          <w:tcPr>
            <w:tcW w:w="7700" w:type="dxa"/>
            <w:vAlign w:val="bottom"/>
          </w:tcPr>
          <w:p>
            <w:pPr>
              <w:ind w:left="180"/>
              <w:spacing w:after="0"/>
              <w:rPr>
                <w:sz w:val="20"/>
                <w:szCs w:val="20"/>
                <w:color w:val="auto"/>
              </w:rPr>
            </w:pPr>
            <w:r>
              <w:rPr>
                <w:rFonts w:ascii="Arial" w:cs="Arial" w:eastAsia="Arial" w:hAnsi="Arial"/>
                <w:sz w:val="18"/>
                <w:szCs w:val="18"/>
                <w:color w:val="auto"/>
              </w:rPr>
              <w:t>Eligibility; Disqualification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7.11.</w:t>
            </w:r>
          </w:p>
        </w:tc>
        <w:tc>
          <w:tcPr>
            <w:tcW w:w="770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Issuer</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DEFEASANCE AND COVENANT DEFEASANCE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8.01.</w:t>
            </w:r>
          </w:p>
        </w:tc>
        <w:tc>
          <w:tcPr>
            <w:tcW w:w="8560" w:type="dxa"/>
            <w:vAlign w:val="bottom"/>
          </w:tcPr>
          <w:p>
            <w:pPr>
              <w:ind w:left="120"/>
              <w:spacing w:after="0"/>
              <w:rPr>
                <w:sz w:val="20"/>
                <w:szCs w:val="20"/>
                <w:color w:val="auto"/>
              </w:rPr>
            </w:pPr>
            <w:r>
              <w:rPr>
                <w:rFonts w:ascii="Arial" w:cs="Arial" w:eastAsia="Arial" w:hAnsi="Arial"/>
                <w:sz w:val="18"/>
                <w:szCs w:val="18"/>
                <w:color w:val="auto"/>
              </w:rPr>
              <w:t>Option to Effect Legal Defeasance or Covenant Defeasance</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8.02.</w:t>
            </w:r>
          </w:p>
        </w:tc>
        <w:tc>
          <w:tcPr>
            <w:tcW w:w="8560" w:type="dxa"/>
            <w:vAlign w:val="bottom"/>
          </w:tcPr>
          <w:p>
            <w:pPr>
              <w:ind w:left="120"/>
              <w:spacing w:after="0"/>
              <w:rPr>
                <w:sz w:val="20"/>
                <w:szCs w:val="20"/>
                <w:color w:val="auto"/>
              </w:rPr>
            </w:pPr>
            <w:r>
              <w:rPr>
                <w:rFonts w:ascii="Arial" w:cs="Arial" w:eastAsia="Arial" w:hAnsi="Arial"/>
                <w:sz w:val="18"/>
                <w:szCs w:val="18"/>
                <w:color w:val="auto"/>
              </w:rPr>
              <w:t>Legal Defeasance and Discharge</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8.03.</w:t>
            </w:r>
          </w:p>
        </w:tc>
        <w:tc>
          <w:tcPr>
            <w:tcW w:w="856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8.04.</w:t>
            </w:r>
          </w:p>
        </w:tc>
        <w:tc>
          <w:tcPr>
            <w:tcW w:w="8560" w:type="dxa"/>
            <w:vAlign w:val="bottom"/>
          </w:tcPr>
          <w:p>
            <w:pPr>
              <w:ind w:left="120"/>
              <w:spacing w:after="0"/>
              <w:rPr>
                <w:sz w:val="20"/>
                <w:szCs w:val="20"/>
                <w:color w:val="auto"/>
              </w:rPr>
            </w:pPr>
            <w:r>
              <w:rPr>
                <w:rFonts w:ascii="Arial" w:cs="Arial" w:eastAsia="Arial" w:hAnsi="Arial"/>
                <w:sz w:val="18"/>
                <w:szCs w:val="18"/>
                <w:color w:val="auto"/>
              </w:rPr>
              <w:t>Conditions to Legal or Covenant Defeasance</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8.05.</w:t>
            </w:r>
          </w:p>
        </w:tc>
        <w:tc>
          <w:tcPr>
            <w:tcW w:w="8560" w:type="dxa"/>
            <w:vAlign w:val="bottom"/>
          </w:tcPr>
          <w:p>
            <w:pPr>
              <w:ind w:left="12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8.06.</w:t>
            </w:r>
          </w:p>
        </w:tc>
        <w:tc>
          <w:tcPr>
            <w:tcW w:w="8560" w:type="dxa"/>
            <w:vAlign w:val="bottom"/>
          </w:tcPr>
          <w:p>
            <w:pPr>
              <w:ind w:left="120"/>
              <w:spacing w:after="0"/>
              <w:rPr>
                <w:sz w:val="20"/>
                <w:szCs w:val="20"/>
                <w:color w:val="auto"/>
              </w:rPr>
            </w:pPr>
            <w:r>
              <w:rPr>
                <w:rFonts w:ascii="Arial" w:cs="Arial" w:eastAsia="Arial" w:hAnsi="Arial"/>
                <w:sz w:val="18"/>
                <w:szCs w:val="18"/>
                <w:color w:val="auto"/>
              </w:rPr>
              <w:t>Repayment to Issuers</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8.07.</w:t>
            </w:r>
          </w:p>
        </w:tc>
        <w:tc>
          <w:tcPr>
            <w:tcW w:w="856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6"/>
              </w:rPr>
              <w:t>ARTICLE 9</w:t>
            </w:r>
          </w:p>
        </w:tc>
        <w:tc>
          <w:tcPr>
            <w:tcW w:w="102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8"/>
              </w:rPr>
              <w:t>AMENDMENT, SUPPLEMENT AND WAIVER</w:t>
            </w:r>
          </w:p>
        </w:tc>
        <w:tc>
          <w:tcPr>
            <w:tcW w:w="102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9.01.</w:t>
            </w:r>
          </w:p>
        </w:tc>
        <w:tc>
          <w:tcPr>
            <w:tcW w:w="8560" w:type="dxa"/>
            <w:vAlign w:val="bottom"/>
          </w:tcPr>
          <w:p>
            <w:pPr>
              <w:ind w:left="120"/>
              <w:spacing w:after="0"/>
              <w:rPr>
                <w:sz w:val="20"/>
                <w:szCs w:val="20"/>
                <w:color w:val="auto"/>
              </w:rPr>
            </w:pPr>
            <w:r>
              <w:rPr>
                <w:rFonts w:ascii="Arial" w:cs="Arial" w:eastAsia="Arial" w:hAnsi="Arial"/>
                <w:sz w:val="18"/>
                <w:szCs w:val="18"/>
                <w:color w:val="auto"/>
              </w:rPr>
              <w:t>Without Consent of Holders</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9.02.</w:t>
            </w:r>
          </w:p>
        </w:tc>
        <w:tc>
          <w:tcPr>
            <w:tcW w:w="8560" w:type="dxa"/>
            <w:vAlign w:val="bottom"/>
          </w:tcPr>
          <w:p>
            <w:pPr>
              <w:ind w:left="120"/>
              <w:spacing w:after="0"/>
              <w:rPr>
                <w:sz w:val="20"/>
                <w:szCs w:val="20"/>
                <w:color w:val="auto"/>
              </w:rPr>
            </w:pPr>
            <w:r>
              <w:rPr>
                <w:rFonts w:ascii="Arial" w:cs="Arial" w:eastAsia="Arial" w:hAnsi="Arial"/>
                <w:sz w:val="18"/>
                <w:szCs w:val="18"/>
                <w:color w:val="auto"/>
              </w:rPr>
              <w:t>With Consent of Holders of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9.03.</w:t>
            </w:r>
          </w:p>
        </w:tc>
        <w:tc>
          <w:tcPr>
            <w:tcW w:w="85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9.04.</w:t>
            </w:r>
          </w:p>
        </w:tc>
        <w:tc>
          <w:tcPr>
            <w:tcW w:w="8560" w:type="dxa"/>
            <w:vAlign w:val="bottom"/>
          </w:tcPr>
          <w:p>
            <w:pPr>
              <w:ind w:left="120"/>
              <w:spacing w:after="0"/>
              <w:rPr>
                <w:sz w:val="20"/>
                <w:szCs w:val="20"/>
                <w:color w:val="auto"/>
              </w:rPr>
            </w:pPr>
            <w:r>
              <w:rPr>
                <w:rFonts w:ascii="Arial" w:cs="Arial" w:eastAsia="Arial" w:hAnsi="Arial"/>
                <w:sz w:val="18"/>
                <w:szCs w:val="18"/>
                <w:color w:val="auto"/>
              </w:rPr>
              <w:t>Revocation and Effect of Consents</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9.05.</w:t>
            </w:r>
          </w:p>
        </w:tc>
        <w:tc>
          <w:tcPr>
            <w:tcW w:w="8560" w:type="dxa"/>
            <w:vAlign w:val="bottom"/>
          </w:tcPr>
          <w:p>
            <w:pPr>
              <w:ind w:left="120"/>
              <w:spacing w:after="0"/>
              <w:rPr>
                <w:sz w:val="20"/>
                <w:szCs w:val="20"/>
                <w:color w:val="auto"/>
              </w:rPr>
            </w:pPr>
            <w:r>
              <w:rPr>
                <w:rFonts w:ascii="Arial" w:cs="Arial" w:eastAsia="Arial" w:hAnsi="Arial"/>
                <w:sz w:val="18"/>
                <w:szCs w:val="18"/>
                <w:color w:val="auto"/>
              </w:rPr>
              <w:t>Notation on or Exchange of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9.06.</w:t>
            </w:r>
          </w:p>
        </w:tc>
        <w:tc>
          <w:tcPr>
            <w:tcW w:w="8560" w:type="dxa"/>
            <w:vAlign w:val="bottom"/>
          </w:tcPr>
          <w:p>
            <w:pPr>
              <w:ind w:left="120"/>
              <w:spacing w:after="0"/>
              <w:rPr>
                <w:sz w:val="20"/>
                <w:szCs w:val="20"/>
                <w:color w:val="auto"/>
              </w:rPr>
            </w:pPr>
            <w:r>
              <w:rPr>
                <w:rFonts w:ascii="Arial" w:cs="Arial" w:eastAsia="Arial" w:hAnsi="Arial"/>
                <w:sz w:val="18"/>
                <w:szCs w:val="18"/>
                <w:color w:val="auto"/>
              </w:rPr>
              <w:t>Trustee to Sign Amendments, Etc.</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4"/>
              </w:rPr>
              <w:t>ARTICLE 10</w:t>
            </w:r>
          </w:p>
        </w:tc>
        <w:tc>
          <w:tcPr>
            <w:tcW w:w="102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6"/>
              </w:rPr>
              <w:t>SECURITY GUARANTEES</w:t>
            </w:r>
          </w:p>
        </w:tc>
        <w:tc>
          <w:tcPr>
            <w:tcW w:w="102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10.01.</w:t>
            </w:r>
          </w:p>
        </w:tc>
        <w:tc>
          <w:tcPr>
            <w:tcW w:w="8560" w:type="dxa"/>
            <w:vAlign w:val="bottom"/>
          </w:tcPr>
          <w:p>
            <w:pPr>
              <w:ind w:left="120"/>
              <w:spacing w:after="0"/>
              <w:rPr>
                <w:sz w:val="20"/>
                <w:szCs w:val="20"/>
                <w:color w:val="auto"/>
              </w:rPr>
            </w:pPr>
            <w:r>
              <w:rPr>
                <w:rFonts w:ascii="Arial" w:cs="Arial" w:eastAsia="Arial" w:hAnsi="Arial"/>
                <w:sz w:val="18"/>
                <w:szCs w:val="18"/>
                <w:color w:val="auto"/>
              </w:rPr>
              <w:t>Security Guarantee</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10.02.</w:t>
            </w:r>
          </w:p>
        </w:tc>
        <w:tc>
          <w:tcPr>
            <w:tcW w:w="85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10.03.</w:t>
            </w:r>
          </w:p>
        </w:tc>
        <w:tc>
          <w:tcPr>
            <w:tcW w:w="8560" w:type="dxa"/>
            <w:vAlign w:val="bottom"/>
          </w:tcPr>
          <w:p>
            <w:pPr>
              <w:ind w:left="120"/>
              <w:spacing w:after="0"/>
              <w:rPr>
                <w:sz w:val="20"/>
                <w:szCs w:val="20"/>
                <w:color w:val="auto"/>
              </w:rPr>
            </w:pPr>
            <w:r>
              <w:rPr>
                <w:rFonts w:ascii="Arial" w:cs="Arial" w:eastAsia="Arial" w:hAnsi="Arial"/>
                <w:sz w:val="18"/>
                <w:szCs w:val="18"/>
                <w:color w:val="auto"/>
              </w:rPr>
              <w:t>Execution and Delivery</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10.04.</w:t>
            </w:r>
          </w:p>
        </w:tc>
        <w:tc>
          <w:tcPr>
            <w:tcW w:w="8560" w:type="dxa"/>
            <w:vAlign w:val="bottom"/>
          </w:tcPr>
          <w:p>
            <w:pPr>
              <w:ind w:left="120"/>
              <w:spacing w:after="0"/>
              <w:rPr>
                <w:sz w:val="20"/>
                <w:szCs w:val="20"/>
                <w:color w:val="auto"/>
              </w:rPr>
            </w:pPr>
            <w:r>
              <w:rPr>
                <w:rFonts w:ascii="Arial" w:cs="Arial" w:eastAsia="Arial" w:hAnsi="Arial"/>
                <w:sz w:val="18"/>
                <w:szCs w:val="18"/>
                <w:color w:val="auto"/>
              </w:rPr>
              <w:t>Subrogation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10.05.</w:t>
            </w:r>
          </w:p>
        </w:tc>
        <w:tc>
          <w:tcPr>
            <w:tcW w:w="8560" w:type="dxa"/>
            <w:vAlign w:val="bottom"/>
          </w:tcPr>
          <w:p>
            <w:pPr>
              <w:ind w:left="120"/>
              <w:spacing w:after="0"/>
              <w:rPr>
                <w:sz w:val="20"/>
                <w:szCs w:val="20"/>
                <w:color w:val="auto"/>
              </w:rPr>
            </w:pPr>
            <w:r>
              <w:rPr>
                <w:rFonts w:ascii="Arial" w:cs="Arial" w:eastAsia="Arial" w:hAnsi="Arial"/>
                <w:sz w:val="18"/>
                <w:szCs w:val="18"/>
                <w:color w:val="auto"/>
              </w:rPr>
              <w:t>Benefits Acknowledged</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10.06.</w:t>
            </w:r>
          </w:p>
        </w:tc>
        <w:tc>
          <w:tcPr>
            <w:tcW w:w="8560" w:type="dxa"/>
            <w:vAlign w:val="bottom"/>
          </w:tcPr>
          <w:p>
            <w:pPr>
              <w:ind w:left="120"/>
              <w:spacing w:after="0"/>
              <w:rPr>
                <w:sz w:val="20"/>
                <w:szCs w:val="20"/>
                <w:color w:val="auto"/>
              </w:rPr>
            </w:pPr>
            <w:r>
              <w:rPr>
                <w:rFonts w:ascii="Arial" w:cs="Arial" w:eastAsia="Arial" w:hAnsi="Arial"/>
                <w:sz w:val="18"/>
                <w:szCs w:val="18"/>
                <w:color w:val="auto"/>
              </w:rPr>
              <w:t>Release of Security Guarantees</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4"/>
              </w:rPr>
              <w:t>ARTICLE 11</w:t>
            </w:r>
          </w:p>
        </w:tc>
        <w:tc>
          <w:tcPr>
            <w:tcW w:w="102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8560" w:type="dxa"/>
            <w:vAlign w:val="bottom"/>
          </w:tcPr>
          <w:p>
            <w:pPr>
              <w:jc w:val="center"/>
              <w:ind w:right="630"/>
              <w:spacing w:after="0"/>
              <w:rPr>
                <w:sz w:val="20"/>
                <w:szCs w:val="20"/>
                <w:color w:val="auto"/>
              </w:rPr>
            </w:pPr>
            <w:r>
              <w:rPr>
                <w:rFonts w:ascii="Arial" w:cs="Arial" w:eastAsia="Arial" w:hAnsi="Arial"/>
                <w:sz w:val="18"/>
                <w:szCs w:val="18"/>
                <w:color w:val="auto"/>
                <w:w w:val="96"/>
              </w:rPr>
              <w:t>SATISFACTION AND DISCHARGE</w:t>
            </w:r>
          </w:p>
        </w:tc>
        <w:tc>
          <w:tcPr>
            <w:tcW w:w="102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11.01.</w:t>
            </w:r>
          </w:p>
        </w:tc>
        <w:tc>
          <w:tcPr>
            <w:tcW w:w="8560" w:type="dxa"/>
            <w:vAlign w:val="bottom"/>
          </w:tcPr>
          <w:p>
            <w:pPr>
              <w:ind w:left="120"/>
              <w:spacing w:after="0"/>
              <w:rPr>
                <w:sz w:val="20"/>
                <w:szCs w:val="20"/>
                <w:color w:val="auto"/>
              </w:rPr>
            </w:pPr>
            <w:r>
              <w:rPr>
                <w:rFonts w:ascii="Arial" w:cs="Arial" w:eastAsia="Arial" w:hAnsi="Arial"/>
                <w:sz w:val="18"/>
                <w:szCs w:val="18"/>
                <w:color w:val="auto"/>
              </w:rPr>
              <w:t>Satisfaction and Discharge of Indenture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11.02.</w:t>
            </w:r>
          </w:p>
        </w:tc>
        <w:tc>
          <w:tcPr>
            <w:tcW w:w="8560" w:type="dxa"/>
            <w:vAlign w:val="bottom"/>
          </w:tcPr>
          <w:p>
            <w:pPr>
              <w:ind w:left="120"/>
              <w:spacing w:after="0"/>
              <w:rPr>
                <w:sz w:val="20"/>
                <w:szCs w:val="20"/>
                <w:color w:val="auto"/>
              </w:rPr>
            </w:pPr>
            <w:r>
              <w:rPr>
                <w:rFonts w:ascii="Arial" w:cs="Arial" w:eastAsia="Arial" w:hAnsi="Arial"/>
                <w:sz w:val="18"/>
                <w:szCs w:val="18"/>
                <w:color w:val="auto"/>
              </w:rPr>
              <w:t>Application of Trust Money</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ARTICLE 12</w:t>
      </w:r>
    </w:p>
    <w:p>
      <w:pPr>
        <w:spacing w:after="0" w:line="11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440" w:type="dxa"/>
            <w:vAlign w:val="bottom"/>
          </w:tcPr>
          <w:p>
            <w:pPr>
              <w:ind w:left="3440"/>
              <w:spacing w:after="0"/>
              <w:rPr>
                <w:sz w:val="20"/>
                <w:szCs w:val="20"/>
                <w:color w:val="auto"/>
              </w:rPr>
            </w:pPr>
            <w:r>
              <w:rPr>
                <w:rFonts w:ascii="Arial" w:cs="Arial" w:eastAsia="Arial" w:hAnsi="Arial"/>
                <w:sz w:val="18"/>
                <w:szCs w:val="18"/>
                <w:color w:val="auto"/>
              </w:rPr>
              <w:t>ARTICLE 13</w:t>
            </w:r>
          </w:p>
        </w:tc>
        <w:tc>
          <w:tcPr>
            <w:tcW w:w="2140" w:type="dxa"/>
            <w:vAlign w:val="bottom"/>
          </w:tcPr>
          <w:p>
            <w:pPr>
              <w:spacing w:after="0"/>
              <w:rPr>
                <w:sz w:val="20"/>
                <w:szCs w:val="20"/>
                <w:color w:val="auto"/>
              </w:rPr>
            </w:pPr>
          </w:p>
        </w:tc>
      </w:tr>
      <w:tr>
        <w:trPr>
          <w:trHeight w:val="310"/>
        </w:trPr>
        <w:tc>
          <w:tcPr>
            <w:tcW w:w="1380" w:type="dxa"/>
            <w:vAlign w:val="bottom"/>
          </w:tcPr>
          <w:p>
            <w:pPr>
              <w:spacing w:after="0"/>
              <w:rPr>
                <w:sz w:val="24"/>
                <w:szCs w:val="24"/>
                <w:color w:val="auto"/>
              </w:rPr>
            </w:pPr>
          </w:p>
        </w:tc>
        <w:tc>
          <w:tcPr>
            <w:tcW w:w="7440" w:type="dxa"/>
            <w:vAlign w:val="bottom"/>
          </w:tcPr>
          <w:p>
            <w:pPr>
              <w:ind w:left="3180"/>
              <w:spacing w:after="0"/>
              <w:rPr>
                <w:sz w:val="20"/>
                <w:szCs w:val="20"/>
                <w:color w:val="auto"/>
              </w:rPr>
            </w:pPr>
            <w:r>
              <w:rPr>
                <w:rFonts w:ascii="Arial" w:cs="Arial" w:eastAsia="Arial" w:hAnsi="Arial"/>
                <w:sz w:val="18"/>
                <w:szCs w:val="18"/>
                <w:color w:val="auto"/>
              </w:rPr>
              <w:t>MISCELLANEOUS</w:t>
            </w:r>
          </w:p>
        </w:tc>
        <w:tc>
          <w:tcPr>
            <w:tcW w:w="2140" w:type="dxa"/>
            <w:vAlign w:val="bottom"/>
          </w:tcPr>
          <w:p>
            <w:pPr>
              <w:spacing w:after="0"/>
              <w:rPr>
                <w:sz w:val="24"/>
                <w:szCs w:val="24"/>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13.01.   Trust Indenture Act Controls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13.02.</w:t>
            </w:r>
          </w:p>
        </w:tc>
        <w:tc>
          <w:tcPr>
            <w:tcW w:w="7440" w:type="dxa"/>
            <w:vAlign w:val="bottom"/>
          </w:tcPr>
          <w:p>
            <w:pPr>
              <w:ind w:left="14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13.03.   Communication by Holders of Securities with Other Holders of Securities</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13.04.   Certificate and Opinion as to Conditions Precedent</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13.05.   Statements Required in Certificate or Opinion</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13.06.   Rules by Trustee and Agents</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13.07.   No Personal Liability of Directors, Officers, Employees and Stockholders</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13.08.   Governing Law; Submission to Jurisdiction</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13.09.</w:t>
            </w:r>
          </w:p>
        </w:tc>
        <w:tc>
          <w:tcPr>
            <w:tcW w:w="744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13.10.</w:t>
            </w:r>
          </w:p>
        </w:tc>
        <w:tc>
          <w:tcPr>
            <w:tcW w:w="744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13.11.   Foreign Account Tax Compliance Act (FATCA)</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SECTION 13.12.   No Adverse Interpretation of Other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13.13.</w:t>
            </w:r>
          </w:p>
        </w:tc>
        <w:tc>
          <w:tcPr>
            <w:tcW w:w="74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13.14.</w:t>
            </w:r>
          </w:p>
        </w:tc>
        <w:tc>
          <w:tcPr>
            <w:tcW w:w="744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13.15.</w:t>
            </w:r>
          </w:p>
        </w:tc>
        <w:tc>
          <w:tcPr>
            <w:tcW w:w="74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13.16.</w:t>
            </w:r>
          </w:p>
        </w:tc>
        <w:tc>
          <w:tcPr>
            <w:tcW w:w="74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13.17.</w:t>
            </w:r>
          </w:p>
        </w:tc>
        <w:tc>
          <w:tcPr>
            <w:tcW w:w="7440" w:type="dxa"/>
            <w:vAlign w:val="bottom"/>
          </w:tcPr>
          <w:p>
            <w:pPr>
              <w:ind w:left="140"/>
              <w:spacing w:after="0"/>
              <w:rPr>
                <w:sz w:val="20"/>
                <w:szCs w:val="20"/>
                <w:color w:val="auto"/>
              </w:rPr>
            </w:pPr>
            <w:r>
              <w:rPr>
                <w:rFonts w:ascii="Arial" w:cs="Arial" w:eastAsia="Arial" w:hAnsi="Arial"/>
                <w:sz w:val="18"/>
                <w:szCs w:val="18"/>
                <w:color w:val="auto"/>
              </w:rPr>
              <w:t>Counterpart Originals</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SECTION 13.18.</w:t>
            </w:r>
          </w:p>
        </w:tc>
        <w:tc>
          <w:tcPr>
            <w:tcW w:w="6460" w:type="dxa"/>
            <w:vAlign w:val="bottom"/>
          </w:tcPr>
          <w:p>
            <w:pPr>
              <w:ind w:left="140"/>
              <w:spacing w:after="0" w:line="201" w:lineRule="exact"/>
              <w:rPr>
                <w:sz w:val="20"/>
                <w:szCs w:val="20"/>
                <w:color w:val="auto"/>
              </w:rPr>
            </w:pPr>
            <w:r>
              <w:rPr>
                <w:rFonts w:ascii="Arial" w:cs="Arial" w:eastAsia="Arial" w:hAnsi="Arial"/>
                <w:sz w:val="18"/>
                <w:szCs w:val="18"/>
                <w:color w:val="auto"/>
              </w:rPr>
              <w:t>Table of Contents, Headings, Etc.</w:t>
            </w:r>
          </w:p>
        </w:tc>
        <w:tc>
          <w:tcPr>
            <w:tcW w:w="312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13.19.</w:t>
            </w:r>
          </w:p>
        </w:tc>
        <w:tc>
          <w:tcPr>
            <w:tcW w:w="646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w:t>
            </w:r>
          </w:p>
        </w:tc>
        <w:tc>
          <w:tcPr>
            <w:tcW w:w="31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490"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Supplemental Indenture to be Delivered by Subsequent Guarantors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19"/>
          </w:cols>
          <w:pgMar w:left="440" w:top="274" w:right="1440" w:bottom="1440" w:gutter="0" w:footer="0" w:header="0"/>
        </w:sectPr>
      </w:pPr>
    </w:p>
    <w:bookmarkStart w:id="11" w:name="page12"/>
    <w:bookmarkEnd w:id="11"/>
    <w:p>
      <w:pPr>
        <w:jc w:val="both"/>
        <w:ind w:right="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January 24, 2023, among Dell International L.L.C., a Delaware limited liability company (“</w:t>
      </w:r>
      <w:r>
        <w:rPr>
          <w:rFonts w:ascii="Arial" w:cs="Arial" w:eastAsia="Arial" w:hAnsi="Arial"/>
          <w:sz w:val="16"/>
          <w:szCs w:val="16"/>
          <w:u w:val="single" w:color="auto"/>
          <w:color w:val="auto"/>
        </w:rPr>
        <w:t>Dell International</w:t>
      </w:r>
      <w:r>
        <w:rPr>
          <w:rFonts w:ascii="Arial" w:cs="Arial" w:eastAsia="Arial" w:hAnsi="Arial"/>
          <w:sz w:val="16"/>
          <w:szCs w:val="16"/>
          <w:color w:val="auto"/>
        </w:rPr>
        <w:t>”), EMC Corporation, a Massachusetts corporation (“</w:t>
      </w:r>
      <w:r>
        <w:rPr>
          <w:rFonts w:ascii="Arial" w:cs="Arial" w:eastAsia="Arial" w:hAnsi="Arial"/>
          <w:sz w:val="16"/>
          <w:szCs w:val="16"/>
          <w:u w:val="single" w:color="auto"/>
          <w:color w:val="auto"/>
        </w:rPr>
        <w:t>EMC</w:t>
      </w:r>
      <w:r>
        <w:rPr>
          <w:rFonts w:ascii="Arial" w:cs="Arial" w:eastAsia="Arial" w:hAnsi="Arial"/>
          <w:sz w:val="16"/>
          <w:szCs w:val="16"/>
          <w:color w:val="auto"/>
        </w:rPr>
        <w:t>” and, together with Dell International, the “</w:t>
      </w:r>
      <w:r>
        <w:rPr>
          <w:rFonts w:ascii="Arial" w:cs="Arial" w:eastAsia="Arial" w:hAnsi="Arial"/>
          <w:sz w:val="16"/>
          <w:szCs w:val="16"/>
          <w:u w:val="single" w:color="auto"/>
          <w:color w:val="auto"/>
        </w:rPr>
        <w:t>Issuers</w:t>
      </w:r>
      <w:r>
        <w:rPr>
          <w:rFonts w:ascii="Arial" w:cs="Arial" w:eastAsia="Arial" w:hAnsi="Arial"/>
          <w:sz w:val="16"/>
          <w:szCs w:val="16"/>
          <w:color w:val="auto"/>
        </w:rPr>
        <w:t>”), the Guarantors (as defined herein) and The Bank of New York Mellon Trust Company, N.A., a national banking association,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WHEREAS, the Issuers and the Guarantors have duly authorized the execution and delivery of this Indenture to provide for the issuance of senior debt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an unlimited aggregate principal amount to be issued from time to time in one or more series as provided in this Indenture; and</w:t>
      </w:r>
    </w:p>
    <w:p>
      <w:pPr>
        <w:spacing w:after="0" w:line="184"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Issuers and the Guarantors, in accordance with its terms, have been done.</w:t>
      </w:r>
    </w:p>
    <w:p>
      <w:pPr>
        <w:spacing w:after="0" w:line="17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NOW, THEREFORE, the Issuers, the Guarantors and the Trustee agree as follows for the benefit of each other and, except as provided herein, for the equal and ratable benefit of the Holders of the Securities of any series: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means any additional amounts which are required hereby or by any Securities, under circumstances specified herein or therein, to be paid by the Issuers to certain Holders specified herein or therein (in respect of certain taxes imposed on such Holders) and which are owing to such Holders.</w:t>
      </w:r>
    </w:p>
    <w:p>
      <w:pPr>
        <w:spacing w:after="0" w:line="184"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Securities</w:t>
      </w:r>
      <w:r>
        <w:rPr>
          <w:rFonts w:ascii="Arial" w:cs="Arial" w:eastAsia="Arial" w:hAnsi="Arial"/>
          <w:sz w:val="18"/>
          <w:szCs w:val="18"/>
          <w:color w:val="auto"/>
        </w:rPr>
        <w:t xml:space="preserve">” means additional Securities issued pursuant to the terms of any Officer’s Certificate, supplemental indenture or resolutions of the Issuers’ Boards, as applicable, other than any additional Securities issued pursuant to </w:t>
      </w:r>
      <w:r>
        <w:rPr>
          <w:rFonts w:ascii="Arial" w:cs="Arial" w:eastAsia="Arial" w:hAnsi="Arial"/>
          <w:sz w:val="18"/>
          <w:szCs w:val="18"/>
          <w:u w:val="single" w:color="auto"/>
          <w:color w:val="auto"/>
        </w:rPr>
        <w:t>Sections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of this Indenture or additional Securities issued in respect of the remaining portion of any Securities redeemed in part as provided for under any supplemental indenture.</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or Paying Agent.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Security, the rules and procedures of the Depositary, Euroclear and/or Clearstream that apply to such transfer or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12" w:name="page13"/>
    <w:bookmarkEnd w:id="1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the Bankruptcy Code and any similar federal, state or foreign law for the relief of debtors.</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with respect to a Person means the board of directors (or similar body, including any sole or managing member, as applicable) of such Person or any committee thereof duly authorized to act on behalf of such board of directors (or similar body, including any sole or managing member, as applicable).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40" w:right="680" w:firstLine="419"/>
        <w:spacing w:after="0" w:line="277" w:lineRule="auto"/>
        <w:tabs>
          <w:tab w:leader="none" w:pos="111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380" w:firstLine="419"/>
        <w:spacing w:after="0" w:line="277" w:lineRule="auto"/>
        <w:tabs>
          <w:tab w:leader="none" w:pos="1118"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clearance agency.</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xml:space="preserve">” shall be at the address of the Trustee specified in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 such other address as to which the Trustee may give notice to the Holders and the Issuers.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Securities in global form, or any successor entity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is, or after notice or lapse of time or both would become, an Event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Security</w:t>
      </w:r>
      <w:r>
        <w:rPr>
          <w:rFonts w:ascii="Arial" w:cs="Arial" w:eastAsia="Arial" w:hAnsi="Arial"/>
          <w:sz w:val="18"/>
          <w:szCs w:val="18"/>
          <w:color w:val="auto"/>
        </w:rPr>
        <w:t>” means a certificated Security registered in the name of the Holder thereof and issued in accordance with</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Section 2.06(a)</w:t>
      </w:r>
      <w:r>
        <w:rPr>
          <w:rFonts w:ascii="Arial" w:cs="Arial" w:eastAsia="Arial" w:hAnsi="Arial"/>
          <w:sz w:val="18"/>
          <w:szCs w:val="18"/>
          <w:color w:val="auto"/>
        </w:rPr>
        <w:t>, in such form as shall be established in one or more Officer’s Certificates, supplemental indentures or resolutions of the Issuers’ Boards, as applicable, in each case, with such appropriate insertions, omissions, substitutions and other variations as are required or not prohibited by this Indenture, except that such Security shall not bear the Global Security Legend and shall not have any “Schedule of Exchanges of Interests in the Global Security” (or similar schedule) attached thereto.</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Dell</w:t>
      </w:r>
      <w:r>
        <w:rPr>
          <w:rFonts w:ascii="Arial" w:cs="Arial" w:eastAsia="Arial" w:hAnsi="Arial"/>
          <w:sz w:val="18"/>
          <w:szCs w:val="18"/>
          <w:color w:val="auto"/>
        </w:rPr>
        <w:t>” means Dell Inc., a Delaware corporation.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Dell International</w:t>
      </w:r>
      <w:r>
        <w:rPr>
          <w:rFonts w:ascii="Arial" w:cs="Arial" w:eastAsia="Arial" w:hAnsi="Arial"/>
          <w:sz w:val="18"/>
          <w:szCs w:val="18"/>
          <w:color w:val="auto"/>
        </w:rPr>
        <w:t>” means Dell International L.L.C., a Delaware limited liability company.</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Denali Intermediate</w:t>
      </w:r>
      <w:r>
        <w:rPr>
          <w:rFonts w:ascii="Arial" w:cs="Arial" w:eastAsia="Arial" w:hAnsi="Arial"/>
          <w:sz w:val="18"/>
          <w:szCs w:val="18"/>
          <w:color w:val="auto"/>
        </w:rPr>
        <w:t>” means Denali Intermediate, Inc., a Delaware corporation.</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w:t>
      </w:r>
      <w:r>
        <w:rPr>
          <w:rFonts w:ascii="Arial" w:cs="Arial" w:eastAsia="Arial" w:hAnsi="Arial"/>
          <w:sz w:val="16"/>
          <w:szCs w:val="16"/>
          <w:color w:val="auto"/>
        </w:rPr>
        <w:t>” means, with respect to the Securities of any series issuable or issued in whole or in part in global form, the Person designated as the Depositary with respect to such series of Securities by the Issuers, which Depository shall be a clearing agency registered under the Exchange Act; and if at any time there is more than one such Person, “Depository” shall mean the Depository with respect to the Securities of such series.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set forth for such term in the definition of “Division”.</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 Successor</w:t>
      </w:r>
      <w:r>
        <w:rPr>
          <w:rFonts w:ascii="Arial" w:cs="Arial" w:eastAsia="Arial" w:hAnsi="Arial"/>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7"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Means</w:t>
      </w:r>
      <w:r>
        <w:rPr>
          <w:rFonts w:ascii="Arial" w:cs="Arial" w:eastAsia="Arial" w:hAnsi="Arial"/>
          <w:sz w:val="18"/>
          <w:szCs w:val="18"/>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EMC</w:t>
      </w:r>
      <w:r>
        <w:rPr>
          <w:rFonts w:ascii="Arial" w:cs="Arial" w:eastAsia="Arial" w:hAnsi="Arial"/>
          <w:sz w:val="18"/>
          <w:szCs w:val="18"/>
          <w:color w:val="auto"/>
        </w:rPr>
        <w:t>” means EMC Corporation, a Massachusetts corporation.</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single currency of participating member states of the EMU.</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S.A./N.V., as operator of the Euroclear system, or any successor securities clearance agency.</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any statute successor thereto, in each case as amended from time to time.</w:t>
      </w:r>
    </w:p>
    <w:p>
      <w:pPr>
        <w:spacing w:after="0" w:line="170"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Lease Obligation</w:t>
      </w:r>
      <w:r>
        <w:rPr>
          <w:rFonts w:ascii="Arial" w:cs="Arial" w:eastAsia="Arial" w:hAnsi="Arial"/>
          <w:sz w:val="17"/>
          <w:szCs w:val="17"/>
          <w:color w:val="auto"/>
        </w:rPr>
        <w:t>”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7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unless otherwise specified with respect to Securities of a particular series, generally accepted accounting principles set forth in the opinions and pronouncements of the Accounting Principles Board of the American Institute of Certified Public Accountants and statements and pronouncements of the Financial Accounting Standards Board, which are in effect as of the time when and for the period as to which such accounting principles are to be applied.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 w:name="page15"/>
    <w:bookmarkEnd w:id="14"/>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 which is required to be placed on all Global Securities issued under this Indenture.</w:t>
      </w:r>
    </w:p>
    <w:p>
      <w:pPr>
        <w:spacing w:after="0" w:line="170"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with respect to each series of Securities, a Global Security in such form as shall be established in one or more Officer’s Certificates, supplemental indentures or resolutions of the Issuers’ Boards, as applicable, in each case, with such appropriate insertions, omissions, substitutions and other variations as are required or not prohibited by this Indenture, bearing the Global Security Legend and deposited with or on behalf of, and registered in the name of, the Depositary or its nominee that will be issued in a denomination equal to the outstanding principal amount of the Securities of such series.</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84" w:lineRule="exact"/>
        <w:rPr>
          <w:sz w:val="20"/>
          <w:szCs w:val="20"/>
          <w:color w:val="auto"/>
        </w:rPr>
      </w:pPr>
    </w:p>
    <w:p>
      <w:pPr>
        <w:ind w:right="4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means, with respect to each series of Securities, Parent, Denali Intermediate and Dell until, in each case, such Person is released from, its Security Guarantee with respect to such series of Securities in accordance with the terms of this Indenture.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Security is registered on the registrar’s books.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xml:space="preserve">” means this Indenture, as it may be amended or supplemented from time to time pursuant to the applicable provisions hereof. The term “Indenture”, with respect to a series of Securities, shall also include the terms of the particular series of Securities established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when used with respect to an Original Issue Discount Security which by its terms bears interest only after Maturity, interest payable after Maturity.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with respect to any series of Securities the first date such Securities are issued under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Order</w:t>
      </w:r>
      <w:r>
        <w:rPr>
          <w:rFonts w:ascii="Arial" w:cs="Arial" w:eastAsia="Arial" w:hAnsi="Arial"/>
          <w:sz w:val="16"/>
          <w:szCs w:val="16"/>
          <w:color w:val="auto"/>
        </w:rPr>
        <w:t>” means a written request or order signed on behalf of the Issuers by an Officer of each Issuer and delivered to the Trustee.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has the meaning set forth for such term in the introductory paragraph hereof.</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15" w:name="page16"/>
    <w:bookmarkEnd w:id="1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Legal Holiday</w:t>
      </w:r>
      <w:r>
        <w:rPr>
          <w:rFonts w:ascii="Arial" w:cs="Arial" w:eastAsia="Arial" w:hAnsi="Arial"/>
          <w:sz w:val="16"/>
          <w:szCs w:val="16"/>
          <w:color w:val="auto"/>
        </w:rPr>
        <w:t>” means a Saturday, a Sunday or a day on which commercial banking institutions are not required to be open in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1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(1) any mortgage, deed of trust, lien, pledge, hypothecation, encumbrance, charge or security interest in, on or of such asset and (2) the interest of a vendor or a lessor under any conditional sale agreement, Financing Lease Obligation or title retention agreement (or any financing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Non-Financing Lease Obligation be deemed to constitute a Lien.</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exercise of option for repayment or otherwise.</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Non-Financing Lease Obligation</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 line or operating lease shall be considered a Non-Financing Lease Obligation.</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any of the foregoing (other than principal and interest) shall no longer constitute “Obligations” after payment in full of such principal and interest.</w:t>
      </w:r>
    </w:p>
    <w:p>
      <w:pPr>
        <w:spacing w:after="0" w:line="19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the Chairman of the Board, any Manager or Director, the Chief Executive Officer, the Chief Financial Officer, the Chief Operating Officer, the President, any Executive Vice President, Senior Vice President or Vice President, the Treasurer, the Controller or the Secretary or any other officer designated by any such individuals of Parent or any other Person, as the case may be.</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on behalf of Parent or an Issuer by an Officer of Parent or an Issuer or on behalf of any other Person, as the case may be, that meets the requirements set forth in this Indenture.</w:t>
      </w:r>
    </w:p>
    <w:p>
      <w:pPr>
        <w:spacing w:after="0" w:line="170" w:lineRule="exact"/>
        <w:rPr>
          <w:sz w:val="20"/>
          <w:szCs w:val="20"/>
          <w:color w:val="auto"/>
        </w:rPr>
      </w:pPr>
    </w:p>
    <w:p>
      <w:pPr>
        <w:ind w:right="3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means a written opinion from legal counsel who is reasonably acceptable to the Trustee (which opinion may be subject to customary assumptions and exclusions). The counsel may be an employee of or counsel to the Issuers or the Guarantors.</w:t>
      </w:r>
    </w:p>
    <w:p>
      <w:pPr>
        <w:spacing w:after="0" w:line="146"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xml:space="preserve">” means any Security which provides for an amount less than the principal amount thereof to be due and payable upon a declaration of acceleration of the Maturity thereof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Call Date</w:t>
      </w:r>
      <w:r>
        <w:rPr>
          <w:rFonts w:ascii="Arial" w:cs="Arial" w:eastAsia="Arial" w:hAnsi="Arial"/>
          <w:sz w:val="18"/>
          <w:szCs w:val="18"/>
          <w:color w:val="auto"/>
        </w:rPr>
        <w:t>” means, with respect to any series of Securities, the “Par Call Date” as defined in the Officer’s Certificate, supplemental indenture or resolutions of the Issuers’ Boards, as applicable, pursuant to which such Securities were issued.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6" w:name="page17"/>
    <w:bookmarkEnd w:id="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Parent</w:t>
      </w:r>
      <w:r>
        <w:rPr>
          <w:rFonts w:ascii="Arial" w:cs="Arial" w:eastAsia="Arial" w:hAnsi="Arial"/>
          <w:sz w:val="18"/>
          <w:szCs w:val="18"/>
          <w:color w:val="auto"/>
        </w:rPr>
        <w:t>” means Dell Technologies Inc., a Delaware corporation, and any successor entity, as permitted by this Indenture.</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xml:space="preserve">” for the interest or Additional Amounts, if any, payable on any Interest Payment Date on the Securities of any series means the date specified for that purpose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such Security is to be redeemed pursuant to this Indenture.</w:t>
      </w:r>
    </w:p>
    <w:p>
      <w:pPr>
        <w:spacing w:after="0" w:line="170"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when used with respect to the Trustee, any officer of the Trustee within its corporate trust department including any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specified in the first recital of this Indenture and more particularly means any Securities authenticated and delivered under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Guarantee</w:t>
      </w:r>
      <w:r>
        <w:rPr>
          <w:rFonts w:ascii="Arial" w:cs="Arial" w:eastAsia="Arial" w:hAnsi="Arial"/>
          <w:sz w:val="17"/>
          <w:szCs w:val="17"/>
          <w:color w:val="auto"/>
        </w:rPr>
        <w:t>” means the guarantee by any Guarantor of the Issuers’ Obligations under this Indenture and the Securities.</w:t>
      </w:r>
    </w:p>
    <w:p>
      <w:pPr>
        <w:spacing w:after="0" w:line="237" w:lineRule="exact"/>
        <w:rPr>
          <w:sz w:val="20"/>
          <w:szCs w:val="20"/>
          <w:color w:val="auto"/>
        </w:rPr>
      </w:pPr>
    </w:p>
    <w:p>
      <w:pPr>
        <w:jc w:val="both"/>
        <w:ind w:right="5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firstLine="419"/>
        <w:spacing w:after="0" w:line="259" w:lineRule="auto"/>
        <w:tabs>
          <w:tab w:leader="none" w:pos="1118"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left="1120" w:hanging="261"/>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partnership, joint venture, limited liability company or similar entity of which</w:t>
      </w:r>
    </w:p>
    <w:p>
      <w:pPr>
        <w:spacing w:after="0" w:line="117" w:lineRule="exact"/>
        <w:rPr>
          <w:rFonts w:ascii="Arial" w:cs="Arial" w:eastAsia="Arial" w:hAnsi="Arial"/>
          <w:sz w:val="18"/>
          <w:szCs w:val="18"/>
          <w:color w:val="auto"/>
        </w:rPr>
      </w:pPr>
    </w:p>
    <w:p>
      <w:pPr>
        <w:jc w:val="both"/>
        <w:ind w:left="980" w:right="480" w:firstLine="408"/>
        <w:spacing w:after="0" w:line="311" w:lineRule="auto"/>
        <w:tabs>
          <w:tab w:leader="none" w:pos="1625" w:val="left"/>
        </w:tabs>
        <w:numPr>
          <w:ilvl w:val="1"/>
          <w:numId w:val="4"/>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40" w:lineRule="exact"/>
        <w:rPr>
          <w:rFonts w:ascii="Arial" w:cs="Arial" w:eastAsia="Arial" w:hAnsi="Arial"/>
          <w:sz w:val="16"/>
          <w:szCs w:val="16"/>
          <w:color w:val="auto"/>
        </w:rPr>
      </w:pPr>
    </w:p>
    <w:p>
      <w:pPr>
        <w:ind w:left="1640" w:hanging="252"/>
        <w:spacing w:after="0"/>
        <w:tabs>
          <w:tab w:leader="none" w:pos="1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such Person or any Subsidiary of such Person is a controlling general partner or otherwise controls such entity.</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For the avoidance of doubt, any entity that is owned at a 50% or less level (as described above) shall not be a “Subsidiary” for any purpose under this Indenture, regardless of whether such entity is consolidated on Parent’s or any of its Subsidiaries’ financial statements.</w:t>
      </w:r>
    </w:p>
    <w:p>
      <w:pPr>
        <w:spacing w:after="0" w:line="14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xml:space="preserve">” means the Trust Indenture Act of 1939,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Bank of New York Mellon Trust Company, N.A., until a successor replaces it and, thereafter, means the successor.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40" w:right="40" w:firstLine="419"/>
        <w:spacing w:after="0" w:line="308" w:lineRule="auto"/>
        <w:tabs>
          <w:tab w:leader="none" w:pos="1118" w:val="left"/>
        </w:tabs>
        <w:numPr>
          <w:ilvl w:val="0"/>
          <w:numId w:val="5"/>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which, in either case, are not callable or redeemable at the option of the issuers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78"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of any Person means a Subsidiary of such Person, 100% of the outstanding Equity Interests of which (other than directors’ qualifying shares) shall at the time be owned by such Person or by one or more Wholly-Owned Subsidiaries of such Person.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4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6080" w:type="dxa"/>
            <w:vAlign w:val="bottom"/>
            <w:vMerge w:val="restart"/>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6080" w:type="dxa"/>
            <w:vAlign w:val="bottom"/>
            <w:vMerge w:val="continue"/>
          </w:tcPr>
          <w:p>
            <w:pPr>
              <w:spacing w:after="0"/>
              <w:rPr>
                <w:sz w:val="15"/>
                <w:szCs w:val="15"/>
                <w:color w:val="auto"/>
              </w:rPr>
            </w:pPr>
          </w:p>
        </w:tc>
        <w:tc>
          <w:tcPr>
            <w:tcW w:w="104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line="189" w:lineRule="exact"/>
              <w:rPr>
                <w:sz w:val="20"/>
                <w:szCs w:val="20"/>
                <w:color w:val="auto"/>
              </w:rPr>
            </w:pPr>
            <w:r>
              <w:rPr>
                <w:rFonts w:ascii="Arial" w:cs="Arial" w:eastAsia="Arial" w:hAnsi="Arial"/>
                <w:sz w:val="18"/>
                <w:szCs w:val="18"/>
                <w:color w:val="auto"/>
              </w:rPr>
              <w:t>“Applicable Law”</w:t>
            </w: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13.11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“Authentication Order”</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“DTC”</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6.01(a)</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“Redemption Price Deficit”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“Security Register”</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5.01(a)(1)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the provision is incorporated by reference in and made a part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Trust Indenture Act term used in this Indenture has the following meaning:</w:t>
      </w:r>
    </w:p>
    <w:p>
      <w:pPr>
        <w:spacing w:after="0" w:line="117" w:lineRule="exact"/>
        <w:rPr>
          <w:sz w:val="20"/>
          <w:szCs w:val="20"/>
          <w:color w:val="auto"/>
        </w:rPr>
      </w:pPr>
    </w:p>
    <w:p>
      <w:pPr>
        <w:ind w:left="980" w:right="180" w:firstLine="401"/>
        <w:spacing w:after="0" w:line="277" w:lineRule="auto"/>
        <w:rPr>
          <w:sz w:val="20"/>
          <w:szCs w:val="20"/>
          <w:color w:val="auto"/>
        </w:rPr>
      </w:pPr>
      <w:r>
        <w:rPr>
          <w:rFonts w:ascii="Arial" w:cs="Arial" w:eastAsia="Arial" w:hAnsi="Arial"/>
          <w:sz w:val="18"/>
          <w:szCs w:val="18"/>
          <w:color w:val="auto"/>
        </w:rPr>
        <w:t>“obligor” on the Securities of any series and the Security Guarantees means the Issuers and the Guarantors, respectively, and any successor obligor upon the Securities of such series and the Security Guarantees, respectively.</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440" w:top="274" w:right="619" w:bottom="1440" w:gutter="0" w:footer="0" w:header="0"/>
        </w:sectPr>
      </w:pPr>
    </w:p>
    <w:bookmarkStart w:id="19" w:name="page20"/>
    <w:bookmarkEnd w:id="19"/>
    <w:p>
      <w:pPr>
        <w:ind w:right="280" w:firstLine="436"/>
        <w:spacing w:after="0" w:line="27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sections of, or rules under, the Securities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“Section,” “clause” or “Exhibit” refers to an Article, Section, clause or Exhibit, as the case may be, of this Indenture; and</w:t>
      </w:r>
    </w:p>
    <w:p>
      <w:pPr>
        <w:spacing w:after="0" w:line="170" w:lineRule="exact"/>
        <w:rPr>
          <w:rFonts w:ascii="Arial" w:cs="Arial" w:eastAsia="Arial" w:hAnsi="Arial"/>
          <w:sz w:val="18"/>
          <w:szCs w:val="18"/>
          <w:color w:val="auto"/>
        </w:rPr>
      </w:pPr>
    </w:p>
    <w:p>
      <w:pPr>
        <w:ind w:right="540" w:firstLine="43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any particular Article, Section, clause, other subdivision or Exhibit.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addition, so long as a Guarantor that is either (1) a direct or indirect parent company of Parent and does not hold any material assets other than the Equity Interests of Parent or (2) a direct or indirect wholly-owned subsidiary of Parent and does not hold any material assets other than the Equity Interests of the Issuers and their direct or indirect parent companies (in each case, as determined in good faith by the Board or senior management of such Guarantor), any calculations or measures that are determined with reference to Parent’s financial statements may be determined with reference to such Guarantor’s financial statements instead.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180" w:firstLine="436"/>
        <w:spacing w:after="0" w:line="273" w:lineRule="auto"/>
        <w:tabs>
          <w:tab w:leader="none" w:pos="68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Issuers. Proof of execution of any such instrument or of a writing appointing any such agent, or the holding by any Person of a Security, shall be sufficient for any purpose of this Indenture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conclusive in favor of the Trustee and the Issuers, if made in the manner provided in this </w:t>
      </w:r>
      <w:r>
        <w:rPr>
          <w:rFonts w:ascii="Arial" w:cs="Arial" w:eastAsia="Arial" w:hAnsi="Arial"/>
          <w:sz w:val="17"/>
          <w:szCs w:val="17"/>
          <w:u w:val="single" w:color="auto"/>
          <w:color w:val="auto"/>
        </w:rPr>
        <w:t>Section 1.05</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436"/>
        <w:spacing w:after="0" w:line="255"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92" w:lineRule="exact"/>
        <w:rPr>
          <w:rFonts w:ascii="Arial" w:cs="Arial" w:eastAsia="Arial" w:hAnsi="Arial"/>
          <w:sz w:val="18"/>
          <w:szCs w:val="18"/>
          <w:color w:val="auto"/>
        </w:rPr>
      </w:pPr>
    </w:p>
    <w:p>
      <w:pPr>
        <w:ind w:left="680" w:hanging="2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w:t>
      </w:r>
    </w:p>
    <w:p>
      <w:pPr>
        <w:spacing w:after="0" w:line="225" w:lineRule="exact"/>
        <w:rPr>
          <w:rFonts w:ascii="Arial" w:cs="Arial" w:eastAsia="Arial" w:hAnsi="Arial"/>
          <w:sz w:val="18"/>
          <w:szCs w:val="18"/>
          <w:color w:val="auto"/>
        </w:rPr>
      </w:pPr>
    </w:p>
    <w:p>
      <w:pPr>
        <w:ind w:firstLine="436"/>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 action taken, suffered or omitted by the Trustee or the Issuers in reliance thereon, whether or not notation of such action is made upon such Security.</w:t>
      </w:r>
    </w:p>
    <w:p>
      <w:pPr>
        <w:spacing w:after="0" w:line="186" w:lineRule="exact"/>
        <w:rPr>
          <w:rFonts w:ascii="Arial" w:cs="Arial" w:eastAsia="Arial" w:hAnsi="Arial"/>
          <w:sz w:val="18"/>
          <w:szCs w:val="18"/>
          <w:color w:val="auto"/>
        </w:rPr>
      </w:pPr>
    </w:p>
    <w:p>
      <w:pPr>
        <w:ind w:right="180" w:firstLine="436"/>
        <w:spacing w:after="0" w:line="263"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Issuers may, in the circumstances permitted by the Trust Indenture Act,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0" w:name="page21"/>
    <w:bookmarkEnd w:id="2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set by the Issuers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84" w:lineRule="exact"/>
        <w:rPr>
          <w:sz w:val="20"/>
          <w:szCs w:val="20"/>
          <w:color w:val="auto"/>
        </w:rPr>
      </w:pPr>
    </w:p>
    <w:p>
      <w:pPr>
        <w:ind w:right="40" w:firstLine="436"/>
        <w:spacing w:after="0" w:line="301" w:lineRule="auto"/>
        <w:tabs>
          <w:tab w:leader="none" w:pos="66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Without limiting the foregoing, a Holder entitled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Arial" w:cs="Arial" w:eastAsia="Arial" w:hAnsi="Arial"/>
          <w:sz w:val="16"/>
          <w:szCs w:val="16"/>
          <w:u w:val="single" w:color="auto"/>
          <w:color w:val="auto"/>
        </w:rPr>
        <w:t>Section 1.05(f)</w:t>
      </w:r>
      <w:r>
        <w:rPr>
          <w:rFonts w:ascii="Arial" w:cs="Arial" w:eastAsia="Arial" w:hAnsi="Arial"/>
          <w:sz w:val="16"/>
          <w:szCs w:val="16"/>
          <w:color w:val="auto"/>
        </w:rPr>
        <w:t xml:space="preserve"> shall have the same effect as if given or taken by separate Holders of each such different part.</w:t>
      </w:r>
    </w:p>
    <w:p>
      <w:pPr>
        <w:spacing w:after="0" w:line="157" w:lineRule="exact"/>
        <w:rPr>
          <w:rFonts w:ascii="Arial" w:cs="Arial" w:eastAsia="Arial" w:hAnsi="Arial"/>
          <w:sz w:val="16"/>
          <w:szCs w:val="16"/>
          <w:color w:val="auto"/>
        </w:rPr>
      </w:pPr>
    </w:p>
    <w:p>
      <w:pPr>
        <w:ind w:right="60" w:firstLine="436"/>
        <w:spacing w:after="0" w:line="279" w:lineRule="auto"/>
        <w:tabs>
          <w:tab w:leader="none" w:pos="695"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DTC that is the Holder of a Global Security, may make, give or take, by a proxy or proxies duly appointed in writing, any request, demand, authorization, direction, notice, consent, waiver or other action provided in this Indenture to be made, given or taken by Holders, and DTC that is the Holder of a Global Security may provide its proxy or proxies to the beneficial owners of interests in any such Global Security through such depositary’s standing instructions and customary practices.</w:t>
      </w:r>
    </w:p>
    <w:p>
      <w:pPr>
        <w:spacing w:after="0" w:line="171" w:lineRule="exact"/>
        <w:rPr>
          <w:rFonts w:ascii="Arial" w:cs="Arial" w:eastAsia="Arial" w:hAnsi="Arial"/>
          <w:sz w:val="17"/>
          <w:szCs w:val="17"/>
          <w:color w:val="auto"/>
        </w:rPr>
      </w:pPr>
    </w:p>
    <w:p>
      <w:pPr>
        <w:ind w:firstLine="436"/>
        <w:spacing w:after="0" w:line="254"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Issuers may fix a Record Date for the purpose of determining the Persons who are beneficial owners of interests in any Global Security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 Terms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3"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Securities may have notations, legends or endorsements required by law, stock exchange rules or usage. Each Security shall be dated the date of its authentication. In the absence of any specified denomination with respect to the Securities of any series, the Securities of such series shall be issuable in denominations of $2,000 and integral multiples of $1,000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right="60" w:firstLine="436"/>
        <w:spacing w:after="0" w:line="254"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Series of Securities</w:t>
      </w:r>
      <w:r>
        <w:rPr>
          <w:rFonts w:ascii="Arial" w:cs="Arial" w:eastAsia="Arial" w:hAnsi="Arial"/>
          <w:sz w:val="18"/>
          <w:szCs w:val="18"/>
          <w:color w:val="auto"/>
        </w:rPr>
        <w:t xml:space="preserve">. The aggregate principal amount of Securities of any series that may be authenticated and delivered under this Indenture is unlimited. The Securities may be issued in one or more series. All Securities of a series shall be identical except with respect to the date of issuance, issue price and, if applicable, the first payment of interest and the first date from which interest will accrue with respect to any Additional Securities of such series. Securities may differ between series in respect of any matters;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series of Securities shall be equally and ratably entitled to the benefits of this Indenture. There shall be set forth in one or more Officer’s Certificate, supplemental indentures hereto and/or Officer’s Certificate detailing the adoption of the terms thereof pursuant to the authority granted pursuant to the resolutions of the Issuers’ Boards, prior to the issuance of Securities of any series:</w:t>
      </w:r>
    </w:p>
    <w:p>
      <w:pPr>
        <w:spacing w:after="0" w:line="86" w:lineRule="exact"/>
        <w:rPr>
          <w:rFonts w:ascii="Arial" w:cs="Arial" w:eastAsia="Arial" w:hAnsi="Arial"/>
          <w:sz w:val="18"/>
          <w:szCs w:val="18"/>
          <w:color w:val="auto"/>
        </w:rPr>
      </w:pPr>
    </w:p>
    <w:p>
      <w:pPr>
        <w:ind w:left="1120" w:hanging="261"/>
        <w:spacing w:after="0"/>
        <w:tabs>
          <w:tab w:leader="none" w:pos="11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the Securities of any other series);</w:t>
      </w:r>
    </w:p>
    <w:p>
      <w:pPr>
        <w:spacing w:after="0" w:line="128" w:lineRule="exact"/>
        <w:rPr>
          <w:rFonts w:ascii="Arial" w:cs="Arial" w:eastAsia="Arial" w:hAnsi="Arial"/>
          <w:sz w:val="17"/>
          <w:szCs w:val="17"/>
          <w:color w:val="auto"/>
        </w:rPr>
      </w:pPr>
    </w:p>
    <w:p>
      <w:pPr>
        <w:ind w:left="440" w:firstLine="419"/>
        <w:spacing w:after="0" w:line="263"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any limit upon the aggregate principal amount of the Securities of such series that may be authenticated and delivered under this Indenture (except for Securities authenticated and delivered upon registration of transfer of, or in exchange for, or in lieu of, other Securities of the series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price or prices at which the Securities of the series will be sold;</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Person to whom any interest on the Securities of the series shall be payable, if other than the Person in whose name such Security (or one or more predecessor Securities) is registered at the close of business on the Record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Securities of the series are payable;</w:t>
      </w:r>
    </w:p>
    <w:p>
      <w:pPr>
        <w:spacing w:after="0" w:line="117" w:lineRule="exact"/>
        <w:rPr>
          <w:rFonts w:ascii="Arial" w:cs="Arial" w:eastAsia="Arial" w:hAnsi="Arial"/>
          <w:sz w:val="18"/>
          <w:szCs w:val="18"/>
          <w:color w:val="auto"/>
        </w:rPr>
      </w:pPr>
    </w:p>
    <w:p>
      <w:pPr>
        <w:ind w:left="440" w:right="100" w:firstLine="419"/>
        <w:spacing w:after="0" w:line="257"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of determining the rate or rates at which the Securities of the series shall bear interest, if any, or the method for determining the date or dates from which interest will accrue, the date or dates from which such interest, if any, shall accrue, the Interest Payment Dates on which any such interest shall be payable or the method by which the dates will be determined, the Record Date for any interest payable on any Interest Payment Date and the basis upon which interest shall be calculated if other than that of a 360-day year of twelve 30-day months;</w:t>
      </w:r>
    </w:p>
    <w:p>
      <w:pPr>
        <w:spacing w:after="0" w:line="79" w:lineRule="exact"/>
        <w:rPr>
          <w:rFonts w:ascii="Arial" w:cs="Arial" w:eastAsia="Arial" w:hAnsi="Arial"/>
          <w:sz w:val="18"/>
          <w:szCs w:val="18"/>
          <w:color w:val="auto"/>
        </w:rPr>
      </w:pPr>
    </w:p>
    <w:p>
      <w:pPr>
        <w:ind w:left="440" w:right="240" w:firstLine="419"/>
        <w:spacing w:after="0" w:line="259"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Securities of the series shall be payable, if other than the Corporate Trust Office of the Trustee, where the Securities of such series may be surrendered for registration of transfer or exchange and where notices and demands to or upon the Issuers in respect of the Securities of such series and this Indenture may be served, and the method of such payment, if by wire transfer, mail or other means;</w:t>
      </w:r>
    </w:p>
    <w:p>
      <w:pPr>
        <w:spacing w:after="0" w:line="78"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the Securities of the series may be redeemed, in whole or in part, at the option of the Issuers;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 w:name="page23"/>
    <w:bookmarkEnd w:id="22"/>
    <w:p>
      <w:pPr>
        <w:ind w:right="220" w:firstLine="419"/>
        <w:spacing w:after="0" w:line="259"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 of the Issuers, if any, to redeem or purchase the Securities of the series pursuant to any sinking fund or analogous provisions or at the option of a Holder thereof and the period or periods within which, the price or prices at which and the terms and conditions upon which such Securities of the series shall be redeemed or purchased, in whole or in part, pursuant to such obligation, and any provisions for the remarketing of such Securities;</w:t>
      </w:r>
    </w:p>
    <w:p>
      <w:pPr>
        <w:spacing w:after="0" w:line="78" w:lineRule="exact"/>
        <w:rPr>
          <w:rFonts w:ascii="Arial" w:cs="Arial" w:eastAsia="Arial" w:hAnsi="Arial"/>
          <w:sz w:val="18"/>
          <w:szCs w:val="18"/>
          <w:color w:val="auto"/>
        </w:rPr>
      </w:pPr>
    </w:p>
    <w:p>
      <w:pPr>
        <w:ind w:right="260" w:firstLine="419"/>
        <w:spacing w:after="0" w:line="263"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if any, upon which the Securities of the series may be exchanged for other securities of the Issuers and the terms and conditions upon which the exchange shall be effected, including the initial exchange price or rate, the exchange period and any other additional provisions;</w:t>
      </w:r>
    </w:p>
    <w:p>
      <w:pPr>
        <w:spacing w:after="0" w:line="75" w:lineRule="exact"/>
        <w:rPr>
          <w:rFonts w:ascii="Arial" w:cs="Arial" w:eastAsia="Arial" w:hAnsi="Arial"/>
          <w:sz w:val="18"/>
          <w:szCs w:val="18"/>
          <w:color w:val="auto"/>
        </w:rPr>
      </w:pPr>
    </w:p>
    <w:p>
      <w:pPr>
        <w:ind w:right="200" w:firstLine="419"/>
        <w:spacing w:after="0" w:line="277" w:lineRule="auto"/>
        <w:tabs>
          <w:tab w:leader="none" w:pos="7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denominations of $2,000 and integral multiples of $1,000 in excess thereof, the denominations in which the Securities of the series shall be issuable;</w:t>
      </w:r>
    </w:p>
    <w:p>
      <w:pPr>
        <w:spacing w:after="0" w:line="62" w:lineRule="exact"/>
        <w:rPr>
          <w:rFonts w:ascii="Arial" w:cs="Arial" w:eastAsia="Arial" w:hAnsi="Arial"/>
          <w:sz w:val="18"/>
          <w:szCs w:val="18"/>
          <w:color w:val="auto"/>
        </w:rPr>
      </w:pPr>
    </w:p>
    <w:p>
      <w:pPr>
        <w:ind w:right="80" w:firstLine="419"/>
        <w:spacing w:after="0" w:line="277"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payment of principal of and any premium and interest on the Securities of the series shall be payable, if other than the currency of the United States of America;</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index, formula or other method used to determine the amount of payments of principal of or any premium or interest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02" w:lineRule="exact"/>
        <w:rPr>
          <w:rFonts w:ascii="Arial" w:cs="Arial" w:eastAsia="Arial" w:hAnsi="Arial"/>
          <w:sz w:val="17"/>
          <w:szCs w:val="17"/>
          <w:color w:val="auto"/>
        </w:rPr>
      </w:pPr>
    </w:p>
    <w:p>
      <w:pPr>
        <w:ind w:firstLine="419"/>
        <w:spacing w:after="0" w:line="257"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the Securities of the series will not be determinable as of any one or more dates prior to the Stated Maturity, the amount that will be deemed to be the principal amount as of any date for any purpose, including the principal amount thereof which will be due and payable upon any Maturity other than the Stated Maturity or which will be deemed to be outstanding as of any date (or, in any such case, the manner in which the deemed principal amount is to be determined), and, if necessary, the manner of determining the equivalent thereof in currency of the United States of America;</w:t>
      </w:r>
    </w:p>
    <w:p>
      <w:pPr>
        <w:spacing w:after="0" w:line="79" w:lineRule="exact"/>
        <w:rPr>
          <w:rFonts w:ascii="Arial" w:cs="Arial" w:eastAsia="Arial" w:hAnsi="Arial"/>
          <w:sz w:val="18"/>
          <w:szCs w:val="18"/>
          <w:color w:val="auto"/>
        </w:rPr>
      </w:pPr>
    </w:p>
    <w:p>
      <w:pPr>
        <w:ind w:right="60" w:firstLine="419"/>
        <w:spacing w:after="0" w:line="259"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Issuers or the Holders thereof, in one or more currencies or currency units other than that or those in which the Securities are stated to be payable, the currency, currencies or currency units in which payment of the principal of and any premium and interest on Securities of such series shall be payable, and the periods within which and the terms and conditions upon which such election is to be made;</w:t>
      </w:r>
    </w:p>
    <w:p>
      <w:pPr>
        <w:spacing w:after="0" w:line="78" w:lineRule="exact"/>
        <w:rPr>
          <w:rFonts w:ascii="Arial" w:cs="Arial" w:eastAsia="Arial" w:hAnsi="Arial"/>
          <w:sz w:val="18"/>
          <w:szCs w:val="18"/>
          <w:color w:val="auto"/>
        </w:rPr>
      </w:pPr>
    </w:p>
    <w:p>
      <w:pPr>
        <w:ind w:right="420" w:firstLine="419"/>
        <w:spacing w:after="0" w:line="277"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applicability of, and any addition to or change in, the covenants and definitions set forth in this Indenture as then in effect or in terms set forth in this Indenture as then in effect relating to permitted consolidations, mergers or sale of assets;</w:t>
      </w:r>
    </w:p>
    <w:p>
      <w:pPr>
        <w:spacing w:after="0" w:line="62" w:lineRule="exact"/>
        <w:rPr>
          <w:rFonts w:ascii="Arial" w:cs="Arial" w:eastAsia="Arial" w:hAnsi="Arial"/>
          <w:sz w:val="18"/>
          <w:szCs w:val="18"/>
          <w:color w:val="auto"/>
        </w:rPr>
      </w:pPr>
    </w:p>
    <w:p>
      <w:pPr>
        <w:ind w:right="100" w:firstLine="419"/>
        <w:spacing w:after="0" w:line="308" w:lineRule="auto"/>
        <w:tabs>
          <w:tab w:leader="none" w:pos="7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any additions or deletions or changes to the provisions provided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Indenture relating to covenant defeasance and legal defeasance, including the addition of additional covenants that may be subject to the Issuers’ covenant defeasance option;</w:t>
      </w:r>
    </w:p>
    <w:p>
      <w:pPr>
        <w:spacing w:after="0" w:line="38" w:lineRule="exact"/>
        <w:rPr>
          <w:rFonts w:ascii="Arial" w:cs="Arial" w:eastAsia="Arial" w:hAnsi="Arial"/>
          <w:sz w:val="17"/>
          <w:szCs w:val="17"/>
          <w:color w:val="auto"/>
        </w:rPr>
      </w:pPr>
    </w:p>
    <w:p>
      <w:pPr>
        <w:ind w:right="160" w:firstLine="419"/>
        <w:spacing w:after="0" w:line="257" w:lineRule="auto"/>
        <w:tabs>
          <w:tab w:leader="none" w:pos="7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whether any of the Securities of such series shall be issuable in temporary or permanent global form or both, and, if so, the Depositary or Depositaries for such Global Security or Global Securities and the terms and conditions, if any, other than those set forth in </w:t>
      </w:r>
      <w:r>
        <w:rPr>
          <w:rFonts w:ascii="Arial" w:cs="Arial" w:eastAsia="Arial" w:hAnsi="Arial"/>
          <w:sz w:val="18"/>
          <w:szCs w:val="18"/>
          <w:u w:val="single" w:color="auto"/>
          <w:color w:val="auto"/>
        </w:rPr>
        <w:t>Article 2</w:t>
      </w:r>
      <w:r>
        <w:rPr>
          <w:rFonts w:ascii="Arial" w:cs="Arial" w:eastAsia="Arial" w:hAnsi="Arial"/>
          <w:sz w:val="18"/>
          <w:szCs w:val="18"/>
          <w:color w:val="auto"/>
        </w:rPr>
        <w:t>, upon which interests in such Global Security may be exchanged, in whole or in part, for the individual Securities represented thereby in definitive registered form, and the form of any legend or legends to be borne by the Global Security in addition to or in lieu of the legend referred to in this Indenture;</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23" w:name="page24"/>
    <w:bookmarkEnd w:id="23"/>
    <w:p>
      <w:pPr>
        <w:ind w:left="440" w:firstLine="419"/>
        <w:spacing w:after="0" w:line="342" w:lineRule="auto"/>
        <w:tabs>
          <w:tab w:leader="none" w:pos="1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any authenticating agents, Paying Agents, transfer agents or registrars, including if a party other than The Bank of New York Mellon Trust Company, N.A. is to act as Trustee for the Securities of such series, the name and Corporate Trust Office of such party;</w:t>
      </w:r>
    </w:p>
    <w:p>
      <w:pPr>
        <w:spacing w:after="0" w:line="15" w:lineRule="exact"/>
        <w:rPr>
          <w:rFonts w:ascii="Arial" w:cs="Arial" w:eastAsia="Arial" w:hAnsi="Arial"/>
          <w:sz w:val="16"/>
          <w:szCs w:val="16"/>
          <w:color w:val="auto"/>
        </w:rPr>
      </w:pPr>
    </w:p>
    <w:p>
      <w:pPr>
        <w:ind w:left="440" w:right="200" w:firstLine="419"/>
        <w:spacing w:after="0" w:line="277" w:lineRule="auto"/>
        <w:tabs>
          <w:tab w:leader="none" w:pos="1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form and terms, if any, of any guarantee of the payment of principal, premium and interest with respect to Securities of the series and any corresponding changes to the provisions of this Indenture as then in effect;</w:t>
      </w:r>
    </w:p>
    <w:p>
      <w:pPr>
        <w:spacing w:after="0" w:line="62" w:lineRule="exact"/>
        <w:rPr>
          <w:rFonts w:ascii="Arial" w:cs="Arial" w:eastAsia="Arial" w:hAnsi="Arial"/>
          <w:sz w:val="18"/>
          <w:szCs w:val="18"/>
          <w:color w:val="auto"/>
        </w:rPr>
      </w:pPr>
    </w:p>
    <w:p>
      <w:pPr>
        <w:ind w:left="440" w:right="280" w:firstLine="419"/>
        <w:spacing w:after="0" w:line="263" w:lineRule="auto"/>
        <w:tabs>
          <w:tab w:leader="none" w:pos="1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if any, of the transfer, mortgage, pledge or assignment as security for the Securities of the series of any properties, assets, moneys, proceeds, securities or other collateral, including whether certain provisions of the Trust Indenture Act are applicable and any corresponding changes to provisions of this Indenture as then in effect;</w:t>
      </w:r>
    </w:p>
    <w:p>
      <w:pPr>
        <w:spacing w:after="0" w:line="75" w:lineRule="exact"/>
        <w:rPr>
          <w:rFonts w:ascii="Arial" w:cs="Arial" w:eastAsia="Arial" w:hAnsi="Arial"/>
          <w:sz w:val="18"/>
          <w:szCs w:val="18"/>
          <w:color w:val="auto"/>
        </w:rPr>
      </w:pPr>
    </w:p>
    <w:p>
      <w:pPr>
        <w:ind w:left="440" w:right="60" w:firstLine="419"/>
        <w:spacing w:after="0" w:line="263" w:lineRule="auto"/>
        <w:tabs>
          <w:tab w:leader="none" w:pos="1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with respect to the Securities of the series and any change in the right of the Trustee or the Holders of the Securities of such series to declare the principal, premium and interest with respect to the Securities of such series due and payable; and</w:t>
      </w:r>
    </w:p>
    <w:p>
      <w:pPr>
        <w:spacing w:after="0" w:line="75" w:lineRule="exact"/>
        <w:rPr>
          <w:rFonts w:ascii="Arial" w:cs="Arial" w:eastAsia="Arial" w:hAnsi="Arial"/>
          <w:sz w:val="18"/>
          <w:szCs w:val="18"/>
          <w:color w:val="auto"/>
        </w:rPr>
      </w:pPr>
    </w:p>
    <w:p>
      <w:pPr>
        <w:ind w:left="440" w:right="500" w:firstLine="419"/>
        <w:spacing w:after="0" w:line="286" w:lineRule="auto"/>
        <w:tabs>
          <w:tab w:leader="none" w:pos="12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any other terms of the Securities of such series and the related Security Guarantees, if any (whether or not such other terms are consistent or inconsistent with the provisions of this Indenture, except as permitted by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any deletions from or modifications or additions to this Indenture in respect of such Securities or such Security Guarantees, if any).</w:t>
      </w:r>
    </w:p>
    <w:p>
      <w:pPr>
        <w:spacing w:after="0" w:line="16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All Securities of any one series need not be issued at one time and, unless otherwise provided in or pursuant to any such Officer’s Certificate, supplemental indenture or resolutions of the Issuers’ Boards, as applicable, with respect to a series of Securities, the authorized principal amount of any series of Securities may be increased to provide for issuances of Additional Securities of a series, at the option of the Issuers, without the consent of any Holder of any series of Securities, at any time and from time to time.</w:t>
      </w:r>
    </w:p>
    <w:p>
      <w:pPr>
        <w:spacing w:after="0" w:line="187" w:lineRule="exact"/>
        <w:rPr>
          <w:sz w:val="20"/>
          <w:szCs w:val="20"/>
          <w:color w:val="auto"/>
        </w:rPr>
      </w:pPr>
    </w:p>
    <w:p>
      <w:pPr>
        <w:ind w:left="680" w:hanging="244"/>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Global Securities</w:t>
      </w:r>
      <w:r>
        <w:rPr>
          <w:rFonts w:ascii="Arial" w:cs="Arial" w:eastAsia="Arial" w:hAnsi="Arial"/>
          <w:sz w:val="17"/>
          <w:szCs w:val="17"/>
          <w:color w:val="auto"/>
        </w:rPr>
        <w:t>. Securities issued in global form shall be in such form as shall be established in one or more Officer’s Certificate,</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supplemental indenture or resolutions of the Issuers’ Boards, as applicable and in each case, with such appropriate insertions, omissions, substitutions and other variations as are required or not prohibited by this Indenture (including the Global Security Legend thereon and the “Schedule of Exchanges of Interests in the Global Security” (or similar schedule) attached thereto). Securities issued in definitive form shall be in such form as shall be established in one or more supplemental indentures, in each case, with such appropriate insertions, omissions, substitutions and other variations as are required or not prohibited by this Indenture (but without the Global Security Legend thereon and without the “Schedule of Exchanges of Interests in the Global Security” (or similar schedule) attached thereto). Each Global Security shall represent such of the outstanding Securities of any series as shall be specified in the “Schedule of Exchanges of Interests in the Global Security” (or similar schedule) attached thereto and each shall provide that it shall represent up to the aggregate principal amount of Securities of any series from time to time endorsed thereon and that the aggregate principal amount of outstanding Securities of such series represented thereby may from time to time be reduced or increased, as applicable, to reflect exchanges and redemptions. Any endorsement of a Global Security to reflect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24" w:name="page25"/>
    <w:bookmarkEnd w:id="24"/>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of any increase or decrease in the aggregate principal amount of outstanding Securities of any series represented thereby shall be made by the Trustee or the Custodian, at the direction of the Trustee, in accordance with instructions given by the Holder thereof as required by </w:t>
      </w:r>
      <w:r>
        <w:rPr>
          <w:rFonts w:ascii="Arial" w:cs="Arial" w:eastAsia="Arial" w:hAnsi="Arial"/>
          <w:sz w:val="16"/>
          <w:szCs w:val="16"/>
          <w:u w:val="single" w:color="auto"/>
          <w:color w:val="auto"/>
        </w:rPr>
        <w:t>Section 2.06</w:t>
      </w:r>
      <w:r>
        <w:rPr>
          <w:rFonts w:ascii="Arial" w:cs="Arial" w:eastAsia="Arial" w:hAnsi="Arial"/>
          <w:sz w:val="16"/>
          <w:szCs w:val="16"/>
          <w:color w:val="auto"/>
        </w:rPr>
        <w:t>.</w:t>
      </w:r>
    </w:p>
    <w:p>
      <w:pPr>
        <w:spacing w:after="0" w:line="124" w:lineRule="exact"/>
        <w:rPr>
          <w:sz w:val="20"/>
          <w:szCs w:val="20"/>
          <w:color w:val="auto"/>
        </w:rPr>
      </w:pPr>
    </w:p>
    <w:p>
      <w:pPr>
        <w:ind w:left="700" w:hanging="264"/>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436"/>
        <w:spacing w:after="0" w:line="263"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The terms and provisions contained in the Securities of any series shall constitute, and are hereby expressly made, a part of this Indenture and the Issuers and the Trustee, by their execution and delivery of this Indenture, and the Issuers and the Guarantors expressly agree to such terms and provisions and to be bound thereby.</w:t>
      </w:r>
    </w:p>
    <w:p>
      <w:pPr>
        <w:spacing w:after="0" w:line="18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Unless otherwise indicated for a particular series of Securities by an Officer’s Certificate, supplemental indenture or resolutions of the Issuers’ Boards, the Securities shall not be redeemable, other than as provided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At least one Officer shall execute the Securities on behalf of each of the Issuers by manual, facsimile or electronic (including, but not limited to, “.pdf”) signature.</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a Security is authenticated, the Security shall nevertheless be valid.</w:t>
      </w:r>
    </w:p>
    <w:p>
      <w:pPr>
        <w:spacing w:after="0" w:line="170"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A Security shall not be entitled to any benefit under this Indenture or be valid or obligatory for any purpose until authenticated by the manual or electronic signature of the Trustee. The signature shall be conclusive evidence that the Security has been duly authenticated and delivered under this Indenture.</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At any time and from time to time after the execution and delivery of this Indenture, the Issuers may deliver Securities executed by the Issuers to the Trustee for authentication and delivery and the Trustee shall, upon receipt of an Issuer Order (an “</w:t>
      </w:r>
      <w:r>
        <w:rPr>
          <w:rFonts w:ascii="Arial" w:cs="Arial" w:eastAsia="Arial" w:hAnsi="Arial"/>
          <w:sz w:val="17"/>
          <w:szCs w:val="17"/>
          <w:u w:val="single" w:color="auto"/>
          <w:color w:val="auto"/>
        </w:rPr>
        <w:t>Authentication Order</w:t>
      </w:r>
      <w:r>
        <w:rPr>
          <w:rFonts w:ascii="Arial" w:cs="Arial" w:eastAsia="Arial" w:hAnsi="Arial"/>
          <w:sz w:val="17"/>
          <w:szCs w:val="17"/>
          <w:color w:val="auto"/>
        </w:rPr>
        <w:t>”), authenticate and deliver the Securities of any series for an aggregate principal amount specified in such Authentication Order for such Securities.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authenticating such Securities, and accepting the additional responsibilities under this Indenture in relation to such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Trustee shall receive, and,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 shall be fully protected in relying upon:</w:t>
      </w:r>
    </w:p>
    <w:p>
      <w:pPr>
        <w:spacing w:after="0" w:line="103" w:lineRule="exact"/>
        <w:rPr>
          <w:sz w:val="20"/>
          <w:szCs w:val="20"/>
          <w:color w:val="auto"/>
        </w:rPr>
      </w:pPr>
    </w:p>
    <w:p>
      <w:pPr>
        <w:ind w:left="440" w:right="80" w:firstLine="419"/>
        <w:spacing w:after="0" w:line="259"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(x) if the terms and form of such Securities are established by action taken pursuant to a resolution or resolutions of the Board of the Issuers, a copy of the appropriate record of such action, certified by the Secretary or an Assistant Secretary of the Issuers, and (y) if the terms and form of such Securities are established by an Officer’s Certificate pursuant to general authorization of the Board of the Issuers, such Officer’s Certificate; and/or</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copy of the executed supplemental indenture.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 Officer’s Certificate delivered in accordance with </w:t>
      </w:r>
      <w:r>
        <w:rPr>
          <w:rFonts w:ascii="Arial" w:cs="Arial" w:eastAsia="Arial" w:hAnsi="Arial"/>
          <w:sz w:val="18"/>
          <w:szCs w:val="18"/>
          <w:u w:val="single" w:color="auto"/>
          <w:color w:val="auto"/>
        </w:rPr>
        <w:t>Sections 13.04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13.05</w:t>
      </w:r>
      <w:r>
        <w:rPr>
          <w:rFonts w:ascii="Arial" w:cs="Arial" w:eastAsia="Arial" w:hAnsi="Arial"/>
          <w:sz w:val="18"/>
          <w:szCs w:val="18"/>
          <w:color w:val="auto"/>
        </w:rPr>
        <w: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ind w:left="1120" w:hanging="261"/>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Opinion of Counsel, delivered in accordance with </w:t>
      </w:r>
      <w:r>
        <w:rPr>
          <w:rFonts w:ascii="Arial" w:cs="Arial" w:eastAsia="Arial" w:hAnsi="Arial"/>
          <w:sz w:val="18"/>
          <w:szCs w:val="18"/>
          <w:u w:val="single" w:color="auto"/>
          <w:color w:val="auto"/>
        </w:rPr>
        <w:t>Sections 13.04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13.05</w:t>
      </w:r>
      <w:r>
        <w:rPr>
          <w:rFonts w:ascii="Arial" w:cs="Arial" w:eastAsia="Arial" w:hAnsi="Arial"/>
          <w:sz w:val="18"/>
          <w:szCs w:val="18"/>
          <w:color w:val="auto"/>
        </w:rPr>
        <w:t>, and which shall also state:</w:t>
      </w:r>
    </w:p>
    <w:p>
      <w:pPr>
        <w:spacing w:after="0" w:line="117" w:lineRule="exact"/>
        <w:rPr>
          <w:rFonts w:ascii="Arial" w:cs="Arial" w:eastAsia="Arial" w:hAnsi="Arial"/>
          <w:sz w:val="18"/>
          <w:szCs w:val="18"/>
          <w:color w:val="auto"/>
        </w:rPr>
      </w:pPr>
    </w:p>
    <w:p>
      <w:pPr>
        <w:ind w:left="980" w:right="440" w:firstLine="408"/>
        <w:spacing w:after="0" w:line="342" w:lineRule="auto"/>
        <w:tabs>
          <w:tab w:leader="none" w:pos="1636"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that the form of such Securities has been established by an Officer’s Certificate or supplemental indenture or pursuant to resolutions of the Issuers’ Boards in accordance with Section 2.01 of this Base Indenture and in conformity with this Base Indenture;</w:t>
      </w:r>
    </w:p>
    <w:p>
      <w:pPr>
        <w:spacing w:after="0" w:line="15" w:lineRule="exact"/>
        <w:rPr>
          <w:rFonts w:ascii="Arial" w:cs="Arial" w:eastAsia="Arial" w:hAnsi="Arial"/>
          <w:sz w:val="16"/>
          <w:szCs w:val="16"/>
          <w:color w:val="auto"/>
        </w:rPr>
      </w:pPr>
    </w:p>
    <w:p>
      <w:pPr>
        <w:ind w:left="980" w:right="120" w:firstLine="408"/>
        <w:spacing w:after="0" w:line="277" w:lineRule="auto"/>
        <w:tabs>
          <w:tab w:leader="none" w:pos="16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that the terms of such Securities have been established in accordance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of this Base Indenture and in conformity with the other provisions of this Base Indenture; and</w:t>
      </w:r>
    </w:p>
    <w:p>
      <w:pPr>
        <w:spacing w:after="0" w:line="62" w:lineRule="exact"/>
        <w:rPr>
          <w:rFonts w:ascii="Arial" w:cs="Arial" w:eastAsia="Arial" w:hAnsi="Arial"/>
          <w:sz w:val="18"/>
          <w:szCs w:val="18"/>
          <w:color w:val="auto"/>
        </w:rPr>
      </w:pPr>
    </w:p>
    <w:p>
      <w:pPr>
        <w:ind w:left="980" w:right="160" w:firstLine="408"/>
        <w:spacing w:after="0" w:line="286" w:lineRule="auto"/>
        <w:tabs>
          <w:tab w:leader="none" w:pos="1636"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that such Securities, when authenticated and delivered by the Trustee and issued by the Issuers in the manner and subject to any conditions specified in such Opinion of Counsel, will constitute valid and legally binding obligations of each Issuer, enforceable in accordance with their terms, subject to customary exceptions, limitations, qualifications and other assumptions.</w:t>
      </w:r>
    </w:p>
    <w:p>
      <w:pPr>
        <w:spacing w:after="0" w:line="16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Trustee may appoint an authenticating agent acceptable to the Issuers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Issuers shall maintain with respect to each series of Securities an office or agency where Securities of such series may be presented for registration of transfer or for exchange (“</w:t>
      </w:r>
      <w:r>
        <w:rPr>
          <w:rFonts w:ascii="Arial" w:cs="Arial" w:eastAsia="Arial" w:hAnsi="Arial"/>
          <w:sz w:val="16"/>
          <w:szCs w:val="16"/>
          <w:u w:val="single" w:color="auto"/>
          <w:color w:val="auto"/>
        </w:rPr>
        <w:t>Registrar</w:t>
      </w:r>
      <w:r>
        <w:rPr>
          <w:rFonts w:ascii="Arial" w:cs="Arial" w:eastAsia="Arial" w:hAnsi="Arial"/>
          <w:sz w:val="16"/>
          <w:szCs w:val="16"/>
          <w:color w:val="auto"/>
        </w:rPr>
        <w:t>”) and an office or agency where Securities of such series may be presented for payment (“</w:t>
      </w:r>
      <w:r>
        <w:rPr>
          <w:rFonts w:ascii="Arial" w:cs="Arial" w:eastAsia="Arial" w:hAnsi="Arial"/>
          <w:sz w:val="16"/>
          <w:szCs w:val="16"/>
          <w:u w:val="single" w:color="auto"/>
          <w:color w:val="auto"/>
        </w:rPr>
        <w:t>Paying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The Registrar shall keep a register with respect to each series of Securities (“</w:t>
      </w:r>
      <w:r>
        <w:rPr>
          <w:rFonts w:ascii="Arial" w:cs="Arial" w:eastAsia="Arial" w:hAnsi="Arial"/>
          <w:sz w:val="16"/>
          <w:szCs w:val="16"/>
          <w:u w:val="single" w:color="auto"/>
          <w:color w:val="auto"/>
        </w:rPr>
        <w:t>Security Register</w:t>
      </w:r>
      <w:r>
        <w:rPr>
          <w:rFonts w:ascii="Arial" w:cs="Arial" w:eastAsia="Arial" w:hAnsi="Arial"/>
          <w:sz w:val="16"/>
          <w:szCs w:val="16"/>
          <w:color w:val="auto"/>
        </w:rPr>
        <w:t>”)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prior notice to any Holder. The Issuers shall notify the Trustee in writing of the name and address of any Agent not a party to this Indenture. If the Issuers fail to appoint or maintain another entity as Registrar or Paying Agent, the Trustee shall act as such. Parent or any of its Subsidiaries may act as Paying Agent or Registrar.</w:t>
      </w:r>
    </w:p>
    <w:p>
      <w:pPr>
        <w:spacing w:after="0" w:line="166"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Issuers initially appoint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to act as Depositary with respect to the Global Securities of any series, unless another Depositary is appointed prior to the time Securities of such series are first issued.</w:t>
      </w:r>
    </w:p>
    <w:p>
      <w:pPr>
        <w:spacing w:after="0" w:line="170"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The Issuers initially appoint the Trustee to act as the Paying Agent and Registrar for the Securities and to act as Custodian with respect to the Global Securities of any series, unless another Paying Agent or Registrar is appointed prior to the time Securities of such series are first issued.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 w:name="page27"/>
    <w:bookmarkEnd w:id="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The Issuers shall require each Paying Agent other than the Trustee to agree in writing that the Paying Agent shall hold in trust for the benefit of Holders of any series of Securities or the Trustee all money held by the Paying Agent for the payment of principal, premium, if any, or interest or Additional Amounts, if any, on such series of Securities, and will notify the Trustee of any default by the Issuers in making any such payment. While any such default continues, the Trustee may require a Paying Agent to pay all money held by it with respect to such series of Securities to the Trustee. The Issuers at any time may require a Paying Agent to pay all money held by it with respect to such series of Securities to the Trustee. Upon payment over to the Trustee, the Paying Agent (if other than Parent or a Subsidiary of Parent) shall have no further liability for the money. If Parent or a Subsidiary of Parent acts as Paying Agent, it shall segregate and hold in a separate trust fund for the benefit of the Holders all money held by it as Paying Agent. Upon any bankruptcy or reorganization proceedings relating to the Issuers, the Trustee shall serve as Paying Agent for the Securities of any series.</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Holder Lists</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Issuers shall furnish to the Trustee at least two Business Days before each Interest Payment Date and at such other times as the Trustee may request in writing, a list in such form and as of such date as the Trustee may reasonably require of the names and addresses of the Holders of Securities of any series and the Issuers shall otherwise comply with Trust Indenture Act Section 312(a).</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6" w:lineRule="auto"/>
        <w:tabs>
          <w:tab w:leader="none" w:pos="68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Securities</w:t>
      </w:r>
      <w:r>
        <w:rPr>
          <w:rFonts w:ascii="Arial" w:cs="Arial" w:eastAsia="Arial" w:hAnsi="Arial"/>
          <w:sz w:val="16"/>
          <w:szCs w:val="16"/>
          <w:color w:val="auto"/>
        </w:rPr>
        <w:t xml:space="preserve">. Except as otherwise set forth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 A beneficial interest in a Global Security may not be exchanged for a Definitive Security of the same series unless (i) the Depositary</w:t>
      </w:r>
    </w:p>
    <w:p>
      <w:pPr>
        <w:spacing w:after="0" w:line="1" w:lineRule="exact"/>
        <w:rPr>
          <w:rFonts w:ascii="Arial" w:cs="Arial" w:eastAsia="Arial" w:hAnsi="Arial"/>
          <w:sz w:val="16"/>
          <w:szCs w:val="16"/>
          <w:color w:val="auto"/>
        </w:rPr>
      </w:pPr>
    </w:p>
    <w:p>
      <w:pPr>
        <w:ind w:left="4" w:right="80" w:hanging="4"/>
        <w:spacing w:after="0" w:line="268"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notifies the Issuers that it is unwilling or unable to continue as Depositary for such Global Security or (y) has ceased to be a clearing agency registered under the Exchange Act and, in either case, a successor Depositary is not appointed by the Issuers within 120 days or (ii) there shall have occurred and be continuing an Event of Default with respect to the Securities of such series. Upon the occurrence of any of the preceding events in clause (i) or (ii) above, Definitive Securities delivered in exchange for any Global Security of the same series or beneficial interests therein will be registered in the names, and issued in any approved denominations, requested by or on behalf of the Depositary (in accordance with its customary procedures). Global Securities also may be exchanged or replaced, in whole or in part, as provided in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Every Security authenticated and delivered in exchange for, or in lieu of, a Global Security or any portion thereof, pursuant to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2.10</w:t>
      </w:r>
      <w:r>
        <w:rPr>
          <w:rFonts w:ascii="Arial" w:cs="Arial" w:eastAsia="Arial" w:hAnsi="Arial"/>
          <w:sz w:val="17"/>
          <w:szCs w:val="17"/>
          <w:color w:val="auto"/>
        </w:rPr>
        <w:t>, shall be authenticated and delivered in the form of, and shall be, a Global Security, except for Definitive Securities issued subsequent to any of the preceding events in clause (i) or (ii) above.</w:t>
      </w:r>
    </w:p>
    <w:p>
      <w:pPr>
        <w:spacing w:after="0" w:line="181" w:lineRule="exact"/>
        <w:rPr>
          <w:rFonts w:ascii="Arial" w:cs="Arial" w:eastAsia="Arial" w:hAnsi="Arial"/>
          <w:sz w:val="17"/>
          <w:szCs w:val="17"/>
          <w:color w:val="auto"/>
        </w:rPr>
      </w:pPr>
    </w:p>
    <w:p>
      <w:pPr>
        <w:ind w:left="4" w:right="640" w:firstLine="436"/>
        <w:spacing w:after="0" w:line="277" w:lineRule="auto"/>
        <w:tabs>
          <w:tab w:leader="none" w:pos="69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Global Securities Legends</w:t>
      </w:r>
      <w:r>
        <w:rPr>
          <w:rFonts w:ascii="Arial" w:cs="Arial" w:eastAsia="Arial" w:hAnsi="Arial"/>
          <w:sz w:val="18"/>
          <w:szCs w:val="18"/>
          <w:color w:val="auto"/>
        </w:rPr>
        <w:t xml:space="preserve">. Unless otherwise specified as contemplated by </w:t>
      </w:r>
      <w:r>
        <w:rPr>
          <w:rFonts w:ascii="Arial" w:cs="Arial" w:eastAsia="Arial" w:hAnsi="Arial"/>
          <w:sz w:val="18"/>
          <w:szCs w:val="18"/>
          <w:u w:val="single" w:color="auto"/>
          <w:color w:val="auto"/>
        </w:rPr>
        <w:t>Section 2.01(b)</w:t>
      </w:r>
      <w:r>
        <w:rPr>
          <w:rFonts w:ascii="Arial" w:cs="Arial" w:eastAsia="Arial" w:hAnsi="Arial"/>
          <w:sz w:val="18"/>
          <w:szCs w:val="18"/>
          <w:color w:val="auto"/>
        </w:rPr>
        <w:t>, each Global Security shall bear a legend in substantially the following form:</w:t>
      </w:r>
    </w:p>
    <w:p>
      <w:pPr>
        <w:spacing w:after="0" w:line="62" w:lineRule="exact"/>
        <w:rPr>
          <w:sz w:val="20"/>
          <w:szCs w:val="20"/>
          <w:color w:val="auto"/>
        </w:rPr>
      </w:pPr>
    </w:p>
    <w:p>
      <w:pPr>
        <w:ind w:left="984" w:right="480"/>
        <w:spacing w:after="0" w:line="263" w:lineRule="auto"/>
        <w:rPr>
          <w:sz w:val="20"/>
          <w:szCs w:val="20"/>
          <w:color w:val="auto"/>
        </w:rPr>
      </w:pPr>
      <w:r>
        <w:rPr>
          <w:rFonts w:ascii="Arial" w:cs="Arial" w:eastAsia="Arial" w:hAnsi="Arial"/>
          <w:sz w:val="18"/>
          <w:szCs w:val="18"/>
          <w:color w:val="auto"/>
        </w:rPr>
        <w:t>“THIS GLOBAL SECURITY IS HELD BY THE DEPOSITARY (AS DEFINED IN THE INDENTURE GOVERNING THIS SECURITY) OR ITS NOMINEE IN CUSTODY FOR THE BENEFIT OF THE BENEFICIAL OWNERS HEREOF, AND IS NOT TRANSFERABLE TO ANY PERSON UNDER ANY CIRCUMSTANCES EXCEPT THAT (I) THE TRUSTEE MAY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7" w:name="page28"/>
    <w:bookmarkEnd w:id="27"/>
    <w:p>
      <w:pPr>
        <w:ind w:left="9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ind w:right="40" w:firstLine="436"/>
        <w:spacing w:after="0" w:line="289" w:lineRule="auto"/>
        <w:tabs>
          <w:tab w:leader="none" w:pos="6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Cancellation and/or Adjustment of Global Securities</w:t>
      </w:r>
      <w:r>
        <w:rPr>
          <w:rFonts w:ascii="Arial" w:cs="Arial" w:eastAsia="Arial" w:hAnsi="Arial"/>
          <w:sz w:val="16"/>
          <w:szCs w:val="16"/>
          <w:color w:val="auto"/>
        </w:rPr>
        <w:t xml:space="preserve">.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Trustee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At any time prior to such cancellation, if any beneficial interest in a Global Security is exchanged for or transferred to a Person who will take delivery thereof in the form of a beneficial interest in another Global Security or for Definitive Securities of the same series, the principal amount of Securities of the series represented by such Global Security shall be reduced accordingly and an endorsement shall be made on such Global Security by the Trustee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Global Security by the Trustee or by the Depositary at the direction of the Trustee to reflect such increase.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8" w:name="page29"/>
    <w:bookmarkEnd w:id="28"/>
    <w:p>
      <w:pPr>
        <w:ind w:left="264" w:hanging="264"/>
        <w:spacing w:after="0"/>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20" w:firstLine="419"/>
        <w:spacing w:after="0" w:line="342" w:lineRule="auto"/>
        <w:tabs>
          <w:tab w:leader="none" w:pos="6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To permit registrations of transfers and exchanges, the Issuers shall execute and the Trustee shall authenticate Global Securities and Definitive Securities upon receipt of an Authentication Order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at the Registrar’s request.</w:t>
      </w:r>
    </w:p>
    <w:p>
      <w:pPr>
        <w:spacing w:after="0" w:line="15" w:lineRule="exact"/>
        <w:rPr>
          <w:rFonts w:ascii="Arial" w:cs="Arial" w:eastAsia="Arial" w:hAnsi="Arial"/>
          <w:sz w:val="16"/>
          <w:szCs w:val="16"/>
          <w:color w:val="auto"/>
        </w:rPr>
      </w:pPr>
    </w:p>
    <w:p>
      <w:pPr>
        <w:ind w:left="4" w:right="200" w:firstLine="419"/>
        <w:spacing w:after="0" w:line="259" w:lineRule="auto"/>
        <w:tabs>
          <w:tab w:leader="none" w:pos="6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No service charge shall be made to a holder of a beneficial interest in a Global Security or to a Holder of a Definitive Security for any registration of transfer or exchange, but the Holders shall be required to pay a sum sufficient to cover any transfer tax or similar governmental charge payable in connection therewith (other than any such transfer taxes or similar governmental charge payable upon exchange or transfer pursuant to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of this Indenture).</w:t>
      </w:r>
    </w:p>
    <w:p>
      <w:pPr>
        <w:spacing w:after="0" w:line="78" w:lineRule="exact"/>
        <w:rPr>
          <w:rFonts w:ascii="Arial" w:cs="Arial" w:eastAsia="Arial" w:hAnsi="Arial"/>
          <w:sz w:val="18"/>
          <w:szCs w:val="18"/>
          <w:color w:val="auto"/>
        </w:rPr>
      </w:pPr>
    </w:p>
    <w:p>
      <w:pPr>
        <w:ind w:left="4" w:right="140" w:firstLine="419"/>
        <w:spacing w:after="0" w:line="263" w:lineRule="auto"/>
        <w:tabs>
          <w:tab w:leader="none" w:pos="7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the Registrar nor the Issuers shall be required to register the transfer of or exchange any Security selected for redemption or tendered (and not withdrawn) for repurchase in whole or in part, except the unredeemed or unpurchased portion of any Security being redeemed or repurchased in part.</w:t>
      </w:r>
    </w:p>
    <w:p>
      <w:pPr>
        <w:spacing w:after="0" w:line="75" w:lineRule="exact"/>
        <w:rPr>
          <w:rFonts w:ascii="Arial" w:cs="Arial" w:eastAsia="Arial" w:hAnsi="Arial"/>
          <w:sz w:val="18"/>
          <w:szCs w:val="18"/>
          <w:color w:val="auto"/>
        </w:rPr>
      </w:pPr>
    </w:p>
    <w:p>
      <w:pPr>
        <w:ind w:left="4" w:right="220" w:firstLine="419"/>
        <w:spacing w:after="0" w:line="263" w:lineRule="auto"/>
        <w:tabs>
          <w:tab w:leader="none" w:pos="7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Global Securities and Definitive Securities issued upon any registration of transfer or exchange of Global Securities or Definitive Securities shall be the valid obligations of the Issuers, evidencing the same debt, and entitled to the same benefits under this Indenture, as the Global Securities or Definitive Securities surrendered upon such registration of transfer or exchange.</w:t>
      </w:r>
    </w:p>
    <w:p>
      <w:pPr>
        <w:spacing w:after="0" w:line="75" w:lineRule="exact"/>
        <w:rPr>
          <w:rFonts w:ascii="Arial" w:cs="Arial" w:eastAsia="Arial" w:hAnsi="Arial"/>
          <w:sz w:val="18"/>
          <w:szCs w:val="18"/>
          <w:color w:val="auto"/>
        </w:rPr>
      </w:pPr>
    </w:p>
    <w:p>
      <w:pPr>
        <w:ind w:left="4" w:right="40" w:firstLine="419"/>
        <w:spacing w:after="0" w:line="255" w:lineRule="auto"/>
        <w:tabs>
          <w:tab w:leader="none" w:pos="6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Issuers shall not be required (A) to issue, to register the transfer of or to exchange any Securities of any series during a period beginning at the opening of business 15 days before the day of a selection of Securities of such series for redemption under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ending at the close of business on the day of selection, (B) to register the transfer of or to exchange any Security so selected for redemption or tendered (and not withdrawn) for repurchase in connection with a change of control offer or other tender offer, in whole or in part, except the unredeemed portion of any Security being redeemed in part or (C) to register the transfer of or to exchange a Security between a Record Date and the next succeeding Interest Payment Date.</w:t>
      </w:r>
    </w:p>
    <w:p>
      <w:pPr>
        <w:spacing w:after="0" w:line="84" w:lineRule="exact"/>
        <w:rPr>
          <w:rFonts w:ascii="Arial" w:cs="Arial" w:eastAsia="Arial" w:hAnsi="Arial"/>
          <w:sz w:val="18"/>
          <w:szCs w:val="18"/>
          <w:color w:val="auto"/>
        </w:rPr>
      </w:pPr>
    </w:p>
    <w:p>
      <w:pPr>
        <w:ind w:left="4" w:firstLine="419"/>
        <w:spacing w:after="0" w:line="259" w:lineRule="auto"/>
        <w:tabs>
          <w:tab w:leader="none" w:pos="7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Issuers shall deem and treat the Person in whose name any Security is registered as the absolute owner of such Security for the purpose of receiving payment of principal of, premium, if any, and interest (including Additional Amounts, if any) on such Securities and for all other purposes, and none of the Trustee, any Agent or the Issuers shall be affected by notice to the contrary.</w:t>
      </w:r>
    </w:p>
    <w:p>
      <w:pPr>
        <w:spacing w:after="0" w:line="78" w:lineRule="exact"/>
        <w:rPr>
          <w:rFonts w:ascii="Arial" w:cs="Arial" w:eastAsia="Arial" w:hAnsi="Arial"/>
          <w:sz w:val="18"/>
          <w:szCs w:val="18"/>
          <w:color w:val="auto"/>
        </w:rPr>
      </w:pPr>
    </w:p>
    <w:p>
      <w:pPr>
        <w:jc w:val="both"/>
        <w:ind w:left="4" w:firstLine="419"/>
        <w:spacing w:after="0" w:line="286" w:lineRule="auto"/>
        <w:tabs>
          <w:tab w:leader="none" w:pos="7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Upon surrender for registration of transfer of any Security at the office or agency of the Issuers designated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the Issuers shall execute, and the Trustee shall authenticate and mail, in the name of the designated transferee or transferees, one or more replacement Securities of any authorized denomination or denominations of a like aggregate principal amount.</w:t>
      </w:r>
    </w:p>
    <w:p>
      <w:pPr>
        <w:spacing w:after="0" w:line="57" w:lineRule="exact"/>
        <w:rPr>
          <w:rFonts w:ascii="Arial" w:cs="Arial" w:eastAsia="Arial" w:hAnsi="Arial"/>
          <w:sz w:val="17"/>
          <w:szCs w:val="17"/>
          <w:color w:val="auto"/>
        </w:rPr>
      </w:pPr>
    </w:p>
    <w:p>
      <w:pPr>
        <w:ind w:left="824" w:hanging="401"/>
        <w:spacing w:after="0"/>
        <w:tabs>
          <w:tab w:leader="none" w:pos="82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At the option of the Holder, Securities of any series may be exchanged for other Securities of such series of any authorized</w:t>
      </w:r>
    </w:p>
    <w:p>
      <w:pPr>
        <w:spacing w:after="0" w:line="34" w:lineRule="exact"/>
        <w:rPr>
          <w:rFonts w:ascii="Arial" w:cs="Arial" w:eastAsia="Arial" w:hAnsi="Arial"/>
          <w:sz w:val="17"/>
          <w:szCs w:val="17"/>
          <w:color w:val="auto"/>
        </w:rPr>
      </w:pPr>
    </w:p>
    <w:p>
      <w:pPr>
        <w:ind w:left="4"/>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denomination or denominations of a like aggregate principal amount upon surrender of the Securities of such series to be exchanged at such office or agency. Whenever any Global Securities or Definitive Securities are so surrendered for exchange, the Issuers shall execute, and the Trustee shall authenticate and mail, the replacement Global Securities and Definitive Securities which the Holder making the exchange is entitled to in accordance with the provisions of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25"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24"/>
          </w:cols>
          <w:pgMar w:left="876" w:top="274" w:right="499" w:bottom="1440" w:gutter="0" w:footer="0" w:header="0"/>
        </w:sectPr>
      </w:pPr>
    </w:p>
    <w:bookmarkStart w:id="29" w:name="page30"/>
    <w:bookmarkEnd w:id="29"/>
    <w:p>
      <w:pPr>
        <w:ind w:left="440" w:right="100" w:firstLine="419"/>
        <w:spacing w:after="0" w:line="277"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certifications, certificates and Opinions of Counsel required to be submitted to the Registrar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to effect a registration of transfer or exchange may be submitted by facsimile.</w:t>
      </w:r>
    </w:p>
    <w:p>
      <w:pPr>
        <w:spacing w:after="0" w:line="62" w:lineRule="exact"/>
        <w:rPr>
          <w:rFonts w:ascii="Arial" w:cs="Arial" w:eastAsia="Arial" w:hAnsi="Arial"/>
          <w:sz w:val="18"/>
          <w:szCs w:val="18"/>
          <w:color w:val="auto"/>
        </w:rPr>
      </w:pPr>
    </w:p>
    <w:p>
      <w:pPr>
        <w:ind w:left="440" w:right="40" w:firstLine="419"/>
        <w:spacing w:after="0" w:line="275" w:lineRule="auto"/>
        <w:tabs>
          <w:tab w:leader="none" w:pos="11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68" w:lineRule="exact"/>
        <w:rPr>
          <w:rFonts w:ascii="Arial" w:cs="Arial" w:eastAsia="Arial" w:hAnsi="Arial"/>
          <w:sz w:val="17"/>
          <w:szCs w:val="17"/>
          <w:color w:val="auto"/>
        </w:rPr>
      </w:pPr>
    </w:p>
    <w:p>
      <w:pPr>
        <w:ind w:left="1160" w:hanging="30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Replacement Securities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If any mutilated Security is surrendered to the Trustee, the Registrar or the Issuers and the Trustee receives evidence to its satisfaction of the ownership and destruction, loss or theft of any Security, the Issuers shall issue and the Trustee, upon receipt of an Authentication Order, shall authenticate a replacement Security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Security is replaced. The Issuers may charge for its expenses in replacing a Security.</w:t>
      </w:r>
    </w:p>
    <w:p>
      <w:pPr>
        <w:spacing w:after="0" w:line="16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Every replacement Security is a contractual obligation of the Issuers and shall be entitled to all of the benefits of this Indenture equally and proportionately with all other Securities duly issued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The Securities of any series outstanding at any time are all the Securities of such series authenticated by the Trustee except for those canceled by it, those delivered to it for cancellation, those reductions in the interest in a Global Security effected by the Trustee in accordance with the provisions hereof, and those described in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as not outstanding. Except as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 a Security does not cease to be outstanding because an Issuer or an Affiliate of an Issuer holds the Security.</w:t>
      </w:r>
    </w:p>
    <w:p>
      <w:pPr>
        <w:spacing w:after="0" w:line="18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If a Security is replaced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it ceases to be outstanding unless the Trustee receives proof satisfactory to it that the replaced Security is held by a bona fide purchaser.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If the principal amount of any Security is considered paid under </w:t>
      </w:r>
      <w:r>
        <w:rPr>
          <w:rFonts w:ascii="Arial" w:cs="Arial" w:eastAsia="Arial" w:hAnsi="Arial"/>
          <w:sz w:val="16"/>
          <w:szCs w:val="16"/>
          <w:u w:val="single" w:color="auto"/>
          <w:color w:val="auto"/>
        </w:rPr>
        <w:t>Section 4.01</w:t>
      </w:r>
      <w:r>
        <w:rPr>
          <w:rFonts w:ascii="Arial" w:cs="Arial" w:eastAsia="Arial" w:hAnsi="Arial"/>
          <w:sz w:val="16"/>
          <w:szCs w:val="16"/>
          <w:color w:val="auto"/>
        </w:rPr>
        <w:t>, it ceases to be outstanding and interest on it ceases to accrue.</w:t>
      </w:r>
    </w:p>
    <w:p>
      <w:pPr>
        <w:spacing w:after="0" w:line="248"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If the Paying Agent (other than the Issuers, a Subsidiary or an Affiliate of any thereof) holds, on a Redemption Date or the Maturity, money sufficient to pay Securities payable on that date, then on and after that date such Securities shall be deemed to be no longer outstanding and shall cease to accrue interest.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right="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determining whether the Holders of the required principal amount of Securities of a series have concurred in any direction, waiver, consent or other action,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direction, waiver, consent or other action, Securities of a series owned by the Issuers, or by any Affiliate of the Issuers, shall be considered as though not outstanding, except that for the purposes of determining whether the Trustee shall be protected in relying on any such direction, waiver or consent, only Securities of a series that a Responsible Officer of the Trustee knows are so owned shall be so disregarded. Securities of a series so owned which have been pledged in good faith shall not be disregarded if the pledgee establishes to the satisfaction of the Trustee the pledgee’s right to deliver any such direction, waiver or consent with respect to the Securities of a series and that the pledgee is not an Issuer or any obligor upon the Securities of a series or any Affiliate of an Issuer or of such other obligor.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Until certificates representing Securities of any series are ready for delivery, the Issuers may prepare and the Trustee, upon receipt of an Authentication Order, shall authenticate temporary Securities. Temporary Securities shall be substantially in the form of certificated Securities but may have variations that the Issuers considers appropriate for temporary Securities and as shall be reasonably acceptable to the Trustee. Without unreasonable delay, the Issuers shall prepare and the Trustee shall authenticate Definitive Securities of the same series in exchange for temporary Securities.</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Holders and beneficial holders, as the case may be, of temporary Securities of any series shall be entitled to all of the benefits accorded to Holders, or beneficial holders, respectively, of Securities of such series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The Issuers at any time may deliver Securities of any series to the Trustee for cancellation. The Registrar and Paying Agent shall forward to the Trustee any Securities surrendered to them for registration of transfer, exchange or payment. The Trustee or, at the direction of the Trustee, the Registrar or the Paying Agent and no one else shall cancel all Securities surrendered for registration of transfer, exchange, payment, replacement or cancellation and shall dispose of cancelled Securities (subject to the record retention requirement of the Exchange Act). Certification of the disposal of all cancelled Securities shall be delivered to the Issuers upon their written request. The Issuers may not issue new Securities to replace Securities that have been paid or that have been delivered to the Trustee for cancellation.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 xml:space="preserve">If the Issuers default in a payment of interest on the Securities of any series, they shall pay the defaulted interest in any lawful manner plus, to the extent lawful, interest payable on the defaulted interest to the Persons who are Holders on a subsequent special Record Date, in each case at the rate provided in the Securities of such series and in </w:t>
      </w:r>
      <w:r>
        <w:rPr>
          <w:rFonts w:ascii="Arial" w:cs="Arial" w:eastAsia="Arial" w:hAnsi="Arial"/>
          <w:sz w:val="17"/>
          <w:szCs w:val="17"/>
          <w:u w:val="single" w:color="auto"/>
          <w:color w:val="auto"/>
        </w:rPr>
        <w:t>Section 4.01</w:t>
      </w:r>
      <w:r>
        <w:rPr>
          <w:rFonts w:ascii="Arial" w:cs="Arial" w:eastAsia="Arial" w:hAnsi="Arial"/>
          <w:sz w:val="17"/>
          <w:szCs w:val="17"/>
          <w:color w:val="auto"/>
        </w:rPr>
        <w:t>. The Issuers shall notify the Trustee in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31" w:name="page32"/>
    <w:bookmarkEnd w:id="3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writing of the amount of defaulted interest proposed to be paid on each Security of such series and the date of the proposed payment, and at the same time the Issuers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Trustee shall fix or cause to be fixed each such special Record Date and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Issuers of such special Record Date. At least 15 days before the special Record Date, the Issuers (or, upon the written request of the Issuers, the Trustee in the name and at the expense of the Issuers) shall send or cause to be sent to each Holder of such series of Securities a notice at his or her address as it appears in the Security Register that states the special Record Date, the related payment date and the amount of such interest to be paid.</w:t>
      </w:r>
    </w:p>
    <w:p>
      <w:pPr>
        <w:spacing w:after="0" w:line="181"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Subject to the foregoing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for greater certainty,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The Issuers in issuing the Securities of any series may use CUSIP, ISIN and/or other similar security identifying numbers (if then generally in use) and, if so, the Trustee shall use CUSIP, ISIN numbers and/or any such other similar security identifying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Issuers will as promptly as practicable notify the Trustee of any change in the security identifying numbers of any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Original Issue Discount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If any of the Securities is an Original Issue Discount Security, the Issuers shall file with the Trustee promptly at the end of each calendar year (1) a written notice specifying the amount of original issue discount (including daily rates and accrual periods) accrued on such outstanding Original Issue Discount Securities as of the end of such year and (2) such other specific information relating to such original issue discount as may then be relevant under the Internal Revenue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If the Issuers elect to redeem Securities of any series pursuant to the optional redemption terms set forth in the Officer’s Certificate, supplemental indenture or resolutions of the Issuers’ Boards, as applicable, governing such series of Securities, it shall furnish to the Trustee, at least 2 Business Days (or such shorter time period as the Trustee may agree) before notice of redemption is required to be sent or caused to be sent to Holders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but not more than 70 days before a Redemption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(except as set forth in the last paragraph of </w:t>
      </w:r>
      <w:r>
        <w:rPr>
          <w:rFonts w:ascii="Arial" w:cs="Arial" w:eastAsia="Arial" w:hAnsi="Arial"/>
          <w:sz w:val="18"/>
          <w:szCs w:val="18"/>
          <w:u w:val="single" w:color="auto"/>
          <w:color w:val="auto"/>
        </w:rPr>
        <w:t>Section 3.03</w:t>
      </w:r>
      <w:r>
        <w:rPr>
          <w:rFonts w:ascii="Arial" w:cs="Arial" w:eastAsia="Arial" w:hAnsi="Arial"/>
          <w:sz w:val="18"/>
          <w:szCs w:val="18"/>
          <w:color w:val="auto"/>
        </w:rPr>
        <w:t>), an Officer’s Certificate setting forth (i) the paragraph or subparagraph of such Security and/or Section of this Indenture or the Officer’s Certificate, supplemental indenture or resolutions of the Issuers’ Boards governing such series of Securities, as applicable, pursuant to which the redemption shall occur, (ii) the Redemption Date, (iii) the principal amount of the Securities to be redeemed and (iv) the Redemption Price.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of Securities to Be Redeemed or Purchased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Unless otherwise indicated for a particular series of Securities by an Officer’s Certificate, supplemental indenture or resolutions of the Issuers’ Boards, in the case of a partial redemption or purchase, selection of the Securities of a series for redemption or purchase will be made by lot. For so long as the Securities are held by DTC (or another Depositary), the redemption or purchase of the Securities shall be done in accordance with the policies and procedures of the Depositary.</w:t>
      </w:r>
    </w:p>
    <w:p>
      <w:pPr>
        <w:spacing w:after="0" w:line="187"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Such Securities of a series to be redeemed or purchased shall be selected, unless otherwise provided herein or by an Officer’s Certificate, supplemental indenture or resolutions of the Issuers’ Boards for a particular series of Securities, not less than 10 nor more than 60 days prior to the Redemption Date from the outstanding Securities of such series not previously called for redemption or purchase.</w:t>
      </w:r>
    </w:p>
    <w:p>
      <w:pPr>
        <w:spacing w:after="0" w:line="165"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Securities and portions of Securities selected for redemption or purchase shall be in an authorized denomination (which shall not be less than the minimum authorized denomination provided for a particular series of Securities by an Officer’s Certificate, supplemental indenture or resolutions of the Issuers’ Boards), except that if all of the Securities of a Holder are to be redeemed or purchased, the entire outstanding amount of Securities of such series held by such Holder, even if not in an authorized denomination, shall be redeemed or purchased. Provisions of this Indenture that apply to Securities of a series called for redemption or purchase also apply to portions of Securities of that series called for redemption or purchase.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Unless otherwise indicated for a particular series of Securities by an Officer’s Certificate, supplemental indenture or resolutions of the Issuers’ Boards, the Issuers shall deliver electronically, mail or cause to be mailed by first-class mail, postage prepaid, notices of redemption at least 10 days, but except as set forth in the last paragraph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but not more than 60 days before the Redemption Date or purchase date to each Holder of Securities to be redeemed at such Holder’s registered address or otherwise in accordance with the procedures of DTC, except that notices of redemption may be delivered or mailed more than 60 days prior to a Redemption Date if the notice is issued in connection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11</w:t>
      </w:r>
      <w:r>
        <w:rPr>
          <w:rFonts w:ascii="Arial" w:cs="Arial" w:eastAsia="Arial" w:hAnsi="Arial"/>
          <w:sz w:val="18"/>
          <w:szCs w:val="18"/>
          <w:color w:val="auto"/>
        </w:rPr>
        <w:t>. Notices of redemption may be conditional.</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shall identify the series of Securities to be redeemed and shall state:</w:t>
      </w:r>
    </w:p>
    <w:p>
      <w:pPr>
        <w:spacing w:after="0" w:line="117" w:lineRule="exact"/>
        <w:rPr>
          <w:sz w:val="20"/>
          <w:szCs w:val="20"/>
          <w:color w:val="auto"/>
        </w:rPr>
      </w:pPr>
    </w:p>
    <w:p>
      <w:pPr>
        <w:ind w:left="1100" w:hanging="24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firstLine="419"/>
        <w:spacing w:after="0" w:line="259"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any Security of a series is to be redeemed or purchased in part only, the portion of the principal amount of the Security to be redeemed or purchased and that a new Security or Securities of such series in a principal amount equal to the unredeemed or unpurchased portion of the Security will be issued in the name of the Holder of the Security upon surrender for cancellation of the original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new Security or Securities will be only issued in the minimum authorized denomination;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33" w:name="page34"/>
    <w:bookmarkEnd w:id="33"/>
    <w:p>
      <w:pPr>
        <w:ind w:left="1120" w:hanging="261"/>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name and address of the Paying Agent;</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unless the Issuers default in making such redemption payment, interest on Securities of the series called for redemption ceases to accrue on and after the Redemption Date;</w:t>
      </w:r>
    </w:p>
    <w:p>
      <w:pPr>
        <w:spacing w:after="0" w:line="62"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paragraph or subparagraph of the Securities and/or Section of this Indenture or the Officer’s Certificate, supplemental indenture or resolutions of the Issuers’ Boards governing such series of Securities, as applicable, pursuant to which the Securities called for redemption are being redeemed;</w:t>
      </w:r>
    </w:p>
    <w:p>
      <w:pPr>
        <w:spacing w:after="0" w:line="75"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number and/or other similar security identifying numbers, if any, listed in such notice or printed on the Securities; and</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0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in connection with a redemption of any series of Securities pursuant to the optional redemption terms set forth in the Officer’s Certificate, supplemental indenture or resolutions of the Issuers’ Boards governing such series of Securities, as applicable, any condition to such redemption.</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A notice of redemption need not set forth the exact Redemption Price but only the manner of calculation thereof. The Issuers’ actions and determinations in determining the Redemption Price shall be conclusive and binding for all purposes, absent manifest error. The Trustee shall have no obligation to determine the Redemption Price or verify the calculation of the Redemption Price.</w:t>
      </w:r>
    </w:p>
    <w:p>
      <w:pPr>
        <w:spacing w:after="0" w:line="18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Notice of any redemption of, or any offer to purchase, the Securities may, at the Issuers’ discretion, be given in connection with another transaction (or series of related transactions) and prior to the completion or the occurrence thereof, and any such redemption or purchase may, at the Issuers’ discretion, be subject to one or more conditions precedent, including, but not limited to, completion or occurrence of the related transaction or event, as the case may be. In addition, if such redemption or purchase is subject to satisfaction of one or more conditions precedent,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Issuers’ discretion if the Issuers reasonably believe that any or all of such conditions will not be satisfied. In addition, the Issuers may provide in such notice or offer that payment of the redemption or purchase price and performance of the Issuers’ obligations with respect to such redemption or offer to purchase may be performed by another Person.</w:t>
      </w:r>
    </w:p>
    <w:p>
      <w:pPr>
        <w:spacing w:after="0" w:line="172"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The Issuers may redeem Securities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Arial" w:cs="Arial" w:eastAsia="Arial" w:hAnsi="Arial"/>
          <w:sz w:val="18"/>
          <w:szCs w:val="18"/>
          <w:u w:val="single" w:color="auto"/>
          <w:color w:val="auto"/>
        </w:rPr>
        <w:t>Effect of Notice of Redemption or Purchase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Once notice of redemption is sent (including electronically) in accordance with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Securities of a series called for redemption or purchase become irrevocably due and payable on the Redemption Date or purchase date, as applicable, at the Redemption Price or purchase price, as applicable, unless such redemption or purchase is conditioned on the happening of a future event. The notice, if sent in a manner herein provided (including electronically), shall be conclusively presumed to have been given, whether or not the Holder receives such notice. In any case, failure to give such notice or any defect in the notice to the Holder of any Security designated for redemption or purchase in whole or in part shall not affect the validity of the proceedings for the redemption or purchase of any other Security or portions thereof.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on and after the Redemption Date or purchase date, as applicable, interest ceases to accrue on Securities or portions of Securities called for redemption or purchase.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or Purchase Price</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Prior to noon (New York City time) on the Redemption Date or purchase date, the Issuers shall deposit with the Trustee or with the Paying Agent money sufficient to pay the Redemption Price or purchase price of and accrued and unpaid interest (including Additional Amounts, if any) on all Securities to be redeemed or purchased on that date. The Trustee or the Paying Agent shall promptly return to the Issuers any money deposited with the Trustee or the Paying Agent by the Issuers in excess of the amounts necessary to pay the Redemption Price of, and accrued and unpaid interest on, all Securities to be redeemed or purchased.</w:t>
      </w:r>
    </w:p>
    <w:p>
      <w:pPr>
        <w:spacing w:after="0" w:line="188"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If the Issuers comply with the provisions of the preceding paragraph, on and after the Redemption Date or purchase date, interest shall cease to accrue on the Securities or the portions of Securities called for redemption or purchase. If a Security is redeemed or purchased on or after a Record Date but on or prior to the related Interest Payment Date, then any accrued and unpaid interest to the Redemption Date or purchase date shall be paid to the Person in whose name such Security was registered at the close of business on such Record Date. If any Security called for redemption or purchase shall not be so paid upon surrender for redemption or purchase because of the failure of the Issuers to comply with the preceding paragraph, interest shall be paid on the unpaid principal, from the Redemption Date or purchase date until such principal is paid, and to the extent lawful on any interest accrued to the Redemption Date or purchase date not paid on such unpaid principal, in each case at the rate provided in such series of Securities and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Securities Redeemed or Purchased in Part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Upon surrender of a Security that is redeemed or purchased in part, the Issuers shall issue and the Trustee shall authenticate for the Holder at the expense of the Issuers a new Security of the same series equal in principal amount to the unredeemed or unpurchased portion of the Security surrendered representing the same indebtedness to the extent not redeemed or purchased;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new Security will be issued in an authorized denomination. It is understood that, notwithstanding anything in this Indenture to the contrary, only an Authentication Order and not an Opinion of Counsel or Officer’s Certificate is required for the Trustee to authenticate such new Security.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optional redemption terms with respect to any series of Securities shall be set forth in the Officer’s Certificate, supplemental indenture or resolutions of the Issuers’ Boards, as applicable, governing such series of Securities. The Issuers and their Affiliates may at any time and from time to time acquire Securities by means other than a redemption, including pursuant to a tender offer, the purchase of Securities in the open market, in privately negotiated transactions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Unless otherwise indicated for a particular series of Securities by an Officer’s Certificate, supplemental indenture or resolutions of the Issuers’ Boards, the Issuers shall not be required to make any mandatory redemption or sinking fund payments with respect to any series of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Securities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The Issuers shall pay or cause to be paid the principal of, premium, if any, and interest on each series of Securities on the dates and in the manner provided in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payments of principal, premium, if any, and interest with respect to the Securities represented by one or more Global Securities registered in the name of or held by DTC or its nominee will be made in accordance with DTC’s applicable procedures. Principal, premium, if any, and interest shall be considered paid on the date due if the Paying Agent, if other than Additional Amounts, if any, Parent or a Subsidiary, holds as of noon (New York City time) on the due date money deposited by the Issuers in immediately available funds and designated for and sufficient to pay all principal, premium, if any, and interest then due. If an Interest Payment Date is a Legal Holiday at a place of payment, payment may be made at that place on the next succeeding day that is a Business Day, and no interest on such payment will accrue in respect of the delay.</w:t>
      </w:r>
    </w:p>
    <w:p>
      <w:pPr>
        <w:spacing w:after="0" w:line="192"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The Issuers shall pay interest (including post-petition interest in any proceeding under any Bankruptcy Law) on overdue principal at the rate equal to the then applicable interest rate on the Securities to the extent lawful; it shall pay interest (including post-petition interest in any proceeding under any Bankruptcy Law) on overdue installments of interest and Additional Amounts at the same rate to the extent lawful.</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Issuers shall maintain an office or agency (which may be an office of the Trustee or an affiliate of the Trustee, Registrar or co-registrar) where Securities of any series may be surrendered for registration of transfer or for exchange and where notices and demands to or upon the Issuers in respect of the Securities of such series and this Indenture may be served.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or served at the Corporate Trust Office of the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 w:name="page37"/>
    <w:bookmarkEnd w:id="36"/>
    <w:p>
      <w:pPr>
        <w:ind w:right="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Issuers may also from time to time designate one or more other offices or agencies where Securities of any series may be presented or surrendered for any or all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or rescission shall in any manner relieve the Issuers of their obligation to maintain an office or agency for such purposes. The Issuers shall give prompt written notice to the Trustee of any such designation or rescission and of any change in the location of any such other office or agency.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Issuers hereby designate the Corporate Trust Office of the Trustee as one such office or agency of the Issuers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Reports and Other Information</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57"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the extent any Securities are outstanding, Parent shall deliver to the Trustee any reports, information and documents that Parent is required to file with the SEC pursuant to Section 13 or 15(d) of the Exchange Act within 30 days after such report, information or document is required to be filed with the SEC. All such reports, information or documents referred to in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that Parent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60" w:firstLine="436"/>
        <w:spacing w:after="0" w:line="259"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Issuers shall deliver to the Trustee, within 120 days after the end of each fiscal year of Parent ending after the Issue Date, a certificate from the principal executive officer, principal financial officer or principal accounting officer stating that a review of the activities of the Issuers and the Guarantors during the preceding fiscal year has been made under the supervision of the signing Officer with a view to determining whether the Issuers have kept, observed, performed and fulfilled their obligations under this Indenture, and further stating, as to such Officer signing such certificate, that to the best of his or her knowledge the Issuers have kept, observed, performed and fulfilled each and every condition and covenant contained in this Indenture and are not in default in the performance or observance of any of the terms, provisions, covenants and conditions of this Indenture (or, if a Default shall have occurred and is continuing, describing all such Defaults of which he or she may have knowledge and what action the Issuers are taking or propose to take with respect thereto).</w:t>
      </w:r>
    </w:p>
    <w:p>
      <w:pPr>
        <w:spacing w:after="0" w:line="191"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any Default has occurred and is continuing under this Indenture, or if the Trustee or the holder of any other evidence of indebtedness of an Issuer or any Guarantor gives any notice or takes any other action with respect to a claimed Default, the Issuers shall promptly (which shall be no more than thirty (30) days) deliver to the Trustee an Officer’s Certificate specifying such event and what action the Issuers propose to take with respect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620" w:firstLine="991"/>
        <w:spacing w:after="0" w:line="263" w:lineRule="auto"/>
        <w:rPr>
          <w:sz w:val="20"/>
          <w:szCs w:val="20"/>
          <w:color w:val="auto"/>
        </w:rPr>
      </w:pPr>
      <w:r>
        <w:rPr>
          <w:rFonts w:ascii="Arial" w:cs="Arial" w:eastAsia="Arial" w:hAnsi="Arial"/>
          <w:sz w:val="18"/>
          <w:szCs w:val="18"/>
          <w:color w:val="auto"/>
        </w:rPr>
        <w:t>The Issuers shall pay, and shall cause each of the Guarantors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Issuers and each of the Guarantors (to the extent that they may lawfully do so) hereby expressly waive all benefit or advantage of any such law, and covenants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If any Securities of a series provide for the payment of Additional Amounts, the Issuers agree to pay to the Holder of any such Securities Additional Amounts as provided in or pursuant to this Indenture or such Securities. Whenever in this Indenture there is mentioned, in any context, the payment of the principal of or interest on, or in respect of, any Securities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 xml:space="preserve">Subject to Article 5, Parent shall do or cause to be done all things necessary to preserve and keep in full force and effect (i) its corporate existence, and the corporate, partnership or other existence of each of the Issuers and the Guarantors, in accordance with the respective organizational documents (as the same may be amended from time to time) of such Issuer or Guarantor and (ii) the rights (charter and statutory), licenses and franchises of the Issuers and the Guarantors;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shall not be required to preserve any such right, license or franchise, or the corporate, partnership or other existence of any of the Issuers or the Guarantors, if Parent in good faith shall determine that the preservation thereof is no longer desirable in the conduct of the business of Parent and its Subsidiaries, taken as a whole.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Merger, Consolidation, Amalgamation or Sale of All or Substantially All Assets</w:t>
      </w:r>
      <w:r>
        <w:rPr>
          <w:rFonts w:ascii="Arial" w:cs="Arial" w:eastAsia="Arial" w:hAnsi="Arial"/>
          <w:sz w:val="18"/>
          <w:szCs w:val="18"/>
          <w:color w:val="auto"/>
        </w:rPr>
        <w:t>.</w:t>
      </w:r>
    </w:p>
    <w:p>
      <w:pPr>
        <w:spacing w:after="0" w:line="225" w:lineRule="exact"/>
        <w:rPr>
          <w:sz w:val="20"/>
          <w:szCs w:val="20"/>
          <w:color w:val="auto"/>
        </w:rPr>
      </w:pPr>
    </w:p>
    <w:p>
      <w:pPr>
        <w:ind w:right="200" w:firstLine="436"/>
        <w:spacing w:after="0" w:line="311"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Issuers and the Guarantors shall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 Parent and its Subsidiaries, taken as a whole, in one or more related transactions, to any Person unless: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8" w:name="page39"/>
    <w:bookmarkEnd w:id="38"/>
    <w:p>
      <w:pPr>
        <w:ind w:left="440" w:firstLine="419"/>
        <w:spacing w:after="0" w:line="291"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(in each of clauses (x) and (y) above, such Issuer, such Guarantor or such Person, as the case may be, being herein called the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where the Successor Company of an Issuer is not a corporation, a co-issuer of the Securities is a corporation;</w:t>
      </w:r>
    </w:p>
    <w:p>
      <w:pPr>
        <w:spacing w:after="0" w:line="58" w:lineRule="exact"/>
        <w:rPr>
          <w:rFonts w:ascii="Arial" w:cs="Arial" w:eastAsia="Arial" w:hAnsi="Arial"/>
          <w:sz w:val="16"/>
          <w:szCs w:val="16"/>
          <w:color w:val="auto"/>
        </w:rPr>
      </w:pPr>
    </w:p>
    <w:p>
      <w:pPr>
        <w:ind w:left="440" w:right="120" w:firstLine="419"/>
        <w:spacing w:after="0" w:line="259" w:lineRule="auto"/>
        <w:tabs>
          <w:tab w:leader="none" w:pos="11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Successor Company, if other than an Issuer or a Guarantor, expressly assumes, in the case of a Guarantor, all the obligations of such Guarantor under this Indenture and its Security Guarantee and, in the case of an Issuer, all of the obligations of such Issuer under this Indenture and the Securities, in each case, pursuant to supplemental indentures or other documents or instruments in form reasonably satisfactory to the Trustee;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w:t>
      </w:r>
    </w:p>
    <w:p>
      <w:pPr>
        <w:spacing w:after="0" w:line="225" w:lineRule="exact"/>
        <w:rPr>
          <w:rFonts w:ascii="Arial" w:cs="Arial" w:eastAsia="Arial" w:hAnsi="Arial"/>
          <w:sz w:val="18"/>
          <w:szCs w:val="18"/>
          <w:color w:val="auto"/>
        </w:rPr>
      </w:pPr>
    </w:p>
    <w:p>
      <w:pPr>
        <w:ind w:firstLine="436"/>
        <w:spacing w:after="0" w:line="286" w:lineRule="auto"/>
        <w:tabs>
          <w:tab w:leader="none" w:pos="6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Successor Company shall succeed to, and be substituted for an Issuer or a Guarantor, as the case may be, under this Indenture, the Security Guarantees and the Securities, as applicable, and such Issuer or Guarantor, as applicable, shall automatically be released and discharged from its obligations under this Indenture, the Security Guarantees and the Securities, as applicable. Notwithstanding the foregoing,</w:t>
      </w:r>
    </w:p>
    <w:p>
      <w:pPr>
        <w:spacing w:after="0" w:line="57"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Subsidiary of Parent may merge, consolidate or amalgamate with or into or sell, assign, transfer, lease, convey or otherwise dispose of all or part of its properties and assets to Parent and any of its Subsidiaries (including the Issuers); and</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Issuer or a Guarantor may merge, consolidate or amalgamate with or into an Affiliate of such Issuer or such Guarantor, as the case may be, solely for the purpose of reincorporating such Issuer or such Guarantor in the United States, any state thereof, the District of Columbia or any territory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Upon any consolidation, merger or amalgamation, or any sale, assignment, transfer, lease, conveyance or other disposition of all or substantially all of the assets of Parent or an Issuer in accordance with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successor corporation formed by such consolidation or into or with which Parent or such Issuer is merged or amalgamated or to which such sale, assignment, transfer, lease, conveyance or other disposition is made shall succeed to, and be substituted for (so that from and after the date of such consolidation, merger, amalgamation, sale, lease, conveyance or other disposition, the provisions of this Indenture referring to Parent or such Issuer shall refer instead to the successor corporation and not to Parent or such Issuer), and may exercise every right and power of Parent or such Issuer under this Indenture with the same effect as if such successor Person had been named as Parent or such Issuer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or Issuer shall not be relieved from the obligation to pay the principal of and interest, if any, on the Securities except in the case of a sale, assignment, transfer, conveyance or other disposition of all of Parent’s or such Issuer’s assets that meets the requirements of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57" w:lineRule="auto"/>
        <w:tabs>
          <w:tab w:leader="none" w:pos="6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used in this Indenture with respect to Securities of any series, unless it is either inapplicable to a particular series or it is specifically deleted or modified in an Officer’s Certificate, a supplemental indenture or resolutions of the Issuers’ Boards, as applicable,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9" w:lineRule="exact"/>
        <w:rPr>
          <w:rFonts w:ascii="Arial" w:cs="Arial" w:eastAsia="Arial" w:hAnsi="Arial"/>
          <w:sz w:val="18"/>
          <w:szCs w:val="18"/>
          <w:color w:val="auto"/>
        </w:rPr>
      </w:pPr>
    </w:p>
    <w:p>
      <w:pPr>
        <w:ind w:left="1100" w:hanging="261"/>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failure to pay the principal of (or premium, if any, on) such series of the Securities when due and payable;</w:t>
      </w:r>
    </w:p>
    <w:p>
      <w:pPr>
        <w:spacing w:after="0" w:line="117" w:lineRule="exact"/>
        <w:rPr>
          <w:rFonts w:ascii="Arial" w:cs="Arial" w:eastAsia="Arial" w:hAnsi="Arial"/>
          <w:sz w:val="18"/>
          <w:szCs w:val="18"/>
          <w:color w:val="auto"/>
        </w:rPr>
      </w:pPr>
    </w:p>
    <w:p>
      <w:pPr>
        <w:ind w:left="420" w:right="520" w:firstLine="419"/>
        <w:spacing w:after="0" w:line="277" w:lineRule="auto"/>
        <w:tabs>
          <w:tab w:leader="none" w:pos="10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failure to pay any interest installment or Additional Amounts on such series of Securities when due and payable, which failure continues for 30 days;</w:t>
      </w:r>
    </w:p>
    <w:p>
      <w:pPr>
        <w:spacing w:after="0" w:line="62" w:lineRule="exact"/>
        <w:rPr>
          <w:rFonts w:ascii="Arial" w:cs="Arial" w:eastAsia="Arial" w:hAnsi="Arial"/>
          <w:sz w:val="18"/>
          <w:szCs w:val="18"/>
          <w:color w:val="auto"/>
        </w:rPr>
      </w:pPr>
    </w:p>
    <w:p>
      <w:pPr>
        <w:jc w:val="both"/>
        <w:ind w:left="420" w:right="40" w:firstLine="419"/>
        <w:spacing w:after="0" w:line="291" w:lineRule="auto"/>
        <w:tabs>
          <w:tab w:leader="none" w:pos="109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failure by the Issuers to comply for 90 days after written notice given by the Trustee or the Holders of not less than 30% in aggregate principal amount of the outstanding Securities of such series with its covenants or other agreements (other than those described in clauses (1) and</w:t>
      </w:r>
    </w:p>
    <w:p>
      <w:pPr>
        <w:jc w:val="both"/>
        <w:ind w:left="420" w:right="1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(2) above) contained in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failure to comply with the provisions described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such period of continuance of such default or breach shall be 180 days after written notice described in this clause (3) has been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notice may be given with respect to any action taken, and reported publicly or to the Holders, more than two years prior to such notice; and</w:t>
      </w:r>
    </w:p>
    <w:p>
      <w:pPr>
        <w:spacing w:after="0" w:line="47" w:lineRule="exact"/>
        <w:rPr>
          <w:rFonts w:ascii="Arial" w:cs="Arial" w:eastAsia="Arial" w:hAnsi="Arial"/>
          <w:sz w:val="16"/>
          <w:szCs w:val="16"/>
          <w:color w:val="auto"/>
        </w:rPr>
      </w:pPr>
    </w:p>
    <w:p>
      <w:pPr>
        <w:ind w:left="1100" w:hanging="261"/>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Issuer pursuant to or within the meaning of any Bankruptcy Law:</w:t>
      </w:r>
    </w:p>
    <w:p>
      <w:pPr>
        <w:spacing w:after="0" w:line="117" w:lineRule="exact"/>
        <w:rPr>
          <w:rFonts w:ascii="Arial" w:cs="Arial" w:eastAsia="Arial" w:hAnsi="Arial"/>
          <w:sz w:val="18"/>
          <w:szCs w:val="18"/>
          <w:color w:val="auto"/>
        </w:rPr>
      </w:pPr>
    </w:p>
    <w:p>
      <w:pPr>
        <w:ind w:left="1580" w:hanging="212"/>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117" w:lineRule="exact"/>
        <w:rPr>
          <w:rFonts w:ascii="Arial" w:cs="Arial" w:eastAsia="Arial" w:hAnsi="Arial"/>
          <w:sz w:val="18"/>
          <w:szCs w:val="18"/>
          <w:color w:val="auto"/>
        </w:rPr>
      </w:pPr>
    </w:p>
    <w:p>
      <w:pPr>
        <w:ind w:left="960" w:right="60" w:firstLine="408"/>
        <w:spacing w:after="0" w:line="277" w:lineRule="auto"/>
        <w:tabs>
          <w:tab w:leader="none" w:pos="1626" w:val="left"/>
        </w:tabs>
        <w:numPr>
          <w:ilvl w:val="2"/>
          <w:numId w:val="30"/>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62" w:lineRule="exact"/>
        <w:rPr>
          <w:rFonts w:ascii="Arial" w:cs="Arial" w:eastAsia="Arial" w:hAnsi="Arial"/>
          <w:sz w:val="18"/>
          <w:szCs w:val="18"/>
          <w:color w:val="auto"/>
        </w:rPr>
      </w:pPr>
    </w:p>
    <w:p>
      <w:pPr>
        <w:ind w:left="960" w:right="420" w:firstLine="408"/>
        <w:spacing w:after="0" w:line="277" w:lineRule="auto"/>
        <w:tabs>
          <w:tab w:leader="none" w:pos="1676" w:val="left"/>
        </w:tabs>
        <w:numPr>
          <w:ilvl w:val="2"/>
          <w:numId w:val="30"/>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20" w:hanging="252"/>
        <w:spacing w:after="0"/>
        <w:tabs>
          <w:tab w:leader="none" w:pos="1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and</w:t>
      </w:r>
    </w:p>
    <w:p>
      <w:pPr>
        <w:spacing w:after="0" w:line="117" w:lineRule="exact"/>
        <w:rPr>
          <w:rFonts w:ascii="Arial" w:cs="Arial" w:eastAsia="Arial" w:hAnsi="Arial"/>
          <w:sz w:val="18"/>
          <w:szCs w:val="18"/>
          <w:color w:val="auto"/>
        </w:rPr>
      </w:pPr>
    </w:p>
    <w:p>
      <w:pPr>
        <w:ind w:left="1100" w:hanging="261"/>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580" w:hanging="212"/>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is for relief against any Issuer, in a proceeding in which any Issuer is to be adjudicated bankrupt or insolvent;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4" w:right="459" w:bottom="1440" w:gutter="0" w:footer="0" w:header="0"/>
        </w:sectPr>
      </w:pPr>
    </w:p>
    <w:bookmarkStart w:id="40" w:name="page41"/>
    <w:bookmarkEnd w:id="40"/>
    <w:p>
      <w:pPr>
        <w:ind w:left="980" w:right="60" w:firstLine="408"/>
        <w:spacing w:after="0" w:line="277" w:lineRule="auto"/>
        <w:tabs>
          <w:tab w:leader="none" w:pos="1646"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appoints a receiver, liquidator, assignee, trustee, sequestrator or other similar official of any Issuer or for all or substantially all of the property of any Issuer; or</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orders the liquidation of any Issuer;</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right="2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event of any Event of Default specified in clause (4) of </w:t>
      </w:r>
      <w:r>
        <w:rPr>
          <w:rFonts w:ascii="Arial" w:cs="Arial" w:eastAsia="Arial" w:hAnsi="Arial"/>
          <w:sz w:val="18"/>
          <w:szCs w:val="18"/>
          <w:u w:val="single" w:color="auto"/>
          <w:color w:val="auto"/>
        </w:rPr>
        <w:t>Section 6.01(a)</w:t>
      </w:r>
      <w:r>
        <w:rPr>
          <w:rFonts w:ascii="Arial" w:cs="Arial" w:eastAsia="Arial" w:hAnsi="Arial"/>
          <w:sz w:val="18"/>
          <w:szCs w:val="18"/>
          <w:color w:val="auto"/>
        </w:rPr>
        <w:t>, such Event of Default and all consequences thereof (excluding any resulting payment default, other than as a result of acceleration of the Securities) shall be annulled, waived and rescinded, automatically and without any action by the Trustee or the Holders, if within 20 days after such Event of Default arose: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holders thereof have rescinded or waived the acceleration, notice or action (as the case may be) giving rise to such Event of Default;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Unless otherwise indicated for a particular series of Securities by an Officer’s Certificate, supplemental indenture or resolutions of the Issuers’ Boards, if any Event of Default (other than an Event of Default specified in clause (4) or (5) of </w:t>
      </w:r>
      <w:r>
        <w:rPr>
          <w:rFonts w:ascii="Arial" w:cs="Arial" w:eastAsia="Arial" w:hAnsi="Arial"/>
          <w:sz w:val="17"/>
          <w:szCs w:val="17"/>
          <w:u w:val="single" w:color="auto"/>
          <w:color w:val="auto"/>
        </w:rPr>
        <w:t>Section 6.01(a)</w:t>
      </w:r>
      <w:r>
        <w:rPr>
          <w:rFonts w:ascii="Arial" w:cs="Arial" w:eastAsia="Arial" w:hAnsi="Arial"/>
          <w:sz w:val="17"/>
          <w:szCs w:val="17"/>
          <w:color w:val="auto"/>
        </w:rPr>
        <w:t>) with respect to Securities of any series at the time outstanding occurs and is continuing under this Indenture, the Trustee or the Holders of at least 30% in aggregate principal amount of the then total outstanding Securities of such series (or, if any Securities of such series are Original Issue Discount Securities, such portion of the principal amount of such Securities as may be specified by the terms thereof) may declare the principal, premium, if any, interest and any other monetary obligations on all the then outstanding Securities of such series to be due and payable immediately. Upon the effectiveness of such declaration, such principal, premium, if any, and interest with respect to such series of Securities shall be due and payable immediately. The Trustee shall have no obligation to accelerate the Securities of any series if and so long as a committee of its Responsible Officers in good faith determines acceleration is not in the best interest of the Holders of such series of Securities.</w:t>
      </w:r>
    </w:p>
    <w:p>
      <w:pPr>
        <w:spacing w:after="0" w:line="181"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 xml:space="preserve">Notwithstanding the foregoing, in the case of an Event of Default arising under clause (4) or (5) of </w:t>
      </w:r>
      <w:r>
        <w:rPr>
          <w:rFonts w:ascii="Arial" w:cs="Arial" w:eastAsia="Arial" w:hAnsi="Arial"/>
          <w:sz w:val="17"/>
          <w:szCs w:val="17"/>
          <w:u w:val="single" w:color="auto"/>
          <w:color w:val="auto"/>
        </w:rPr>
        <w:t>Section 6.01(a)</w:t>
      </w:r>
      <w:r>
        <w:rPr>
          <w:rFonts w:ascii="Arial" w:cs="Arial" w:eastAsia="Arial" w:hAnsi="Arial"/>
          <w:sz w:val="17"/>
          <w:szCs w:val="17"/>
          <w:color w:val="auto"/>
        </w:rPr>
        <w:t>, all outstanding Securities shall be immediately due and payable without any declaration or other act on the part of the Trustee or any Holder.</w:t>
      </w:r>
    </w:p>
    <w:p>
      <w:pPr>
        <w:spacing w:after="0" w:line="146"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In the event of a declaration of acceleration with respect to Securities of any series, the Holders of a majority in aggregate principal amount of the then total outstanding Securities of such series by written notice to the Issuers and the Trustee may on behalf of all of the Holders of such series of Securities rescind such declaration of acceleration and its consequences if the rescission would not conflict with any judgment or decree and if all existing Events of Default with respect to such series of Securities (except nonpayment of principal, interest, Additional Amounts, if any, or premium, if any, that has become due solely because of the acceleration) have been cured or waived.</w:t>
      </w:r>
    </w:p>
    <w:p>
      <w:pPr>
        <w:spacing w:after="0" w:line="176"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The Issuers will be required to deliver to the Trustee, within 120 days after the end of each fiscal year of Parent, an Officer’s Certificate indicating whether the signer of the certificate knows of any failure by the Issuers or the Guarantors to comply with all conditions and covenants of this Indenture during such fiscal year.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6.03. </w:t>
      </w:r>
      <w:r>
        <w:rPr>
          <w:rFonts w:ascii="Arial" w:cs="Arial" w:eastAsia="Arial" w:hAnsi="Arial"/>
          <w:sz w:val="18"/>
          <w:szCs w:val="18"/>
          <w:u w:val="single" w:color="auto"/>
          <w:color w:val="auto"/>
        </w:rPr>
        <w:t>Other Remedies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If an Event of Default occurs and is continuing with respect to Securities of any series at the time outstanding, the Trustee may pursue any available remedy to collect the payment of principal, premium, if any, and interest on such series of Securities or to enforce the performance of any provision of such series of Securities or this Indenture with respect to such series of Securities.</w:t>
      </w:r>
    </w:p>
    <w:p>
      <w:pPr>
        <w:spacing w:after="0" w:line="18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such series of Securities or does not produce any of them in the proceeding. A delay or omission by the Trustee or any Holder of a Security in exercising any right or remedy accruing upon an Event of Default with respect to such series of Securities shall not impair the right or remedy or constitute a waiver of or acquiescence in the Event of Default. All remedies are cumulative to the extent permitted by law.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Holders of not less than a majority in aggregate principal amount of the then total outstanding Securities of any series by notice to the Trustee may on behalf of the Holders of all of the Securities of such series waive any existing Default with respect to such series of Securities and its consequences hereunder, except a continuing Default in the payment of the principal of, premium, if any, Additional Amounts, if any, or interest on, any Security of such series held by a non-consenting Holder of such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6.02</w:t>
      </w:r>
      <w:r>
        <w:rPr>
          <w:rFonts w:ascii="Arial" w:cs="Arial" w:eastAsia="Arial" w:hAnsi="Arial"/>
          <w:sz w:val="16"/>
          <w:szCs w:val="16"/>
          <w:color w:val="auto"/>
        </w:rPr>
        <w:t>, that the Holders of a majority in aggregate principal amount of the then total outstanding Securities of such series may rescind a declaration of acceleration and its consequences, including any related payment default that resulted from such acceleration. Upon any such waiver, such Default with respect to such series of Securities shall cease to exist, and any Event of Default with respect to such series of Securities arising therefrom shall be deemed to have been cured for every purpose of this Indenture; but no such waiver shall extend to any subsequent or other Default or impair any right consequent thereon.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Control by Majority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6.06</w:t>
      </w:r>
      <w:r>
        <w:rPr>
          <w:rFonts w:ascii="Arial" w:cs="Arial" w:eastAsia="Arial" w:hAnsi="Arial"/>
          <w:sz w:val="17"/>
          <w:szCs w:val="17"/>
          <w:color w:val="auto"/>
        </w:rPr>
        <w:t>, the Holders of a majority in aggregate principal amount of the outstanding Securities of a series will have the right to direct the time, method and place of conducting any proceeding for exercising any remedy available to the Trustee or of exercising any trust or power conferred on the Trustee with respect to such series and the Trustee may act at the direction of the Holders without liability. The Trustee, however, may refuse to follow any direction that conflicts with law or this Indenture or that the Trustee determines is unduly prejudicial to the rights of any other Holder of a Security of such series or that would involve the Trustee in personal liability.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6.07</w:t>
      </w:r>
      <w:r>
        <w:rPr>
          <w:rFonts w:ascii="Arial" w:cs="Arial" w:eastAsia="Arial" w:hAnsi="Arial"/>
          <w:sz w:val="18"/>
          <w:szCs w:val="18"/>
          <w:color w:val="auto"/>
        </w:rPr>
        <w:t>, no Holder of a Security of a series shall have any right to institute any proceeding with respect to this Indenture or the Securities of such series or for any remedy thereunder unless:</w:t>
      </w:r>
    </w:p>
    <w:p>
      <w:pPr>
        <w:spacing w:after="0" w:line="62" w:lineRule="exact"/>
        <w:rPr>
          <w:sz w:val="20"/>
          <w:szCs w:val="20"/>
          <w:color w:val="auto"/>
        </w:rPr>
      </w:pPr>
    </w:p>
    <w:p>
      <w:pPr>
        <w:ind w:left="440" w:right="760" w:firstLine="419"/>
        <w:spacing w:after="0" w:line="277" w:lineRule="auto"/>
        <w:tabs>
          <w:tab w:leader="none" w:pos="11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with respect to such series of Securities is continuing with respect to the Securities of such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2" w:name="page43"/>
    <w:bookmarkEnd w:id="42"/>
    <w:p>
      <w:pPr>
        <w:ind w:left="440" w:firstLine="419"/>
        <w:spacing w:after="0" w:line="277" w:lineRule="auto"/>
        <w:tabs>
          <w:tab w:leader="none" w:pos="1118"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at least 30% in aggregate principal amount of the total outstanding Securities of such series have requested that the Trustee to pursue the remedy in writing;</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Holders of such series of Securities have offered and, if requested, provided to the Trustee for such Securities indemnity or security satisfactory to the Trustee against any cost, loss, liability or expense;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thereof and the offer of security or indemnity; and</w:t>
      </w:r>
    </w:p>
    <w:p>
      <w:pPr>
        <w:spacing w:after="0" w:line="128" w:lineRule="exact"/>
        <w:rPr>
          <w:rFonts w:ascii="Arial" w:cs="Arial" w:eastAsia="Arial" w:hAnsi="Arial"/>
          <w:sz w:val="17"/>
          <w:szCs w:val="17"/>
          <w:color w:val="auto"/>
        </w:rPr>
      </w:pPr>
    </w:p>
    <w:p>
      <w:pPr>
        <w:ind w:left="440" w:right="540" w:firstLine="419"/>
        <w:spacing w:after="0" w:line="277" w:lineRule="auto"/>
        <w:tabs>
          <w:tab w:leader="none" w:pos="11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total outstanding Securities of such series have not given the Trustee a direction inconsistent with such request within such 60-day period;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apply to a suit instituted by a Holder of a Security for the enforcement of payment of the principal of, premium, if any, or interest on such Security on or after the respective due date expressed in such Security.</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A Holder of any series of Securities may not use this Indenture to prejudice the rights of another Holder of such series of Securities or to obtain a preference or priority over another Holder of Securities of such series.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Rights of Holders of Securities to Receive Payment</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Security of any series to receive payment of principal, premium, if any, Additional Amounts, if any, and interest on such Security, on or after the respective due dates expressed in such Security,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If an Event of Default specified in </w:t>
      </w:r>
      <w:r>
        <w:rPr>
          <w:rFonts w:ascii="Arial" w:cs="Arial" w:eastAsia="Arial" w:hAnsi="Arial"/>
          <w:sz w:val="18"/>
          <w:szCs w:val="18"/>
          <w:u w:val="single" w:color="auto"/>
          <w:color w:val="auto"/>
        </w:rPr>
        <w:t>Section 6.01(a)(1)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with respect to any series of Securities occurs and is continuing, the Trustee is authorized to recover judgment in its own name and as trustee of an express trust against the Issuers for the whole amount of principal of, premium, if any, Additional Amounts, if any, and interest remaining unpaid on such Securities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If the Trustee or any Holder of Securities of any series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Issuers, the Guarantors, the Trustee and the Holders of Securities of such series shall be restored severally and respectively to their former positions hereunder and thereafter all rights and remedies of the Trustee and the Holders of Securities of such series shall continue as though no such proceeding has been instituted.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Except as otherwise provided with respect to the replacement or payment of mutilated, destroyed, lost or stolen Securities in </w:t>
      </w:r>
      <w:r>
        <w:rPr>
          <w:rFonts w:ascii="Arial" w:cs="Arial" w:eastAsia="Arial" w:hAnsi="Arial"/>
          <w:sz w:val="18"/>
          <w:szCs w:val="18"/>
          <w:u w:val="single" w:color="auto"/>
          <w:color w:val="auto"/>
        </w:rPr>
        <w:t>Section 2.07</w:t>
      </w:r>
      <w:r>
        <w:rPr>
          <w:rFonts w:ascii="Arial" w:cs="Arial" w:eastAsia="Arial" w:hAnsi="Arial"/>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91"/>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Securities allowed in any judicial proceedings relative to Parent or an Issuer (or any other obligor upon the Securities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To the extent that the payment of any such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or the rights of any Holder, or to authorize the Trustee to vote in respect of the claim of any Holder in any such proceeding.</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Priorities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If the Trustee collects any money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it shall pay out the money in the following order:</w:t>
      </w:r>
    </w:p>
    <w:p>
      <w:pPr>
        <w:spacing w:after="0" w:line="117" w:lineRule="exact"/>
        <w:rPr>
          <w:sz w:val="20"/>
          <w:szCs w:val="20"/>
          <w:color w:val="auto"/>
        </w:rPr>
      </w:pPr>
    </w:p>
    <w:p>
      <w:pPr>
        <w:ind w:left="440" w:right="60" w:firstLine="948"/>
        <w:spacing w:after="0" w:line="277" w:lineRule="auto"/>
        <w:tabs>
          <w:tab w:leader="none" w:pos="16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to the Trustee, its agents and attorneys for amounts due under </w:t>
      </w:r>
      <w:r>
        <w:rPr>
          <w:rFonts w:ascii="Arial" w:cs="Arial" w:eastAsia="Arial" w:hAnsi="Arial"/>
          <w:sz w:val="18"/>
          <w:szCs w:val="18"/>
          <w:u w:val="single" w:color="auto"/>
          <w:color w:val="auto"/>
        </w:rPr>
        <w:t>Section 7.07</w:t>
      </w:r>
      <w:r>
        <w:rPr>
          <w:rFonts w:ascii="Arial" w:cs="Arial" w:eastAsia="Arial" w:hAnsi="Arial"/>
          <w:sz w:val="18"/>
          <w:szCs w:val="18"/>
          <w:color w:val="auto"/>
        </w:rPr>
        <w:t>, including payment of all compensation, expenses and liabilities incurred, and all advances made, by the Trustee and the costs and expenses of collection;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4" w:name="page45"/>
    <w:bookmarkEnd w:id="44"/>
    <w:p>
      <w:pPr>
        <w:ind w:left="440" w:right="140" w:firstLine="948"/>
        <w:spacing w:after="0" w:line="259" w:lineRule="auto"/>
        <w:tabs>
          <w:tab w:leader="none" w:pos="165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Holders of the applicable series of Securities for amounts due and unpaid on such Securities or such series of Securities for principal, premium, if any, Additional Amounts, if any, and interest, ratably, without preference or priority of any kind, according to the amounts due and payable on such Securities or such series of Securities for principal, premium, if any, Additional Amounts, if any, and interest, respectively; and</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Parent, an Issuer or to such party as a court of competent jurisdiction shall direct, including a Guarantor, if applicable.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The Trustee may fix a Record Date and payment date for any payment to Holders of Securities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does not apply to a suit by the Trustee, a suit by a Holder of a Security pursuant to </w:t>
      </w:r>
      <w:r>
        <w:rPr>
          <w:rFonts w:ascii="Arial" w:cs="Arial" w:eastAsia="Arial" w:hAnsi="Arial"/>
          <w:sz w:val="16"/>
          <w:szCs w:val="16"/>
          <w:u w:val="single" w:color="auto"/>
          <w:color w:val="auto"/>
        </w:rPr>
        <w:t>Section 6.07</w:t>
      </w:r>
      <w:r>
        <w:rPr>
          <w:rFonts w:ascii="Arial" w:cs="Arial" w:eastAsia="Arial" w:hAnsi="Arial"/>
          <w:sz w:val="16"/>
          <w:szCs w:val="16"/>
          <w:color w:val="auto"/>
        </w:rPr>
        <w:t>, or a suit by Holders of more than 10% in principal amount of the then outstanding Securities of any series.</w:t>
      </w:r>
    </w:p>
    <w:p>
      <w:pPr>
        <w:spacing w:after="0" w:line="3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7</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36"/>
        <w:spacing w:after="0" w:line="263"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Event of Default with respect to the Securities of any series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117" w:lineRule="exact"/>
        <w:rPr>
          <w:rFonts w:ascii="Arial" w:cs="Arial" w:eastAsia="Arial" w:hAnsi="Arial"/>
          <w:sz w:val="18"/>
          <w:szCs w:val="18"/>
          <w:color w:val="auto"/>
        </w:rPr>
      </w:pPr>
    </w:p>
    <w:p>
      <w:pPr>
        <w:jc w:val="both"/>
        <w:ind w:left="440" w:right="80" w:firstLine="948"/>
        <w:spacing w:after="0" w:line="263" w:lineRule="auto"/>
        <w:tabs>
          <w:tab w:leader="none" w:pos="16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firstLine="948"/>
        <w:spacing w:after="0" w:line="275" w:lineRule="auto"/>
        <w:tabs>
          <w:tab w:leader="none" w:pos="1657"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 w:name="page46"/>
    <w:bookmarkEnd w:id="45"/>
    <w:p>
      <w:pPr>
        <w:ind w:left="-20" w:right="300" w:firstLine="436"/>
        <w:spacing w:after="0" w:line="277"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not be relieved from liabilities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060" w:hanging="221"/>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Section 7.01(b)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320" w:firstLine="419"/>
        <w:spacing w:after="0" w:line="277"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62" w:lineRule="exact"/>
        <w:rPr>
          <w:rFonts w:ascii="Arial" w:cs="Arial" w:eastAsia="Arial" w:hAnsi="Arial"/>
          <w:sz w:val="18"/>
          <w:szCs w:val="18"/>
          <w:color w:val="auto"/>
        </w:rPr>
      </w:pPr>
    </w:p>
    <w:p>
      <w:pPr>
        <w:ind w:left="420" w:firstLine="419"/>
        <w:spacing w:after="0" w:line="277" w:lineRule="auto"/>
        <w:tabs>
          <w:tab w:leader="none" w:pos="11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20" w:firstLine="419"/>
        <w:spacing w:after="0" w:line="286" w:lineRule="auto"/>
        <w:tabs>
          <w:tab w:leader="none" w:pos="1148"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65" w:lineRule="exact"/>
        <w:rPr>
          <w:rFonts w:ascii="Arial" w:cs="Arial" w:eastAsia="Arial" w:hAnsi="Arial"/>
          <w:sz w:val="17"/>
          <w:szCs w:val="17"/>
          <w:color w:val="auto"/>
        </w:rPr>
      </w:pPr>
    </w:p>
    <w:p>
      <w:pPr>
        <w:ind w:left="-20" w:right="160" w:firstLine="436"/>
        <w:spacing w:after="0" w:line="277" w:lineRule="auto"/>
        <w:tabs>
          <w:tab w:leader="none" w:pos="6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Whether or not therein expressly so provided, every provision of this Indenture that in any way relates to the Trustee is subject to paragraphs (a), (b) and (c) of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right="260" w:firstLine="436"/>
        <w:spacing w:after="0" w:line="263"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its rights or powers under this Indenture at the request or direction of any of the Holders of the Securities of any series unless the Holders of the Securities of such series have offered to the Trustee indemnity or security reasonably satisfactory to the Trustee against any loss, liability or expense.</w:t>
      </w:r>
    </w:p>
    <w:p>
      <w:pPr>
        <w:spacing w:after="0" w:line="183" w:lineRule="exact"/>
        <w:rPr>
          <w:rFonts w:ascii="Arial" w:cs="Arial" w:eastAsia="Arial" w:hAnsi="Arial"/>
          <w:sz w:val="18"/>
          <w:szCs w:val="18"/>
          <w:color w:val="auto"/>
        </w:rPr>
      </w:pPr>
    </w:p>
    <w:p>
      <w:pPr>
        <w:ind w:left="-20" w:firstLine="436"/>
        <w:spacing w:after="0" w:line="277" w:lineRule="auto"/>
        <w:tabs>
          <w:tab w:leader="none" w:pos="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left="-20" w:right="20" w:firstLine="436"/>
        <w:spacing w:after="0" w:line="257"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personally or by agent or attorney at the sole cost of the Issuers and shall incur no liability or additional liability of any kind by reason of such inquiry or investigation.</w:t>
      </w:r>
    </w:p>
    <w:p>
      <w:pPr>
        <w:spacing w:after="0" w:line="187" w:lineRule="exact"/>
        <w:rPr>
          <w:rFonts w:ascii="Arial" w:cs="Arial" w:eastAsia="Arial" w:hAnsi="Arial"/>
          <w:sz w:val="18"/>
          <w:szCs w:val="18"/>
          <w:color w:val="auto"/>
        </w:rPr>
      </w:pPr>
    </w:p>
    <w:p>
      <w:pPr>
        <w:ind w:left="-20" w:right="120" w:firstLine="436"/>
        <w:spacing w:after="0" w:line="279" w:lineRule="auto"/>
        <w:tabs>
          <w:tab w:leader="none" w:pos="6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left="-20" w:right="280" w:firstLine="436"/>
        <w:spacing w:after="0" w:line="277"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60" w:top="274" w:right="479" w:bottom="1440" w:gutter="0" w:footer="0" w:header="0"/>
        </w:sectPr>
      </w:pPr>
    </w:p>
    <w:bookmarkStart w:id="46" w:name="page47"/>
    <w:bookmarkEnd w:id="46"/>
    <w:p>
      <w:pPr>
        <w:ind w:right="480" w:firstLine="436"/>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an Issuer shall be sufficient if signed by an Officer of such Issuer.</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40" w:firstLine="436"/>
        <w:spacing w:after="0" w:line="26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Securities of the applicable series and this Indenture.</w:t>
      </w:r>
    </w:p>
    <w:p>
      <w:pPr>
        <w:spacing w:after="0" w:line="183"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right="220" w:firstLine="436"/>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3" w:lineRule="exact"/>
        <w:rPr>
          <w:rFonts w:ascii="Arial" w:cs="Arial" w:eastAsia="Arial" w:hAnsi="Arial"/>
          <w:sz w:val="18"/>
          <w:szCs w:val="18"/>
          <w:color w:val="auto"/>
        </w:rPr>
      </w:pPr>
    </w:p>
    <w:p>
      <w:pPr>
        <w:ind w:right="100" w:firstLine="436"/>
        <w:spacing w:after="0" w:line="286"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Trustee may request that the Issuers and any Guarantor deliver an Officer’s Certificate setting forth the names of the individuals and/or titles of Officers (with specimen signatures) authorized at such times to take specific actions pursuant to this Indenture, which Officer’s Certificate may be signed by any person specified as so authorized in any certificate previously delivered and not superseded.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79" w:lineRule="auto"/>
        <w:rPr>
          <w:sz w:val="20"/>
          <w:szCs w:val="20"/>
          <w:color w:val="auto"/>
        </w:rPr>
      </w:pPr>
      <w:r>
        <w:rPr>
          <w:rFonts w:ascii="Arial" w:cs="Arial" w:eastAsia="Arial" w:hAnsi="Arial"/>
          <w:sz w:val="17"/>
          <w:szCs w:val="17"/>
          <w:color w:val="auto"/>
        </w:rPr>
        <w:t xml:space="preserve">The Trustee in its individual or any other capacity may become the owner or pledgee of Securities of any series and may otherwise deal with the Issuers or any Affiliate of any Issuer with the same rights it would have if it were not Trustee. However, in the event that the Trustee acquires any conflicting interest it must eliminate such conflict within 90 days, apply to the SEC for permission to continue as trustee or resign as Trustee. Any Agent may do the same with like rights and duties. The Trustee is also subject to </w:t>
      </w:r>
      <w:r>
        <w:rPr>
          <w:rFonts w:ascii="Arial" w:cs="Arial" w:eastAsia="Arial" w:hAnsi="Arial"/>
          <w:sz w:val="17"/>
          <w:szCs w:val="17"/>
          <w:u w:val="single" w:color="auto"/>
          <w:color w:val="auto"/>
        </w:rPr>
        <w:t>Sections 7.10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7.11</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Trustee shall not be responsible for and makes no representation as to the validity or adequacy of this Indenture or the Securities, it shall not be accountable for the Issuers’ use of the proceeds from the Securities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Securities or any other document in connection with the sale of the Securities or pursuant to this Indenture other than its certificate of authentication.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If a Default with respect to any series of Securities occurs and is continuing and the Trustee has received written notice thereof, the Trustee shall send to Holders of such series of Securities a notice of the Default within 90 days after it occurs. Except in the case of a Default relating to the payment of principal, premium, if any, or interest on any Security, the Trustee may withhold from the Holders of such series of Securities notice of any continuing Default if and so long as a committee of its Responsible Officers in good faith determines that withholding the notice is in the interests of the Holders of such series of Securities. The Trustee shall not be deemed to know of any Default unless written notice of any event which is such a Default is received by a Responsible Officer of the Trustee at the Corporate Trust Office of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Reports by Trustee to Holders of the Securities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Within 60 days after each October 15, following the issuance of a series of Securities under this Indenture, and for so long as any Securities remain outstanding, the Trustee shall send to the Holders of the Securities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send all reports as required by Trust Indenture Act Section 313(c).</w:t>
      </w:r>
    </w:p>
    <w:p>
      <w:pPr>
        <w:spacing w:after="0" w:line="188"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A copy of each report at the time it is sent to the Holders of the Securities of any series shall be sent to the Issuers and filed with the SEC and each stock exchange on which the Securities of that series are listed in accordance with Trust Indenture Act Section 313(d). The Issuers shall promptly notify the Trustee when the Securities of any series are listed on any stock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The Issuers and any Guarantors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Issuers and any Guarantors shall reimburse the Trustee promptly upon request for all reasonable disbursements, advances and expenses incurred or made by it (including the reasonable compensation and the expenses and disbursements of its agents and counsel) in addition to the compensation for its services.</w:t>
      </w:r>
    </w:p>
    <w:p>
      <w:pPr>
        <w:spacing w:after="0" w:line="188"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The Issuers and the Guarantors, jointly and severally, shall indemnify the Trustee for, and hold the Trustee harmless against, any and all loss, damage, claim, liability or expense (including attorneys’ fees) incurred by it in connection with the acceptance or administration of this trust and the performance of its duties hereunder (including the costs and expenses of enforcing this Indenture against any Issuer or any of the Guarantors (including this </w:t>
      </w:r>
      <w:r>
        <w:rPr>
          <w:rFonts w:ascii="Arial" w:cs="Arial" w:eastAsia="Arial" w:hAnsi="Arial"/>
          <w:sz w:val="17"/>
          <w:szCs w:val="17"/>
          <w:u w:val="single" w:color="auto"/>
          <w:color w:val="auto"/>
        </w:rPr>
        <w:t>Section 7.07</w:t>
      </w:r>
      <w:r>
        <w:rPr>
          <w:rFonts w:ascii="Arial" w:cs="Arial" w:eastAsia="Arial" w:hAnsi="Arial"/>
          <w:sz w:val="17"/>
          <w:szCs w:val="17"/>
          <w:color w:val="auto"/>
        </w:rPr>
        <w:t>) or defending itself against any claim whether asserted by any Holder, any Issuer or any Guarantor, or liability in connection with the acceptance, exercise or performance of any of its powers or duties hereunder). The Trustee shall notify the Issuers promptly of any claim for which it may seek indemnity. Failure by the Trustee to so notify the Issuers shall not relieve the Issuers of its obligations hereunder. The Issuers shall defend the claim and the Trustee may have separate counsel and the Issuers shall pay the fees and expenses of such counsel. The Issuers need not reimburse any expense or indemnify against any loss, liability or expense determined to have been caused by the Trustee’s own willful misconduct, negligence or bad faith.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8" w:name="page49"/>
    <w:bookmarkEnd w:id="48"/>
    <w:p>
      <w:pPr>
        <w:ind w:right="5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obligations of the Issuers and the Guarantors, if any, under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survive the satisfaction and discharge of this Indenture or the earlier resignation or removal of the Trustee.</w:t>
      </w:r>
    </w:p>
    <w:p>
      <w:pPr>
        <w:spacing w:after="0" w:line="170"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 xml:space="preserve">To secure the payment obligations of the Issuers and the Guarantors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the Trustee shall have a Lien prior to the Securities of any series on all money or property held or collected by the Trustee, except that held in trust to pay principal and interest on particular Securities of that series. Such Lien shall survive the satisfaction and discharge of this Indenture.</w:t>
      </w:r>
    </w:p>
    <w:p>
      <w:pPr>
        <w:spacing w:after="0" w:line="184"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6.01(a)(4)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shall comply with the provisions of Trust Indenture Act Section 313(b)(2) to the extent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A resignation or removal of the Trustee and appointment of a successor Trustee shall become effective only upon the successor Trustee’s acceptance of appointment as provided in this </w:t>
      </w:r>
      <w:r>
        <w:rPr>
          <w:rFonts w:ascii="Arial" w:cs="Arial" w:eastAsia="Arial" w:hAnsi="Arial"/>
          <w:sz w:val="16"/>
          <w:szCs w:val="16"/>
          <w:u w:val="single" w:color="auto"/>
          <w:color w:val="auto"/>
        </w:rPr>
        <w:t>Section 7.08</w:t>
      </w:r>
      <w:r>
        <w:rPr>
          <w:rFonts w:ascii="Arial" w:cs="Arial" w:eastAsia="Arial" w:hAnsi="Arial"/>
          <w:sz w:val="16"/>
          <w:szCs w:val="16"/>
          <w:color w:val="auto"/>
        </w:rPr>
        <w:t>. The Trustee may resign with respect to the Securities of one or more series in writing at any time and be discharged from the trust hereby created by so notifying the Issuers. The Holders of a majority in aggregate principal amount of the then total outstanding Securities of any series may remove the Trustee with respect to that series of Securities by so notifying the Trustee and the Issuers in writing with 31 days prior written notice. The Issuers may remove the Trustee with respect to Securities of one or more series if:</w:t>
      </w:r>
    </w:p>
    <w:p>
      <w:pPr>
        <w:spacing w:after="0" w:line="53" w:lineRule="exact"/>
        <w:rPr>
          <w:sz w:val="20"/>
          <w:szCs w:val="20"/>
          <w:color w:val="auto"/>
        </w:rPr>
      </w:pPr>
    </w:p>
    <w:p>
      <w:pPr>
        <w:ind w:left="680" w:hanging="24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248" w:lineRule="exact"/>
        <w:rPr>
          <w:rFonts w:ascii="Arial" w:cs="Arial" w:eastAsia="Arial" w:hAnsi="Arial"/>
          <w:sz w:val="16"/>
          <w:szCs w:val="16"/>
          <w:color w:val="auto"/>
        </w:rPr>
      </w:pPr>
    </w:p>
    <w:p>
      <w:pPr>
        <w:ind w:left="680" w:hanging="24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If the Trustee resigns or is removed with respect to the Securities of any one or more series or if a vacancy exists in the office of Trustee for any reason, the Issuers shall promptly appoint a successor Trustee with respect to the Securities of such series. Within one year after the successor Trustee takes office, the Holders of a majority in aggregate principal amount of the then total outstanding Securities of such series may appoint a successor Trustee with respect to the Securities of such series to replace the successor Trustee appointed by the Issuers.</w:t>
      </w:r>
    </w:p>
    <w:p>
      <w:pPr>
        <w:spacing w:after="0" w:line="157" w:lineRule="exact"/>
        <w:rPr>
          <w:sz w:val="20"/>
          <w:szCs w:val="20"/>
          <w:color w:val="auto"/>
        </w:rPr>
      </w:pPr>
    </w:p>
    <w:p>
      <w:pPr>
        <w:jc w:val="both"/>
        <w:ind w:right="60" w:firstLine="991"/>
        <w:spacing w:after="0" w:line="311" w:lineRule="auto"/>
        <w:rPr>
          <w:sz w:val="20"/>
          <w:szCs w:val="20"/>
          <w:color w:val="auto"/>
        </w:rPr>
      </w:pPr>
      <w:r>
        <w:rPr>
          <w:rFonts w:ascii="Arial" w:cs="Arial" w:eastAsia="Arial" w:hAnsi="Arial"/>
          <w:sz w:val="16"/>
          <w:szCs w:val="16"/>
          <w:color w:val="auto"/>
        </w:rPr>
        <w:t>If a successor Trustee with respect to the Securities of any one or more series does not take office within 60 days after the retiring Trustee resigns or is removed, the retiring Trustee (at the Issuers’ expense), the Issuers or the Holders of at least 10% in aggregate principal amount of the then total outstanding Securities of the applicable series may petition any court of competent jurisdiction for the appointment of a successor Trustee.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49" w:name="page50"/>
    <w:bookmarkEnd w:id="49"/>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Trustee, after written request by any Holder who has been a Holder of Securities of the applicable series for at least six months,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 such Holder may petition any court of competent jurisdiction for the removal of the Trustee with respect to the Securities of such series and the appointment of a successor Trustee.</w:t>
      </w:r>
    </w:p>
    <w:p>
      <w:pPr>
        <w:spacing w:after="0" w:line="184"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with respect to each series of Securities for which it is acting as Trustee under this Indenture. The successor Trustee shall send a notice of its succession to Holders of each such series of Securities. The retiring Trustee shall promptly transfer all property held by it as Trustee to the successor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all sums owing to the Trustee hereunder have been paid and subject to the Lien provided for in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Notwithstanding replacement of the Trustee pursuant to this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the Issuers’ obligations under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shall continue for the benefit of the retiring Trustee.</w:t>
      </w:r>
    </w:p>
    <w:p>
      <w:pPr>
        <w:spacing w:after="0" w:line="164"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Successor Trustee by Merger, Etc</w:t>
      </w:r>
      <w:r>
        <w:rPr>
          <w:rFonts w:ascii="Arial" w:cs="Arial" w:eastAsia="Arial" w:hAnsi="Arial"/>
          <w:sz w:val="17"/>
          <w:szCs w:val="17"/>
          <w:color w:val="auto"/>
        </w:rPr>
        <w:t>. If the Trustee consolidates, merges or converts into, or transfers all or substantially all of its corporate trust business to, another corporation, the successor corporation without any further act shall be the successor Trustee.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91"/>
        <w:spacing w:after="0" w:line="259" w:lineRule="auto"/>
        <w:rPr>
          <w:sz w:val="20"/>
          <w:szCs w:val="20"/>
          <w:color w:val="auto"/>
        </w:rPr>
      </w:pPr>
      <w:r>
        <w:rPr>
          <w:rFonts w:ascii="Arial" w:cs="Arial" w:eastAsia="Arial" w:hAnsi="Arial"/>
          <w:sz w:val="18"/>
          <w:szCs w:val="18"/>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This Indenture shall always have a Trustee who satisfies the requirements of Trust Indenture Act Sections 310(a)(1), (2) and (5). The Trustee is subject to Trust Indenture Act Section 310(b).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Issuer</w:t>
      </w:r>
      <w:r>
        <w:rPr>
          <w:rFonts w:ascii="Arial" w:cs="Arial" w:eastAsia="Arial" w:hAnsi="Arial"/>
          <w:sz w:val="18"/>
          <w:szCs w:val="18"/>
          <w:color w:val="auto"/>
        </w:rPr>
        <w:t>.</w:t>
      </w:r>
    </w:p>
    <w:p>
      <w:pPr>
        <w:spacing w:after="0" w:line="225" w:lineRule="exact"/>
        <w:rPr>
          <w:sz w:val="20"/>
          <w:szCs w:val="20"/>
          <w:color w:val="auto"/>
        </w:rPr>
      </w:pPr>
    </w:p>
    <w:p>
      <w:pPr>
        <w:ind w:right="440" w:firstLine="991"/>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The Issuers may, at their option and at any time, elect to have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applied to all outstanding Securities of any series upon compliance with the conditions set forth below in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 xml:space="preserve">Upon the Issuers’ exercise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the Issuers and the Guarantors shall, subject to the satisfaction of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be deemed to have been discharged from their obligations with respect to all outstanding Securities of any series and the related Security Guarantees on the date the conditions set forth below are satisfied (“</w:t>
      </w:r>
      <w:r>
        <w:rPr>
          <w:rFonts w:ascii="Arial" w:cs="Arial" w:eastAsia="Arial" w:hAnsi="Arial"/>
          <w:sz w:val="17"/>
          <w:szCs w:val="17"/>
          <w:u w:val="single" w:color="auto"/>
          <w:color w:val="auto"/>
        </w:rPr>
        <w:t>Legal Defeasance</w:t>
      </w:r>
      <w:r>
        <w:rPr>
          <w:rFonts w:ascii="Arial" w:cs="Arial" w:eastAsia="Arial" w:hAnsi="Arial"/>
          <w:sz w:val="17"/>
          <w:szCs w:val="17"/>
          <w:color w:val="auto"/>
        </w:rPr>
        <w:t xml:space="preserve">”). For this purpose, Legal Defeasance means that the Issuers shall be deemed to have paid and discharged the entire indebtedness represented by the outstanding Securities of the applicable series, which shall thereafter be deemed to be “outstanding” only for the purposes of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the other Sections of this Indenture referred to in clauses (a) and (b) below, and to have satisfied all its other obligations under such Securities and this Indenture, including the obligations of the Guarantors (and the Trustee, on demand of and at the expense of the Issuers, shall execute proper instruments acknowledging the same, in each case, with respect to such series of Securities) except for the following provisions which shall survive until otherwise terminated or discharged hereunder:</w:t>
      </w:r>
    </w:p>
    <w:p>
      <w:pPr>
        <w:spacing w:after="0" w:line="73" w:lineRule="exact"/>
        <w:rPr>
          <w:sz w:val="20"/>
          <w:szCs w:val="20"/>
          <w:color w:val="auto"/>
        </w:rPr>
      </w:pPr>
    </w:p>
    <w:p>
      <w:pPr>
        <w:ind w:right="20" w:firstLine="436"/>
        <w:spacing w:after="0" w:line="342" w:lineRule="auto"/>
        <w:tabs>
          <w:tab w:leader="none" w:pos="6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rights of Holders of such series of Securities to receive payments in respect of the principal of, premium, if any, and interest and Additional Amounts, if any, on such Securities when such payments are due solely out of the trust created pursuant to this Indenture referred to in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300" w:firstLine="436"/>
        <w:spacing w:after="0" w:line="342"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Issuers’ obligations with respect to such series of Securities concerning issuing temporary Securities, registration of such Securities, mutilated, destroyed, lost or stolen Securities and the maintenance of an office or agency for payment and money for security payments held in trust;</w:t>
      </w:r>
    </w:p>
    <w:p>
      <w:pPr>
        <w:spacing w:after="0" w:line="123" w:lineRule="exact"/>
        <w:rPr>
          <w:rFonts w:ascii="Arial" w:cs="Arial" w:eastAsia="Arial" w:hAnsi="Arial"/>
          <w:sz w:val="16"/>
          <w:szCs w:val="16"/>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Subject to compliance with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Issuers may exercise their option under this Section 8.02 notwithstanding the prior exercise of their option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Issuers and the Guarantors shall,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be released from their obligations under the covenants contained in </w:t>
      </w:r>
      <w:r>
        <w:rPr>
          <w:rFonts w:ascii="Arial" w:cs="Arial" w:eastAsia="Arial" w:hAnsi="Arial"/>
          <w:sz w:val="16"/>
          <w:szCs w:val="16"/>
          <w:u w:val="single" w:color="auto"/>
          <w:color w:val="auto"/>
        </w:rPr>
        <w:t>Sections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4.04</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(and any additional negative covenants specified for a particular series of Securities by an Officer’s Certificate, supplemental indenture or resolutions of the Issuers’ Boards) with respect to such Securities of the applicable series on and after the date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are satisfied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and Securities of such series shall thereafter be deemed not “outstanding” for the purposes of any direction, waiver, consent or declaration or act of Holders of Securities of such series (and the consequences of any thereof) in connection with such covenants, but shall continue to be deemed “outstanding” for all other purposes hereunder (it being understood that Securities of such series shall not be deemed outstanding for accounting purposes). For this purpose, Covenant Defeasance means that, with respect to Securities of such series,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with respect to Securities of such series under </w:t>
      </w:r>
      <w:r>
        <w:rPr>
          <w:rFonts w:ascii="Arial" w:cs="Arial" w:eastAsia="Arial" w:hAnsi="Arial"/>
          <w:sz w:val="16"/>
          <w:szCs w:val="16"/>
          <w:u w:val="single" w:color="auto"/>
          <w:color w:val="auto"/>
        </w:rPr>
        <w:t>Section 6.01</w:t>
      </w:r>
      <w:r>
        <w:rPr>
          <w:rFonts w:ascii="Arial" w:cs="Arial" w:eastAsia="Arial" w:hAnsi="Arial"/>
          <w:sz w:val="16"/>
          <w:szCs w:val="16"/>
          <w:color w:val="auto"/>
        </w:rPr>
        <w:t>, but, except as specified above, the remainder of this Indenture and Securities of such series shall be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1" w:name="page52"/>
    <w:bookmarkEnd w:id="51"/>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unaffected thereby. In addition, upon the Issuers’ exercise under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the option applicable to this Section 8.03, subject to the satisfaction of the conditions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6.01(a)(3)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6.01(a)(5)</w:t>
      </w:r>
      <w:r>
        <w:rPr>
          <w:rFonts w:ascii="Arial" w:cs="Arial" w:eastAsia="Arial" w:hAnsi="Arial"/>
          <w:sz w:val="18"/>
          <w:szCs w:val="18"/>
          <w:color w:val="auto"/>
        </w:rPr>
        <w:t xml:space="preserve"> shall not constitute Events of Default with respect to Securities of such series.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The following shall be the conditions to the application of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to Securities of any series:</w:t>
      </w:r>
    </w:p>
    <w:p>
      <w:pPr>
        <w:spacing w:after="0" w:line="117" w:lineRule="exact"/>
        <w:rPr>
          <w:sz w:val="20"/>
          <w:szCs w:val="20"/>
          <w:color w:val="auto"/>
        </w:rPr>
      </w:pPr>
    </w:p>
    <w:p>
      <w:pPr>
        <w:ind w:left="440" w:right="20" w:firstLine="419"/>
        <w:spacing w:after="0" w:line="293" w:lineRule="auto"/>
        <w:tabs>
          <w:tab w:leader="none" w:pos="11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applicable series of Securities, cash in U.S. dollars, U.S. Government Obligations (that through the scheduled payment of principal and interest in accordance with their terms will provide money in an amount), or a combination thereof, in such amounts as will be sufficient, in the opinion of a nationally recognized public accounting firm (insofar as any U.S. Government Obligations are so included), to pay the principal of, premium, if any, and interest due on such Securities on the Stated Maturity date or on the Redemption Date, as the case may be, of such principal, premium, if any, or interest on such Securities and the Issuers must specify whether such Securities are being defeased to Maturity or to a particular Redemption Date;</w:t>
      </w:r>
    </w:p>
    <w:p>
      <w:pPr>
        <w:spacing w:after="0" w:line="56" w:lineRule="exact"/>
        <w:rPr>
          <w:rFonts w:ascii="Arial" w:cs="Arial" w:eastAsia="Arial" w:hAnsi="Arial"/>
          <w:sz w:val="16"/>
          <w:szCs w:val="16"/>
          <w:color w:val="auto"/>
        </w:rPr>
      </w:pPr>
    </w:p>
    <w:p>
      <w:pPr>
        <w:ind w:left="440" w:right="44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Legal Defeasance, the Issuers shall have delivered to the Trustee an Opinion of Counsel reasonably acceptable to the Trustee confirming that, subject to customary assumptions and exclusions,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Issuers have received from, or there has been published by, the United States Internal Revenue Service a ruling, or</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since the issuance of such series of Securities, there has been a change in the applicable U.S. federal income tax law,</w:t>
      </w:r>
    </w:p>
    <w:p>
      <w:pPr>
        <w:spacing w:after="0" w:line="129"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Holders of Securities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firstLine="419"/>
        <w:spacing w:after="0" w:line="301" w:lineRule="auto"/>
        <w:tabs>
          <w:tab w:leader="none" w:pos="11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Covenant Defeasance, the Issuers shall have delivered to the Trustee an Opinion of Counsel reasonably acceptable to the Trustee confirming that, subject to customary assumptions and exclusions, the Holders of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9" w:lineRule="exact"/>
        <w:rPr>
          <w:rFonts w:ascii="Arial" w:cs="Arial" w:eastAsia="Arial" w:hAnsi="Arial"/>
          <w:sz w:val="16"/>
          <w:szCs w:val="16"/>
          <w:color w:val="auto"/>
        </w:rPr>
      </w:pPr>
    </w:p>
    <w:p>
      <w:pPr>
        <w:jc w:val="both"/>
        <w:ind w:left="440" w:right="80" w:firstLine="419"/>
        <w:spacing w:after="0" w:line="263" w:lineRule="auto"/>
        <w:tabs>
          <w:tab w:leader="none" w:pos="11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52" w:name="page53"/>
    <w:bookmarkEnd w:id="52"/>
    <w:p>
      <w:pPr>
        <w:ind w:left="440" w:firstLine="419"/>
        <w:spacing w:after="0" w:line="259"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Legal Defeasance or Covenant Defeasance shall not result in a breach or violation of, or constitute a default under any material agreement or material instrument (other than this Indenture) to which, an Issuer or any Guarantor is a party or by which an Issuer or any Guarantor is bound (other than that resulting from borrowing funds to be applied to make such deposit and any similar and simultaneous deposit relating to other indebtedness and, in each case, the granting of Liens in connection therewith);</w:t>
      </w:r>
    </w:p>
    <w:p>
      <w:pPr>
        <w:spacing w:after="0" w:line="78"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defeating, hindering, delaying or defrauding any creditors of the Issuers or any Guarantor or others; and</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all money and U.S. Government Obligations (including the proceeds thereof) deposited with the Trustee (or other qualifying trustee, collectively for purposes of this </w:t>
      </w:r>
      <w:r>
        <w:rPr>
          <w:rFonts w:ascii="Arial" w:cs="Arial" w:eastAsia="Arial" w:hAnsi="Arial"/>
          <w:sz w:val="17"/>
          <w:szCs w:val="17"/>
          <w:u w:val="single" w:color="auto"/>
          <w:color w:val="auto"/>
        </w:rPr>
        <w:t>Section 8.05</w:t>
      </w:r>
      <w:r>
        <w:rPr>
          <w:rFonts w:ascii="Arial" w:cs="Arial" w:eastAsia="Arial" w:hAnsi="Arial"/>
          <w:sz w:val="17"/>
          <w:szCs w:val="17"/>
          <w:color w:val="auto"/>
        </w:rPr>
        <w:t>, the “</w:t>
      </w:r>
      <w:r>
        <w:rPr>
          <w:rFonts w:ascii="Arial" w:cs="Arial" w:eastAsia="Arial" w:hAnsi="Arial"/>
          <w:sz w:val="17"/>
          <w:szCs w:val="17"/>
          <w:u w:val="single" w:color="auto"/>
          <w:color w:val="auto"/>
        </w:rPr>
        <w:t>Trustee</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in respect of the Securities of any series shall be held in trust and applied by the Trustee, in accordance with the provisions of the Securities of such series and this Indenture, to the payment, either directly or through any Paying Agent (including an Issuer or a Guarantor acting as Paying Agent) as the Trustee may determine, to the Holders of Securities of such series of all sums due and to become due thereon in respect of principal, premium and Additional Amounts, if any, and interest, but such money need not be segregated from other funds except to the extent required by law.</w:t>
      </w:r>
    </w:p>
    <w:p>
      <w:pPr>
        <w:spacing w:after="0" w:line="17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The Issuers shall pay and indemnify the Trustee against any tax, fee or other charge imposed on or assessed against the cash or U.S. Government Obligations deposited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Securities of such series.</w:t>
      </w:r>
    </w:p>
    <w:p>
      <w:pPr>
        <w:spacing w:after="0" w:line="184"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to the contrary notwithstanding, the Trustee shall deliver or pay to the Issuers from time to time upon the request of the Issuers any money or U.S. Government Obligations held by it as provided in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which, in the opinion of a nationally recognized public accounting firm expressed in a written certification thereof delivered to the Trustee (which may be the opinion delivered under </w:t>
      </w:r>
      <w:r>
        <w:rPr>
          <w:rFonts w:ascii="Arial" w:cs="Arial" w:eastAsia="Arial" w:hAnsi="Arial"/>
          <w:sz w:val="18"/>
          <w:szCs w:val="18"/>
          <w:u w:val="single" w:color="auto"/>
          <w:color w:val="auto"/>
        </w:rPr>
        <w:t>Section 8.04(2)</w:t>
      </w:r>
      <w:r>
        <w:rPr>
          <w:rFonts w:ascii="Arial" w:cs="Arial" w:eastAsia="Arial" w:hAnsi="Arial"/>
          <w:sz w:val="18"/>
          <w:szCs w:val="18"/>
          <w:color w:val="auto"/>
        </w:rPr>
        <w:t>), are in excess of the amount thereof that would then be required to be deposited to effect an equivalent Legal Defeasance or Covenant Defeasance of the applicable series of Securities.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Repayment to Issuers</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Any money deposited with the Trustee or any Paying Agent, or then held by the Issuers, in trust for the payment of the principal of, premium and Additional Amounts, if any, or interest on any Security and remaining unclaimed for two years after such principal, premium and Additional Amounts, if any, or interest has become due and payable shall be paid to the Issuers on their request or (if then held by the Issuers) shall be discharged from such trust; and the Holder of such Security shall thereafter look only to the Issuers for payment thereof, and all liability of the Trustee or such Paying Agent with respect to such trust money, and all liability of the Issuers as trustee thereof, shall thereupon cease.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8.07.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the Trustee or Paying Agent is unable to apply any United States dollars or U.S. Government Obligations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8.03</w:t>
      </w:r>
      <w:r>
        <w:rPr>
          <w:rFonts w:ascii="Arial" w:cs="Arial" w:eastAsia="Arial" w:hAnsi="Arial"/>
          <w:sz w:val="16"/>
          <w:szCs w:val="16"/>
          <w:color w:val="auto"/>
        </w:rPr>
        <w:t>, as the case may be, by reason of any order or judgment of any court or governmental authority enjoining, restraining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prohibiting such application, then the Issuers’ obligations under this Indenture and the Securities of the applicable series shall be revived and reinstated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though no deposit had occurred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8.03</w:t>
      </w:r>
      <w:r>
        <w:rPr>
          <w:rFonts w:ascii="Arial" w:cs="Arial" w:eastAsia="Arial" w:hAnsi="Arial"/>
          <w:sz w:val="16"/>
          <w:szCs w:val="16"/>
          <w:color w:val="auto"/>
        </w:rPr>
        <w:t xml:space="preserve"> until such time as the Trustee or Paying Agent is permitted to apply all such money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8.03</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Issuers make any payment of principal of, premium and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if any, or interest on any Security following the reinstatement of their obligations, the Issuers shall be subrogated to the rights of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of such series to receive such payment from the money held by the Trustee or Paying Agent.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9.02</w:t>
      </w:r>
      <w:r>
        <w:rPr>
          <w:rFonts w:ascii="Arial" w:cs="Arial" w:eastAsia="Arial" w:hAnsi="Arial"/>
          <w:sz w:val="18"/>
          <w:szCs w:val="18"/>
          <w:color w:val="auto"/>
        </w:rPr>
        <w:t>, the Issuers, the Guarantors (only to the extent an amendment or supplement affects or relates to the Security Guarantees or this Indenture, and for the avoidance of doubt excluding any amendment or supplement the sole purpose of which is to add an additional Guarantor), the Trustee may amend or supplement this Indenture or the Securities of one or more series and any related Security Guarantee without the consent of any Holder:</w:t>
      </w:r>
    </w:p>
    <w:p>
      <w:pPr>
        <w:spacing w:after="0" w:line="79" w:lineRule="exact"/>
        <w:rPr>
          <w:sz w:val="20"/>
          <w:szCs w:val="20"/>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cure any ambiguity or omission or correct any defect or inconsistency;</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transfer, assign, mortgage or pledge any property to or with the Trustee, or to make such other provisions in regard to matters or questions arising under this Indenture, as shall not adversely affect the interests of any Holders of the Securities of such series in any material respect;</w:t>
      </w:r>
    </w:p>
    <w:p>
      <w:pPr>
        <w:spacing w:after="0" w:line="75"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to evidence the succession of another Person to an Issuer or any Guarantor and the assumption by any such successor of the covenants, agreements and obligations of such Issuer or Guarantor, as the case may be, under the Securities, the Security Guarantees or this Indenture, as described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surrender any right or power conferred upon the Issuers with respect to such series or to add further covenants, restrictions, conditions or provisions relating to the Issuers or the Guarantors for the protection of the Holders of any series of the Securities, and to add any additional defaults or Events of Default with respect to such series for the Issuers’ or any Guarantor’s failure to comply with any such further covenants, restrictions, conditions or provisions;</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modify or amend this Indenture (including any supplemental indenture) to make changes as are required for this Indenture to comply with the Trust Indenture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4" w:name="page55"/>
    <w:bookmarkEnd w:id="54"/>
    <w:p>
      <w:pPr>
        <w:ind w:left="440" w:right="100" w:firstLine="419"/>
        <w:spacing w:after="0" w:line="277"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Security Guarantees with respect to any or all of the Securities of such series or to release any Guarantor or Security Guarantee if at the time of such release such Guarantor is not otherwise required to be a Guarantor;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collateral with respect to any or all the Securities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issuance of Additional Securities in accordance with the terms of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Securities of such series;</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or separate Trustee with respect to the Securities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1200" w:hanging="34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2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conform the text of this Indenture, the Securities of any series, any related Security Guarantee or any security documents to the description of such Securities contained in the Issuers’ prospectus, prospectus supplement or similar document with respect to the offering of the Securities of such series to the extent such descriptions were intended to be a verbatim recitation of a provision in, this Indenture, such Securities, such Security Guarantee or such security documents;</w:t>
      </w:r>
    </w:p>
    <w:p>
      <w:pPr>
        <w:spacing w:after="0" w:line="78" w:lineRule="exact"/>
        <w:rPr>
          <w:rFonts w:ascii="Arial" w:cs="Arial" w:eastAsia="Arial" w:hAnsi="Arial"/>
          <w:sz w:val="18"/>
          <w:szCs w:val="18"/>
          <w:color w:val="auto"/>
        </w:rPr>
      </w:pPr>
    </w:p>
    <w:p>
      <w:pPr>
        <w:ind w:left="440" w:firstLine="419"/>
        <w:spacing w:after="0" w:line="311" w:lineRule="auto"/>
        <w:tabs>
          <w:tab w:leader="none" w:pos="120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make any amendment to the provisions of this Indenture relating to the transfer and legending of any Securities; provided, however, that (a) compliance with this Indenture as so amended would not result in such Securities being transferred in violation of the Securities Act or any other applicable securities law and (b) such amendment does not adversely affect the rights of Holders to transfer such Securities; or</w:t>
      </w:r>
    </w:p>
    <w:p>
      <w:pPr>
        <w:spacing w:after="0" w:line="40" w:lineRule="exact"/>
        <w:rPr>
          <w:rFonts w:ascii="Arial" w:cs="Arial" w:eastAsia="Arial" w:hAnsi="Arial"/>
          <w:sz w:val="16"/>
          <w:szCs w:val="16"/>
          <w:color w:val="auto"/>
        </w:rPr>
      </w:pPr>
    </w:p>
    <w:p>
      <w:pPr>
        <w:ind w:left="1200" w:hanging="34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to establish the form or terms of Securities of any series as permitted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Upon the request of the Issuers, and upon receipt by the Trustee of the documents described in </w:t>
      </w:r>
      <w:r>
        <w:rPr>
          <w:rFonts w:ascii="Arial" w:cs="Arial" w:eastAsia="Arial" w:hAnsi="Arial"/>
          <w:sz w:val="18"/>
          <w:szCs w:val="18"/>
          <w:u w:val="single" w:color="auto"/>
          <w:color w:val="auto"/>
        </w:rPr>
        <w:t>Section 7.02</w:t>
      </w:r>
      <w:r>
        <w:rPr>
          <w:rFonts w:ascii="Arial" w:cs="Arial" w:eastAsia="Arial" w:hAnsi="Arial"/>
          <w:sz w:val="18"/>
          <w:szCs w:val="18"/>
          <w:color w:val="auto"/>
        </w:rPr>
        <w:t>, the Trustee shall join with the Issuers and the Guarantors in the execution of any amended or supplemental indenture authorized or permitted by the terms of this Indenture and to make any further appropriate agreements and stipulations that may be therein contained, provided that the Trustee may in its discretion, but shall not be obligated to, enter into such amended or supplemental indenture that affect its own rights, duties or immunities under this Indenture or otherwise. The consent of the Holders is not necessary under this Indenture to approve the particular form of any proposed amendment. It is sufficient if such consent approves the substance of the proposed amendment.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 of Securities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 xml:space="preserve">Except as provided below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with respect to each series of Securities, the Issuers, any Guarantor (with respect to its Security Guarantee) and the Trustee may amend or supplement this Indenture, the Securities of one or more series and the Security Guarantees with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of the Holders of at least a majority in aggregate principal amount of the outstanding Securities of such series (including Additional Securities of such series, if any) then outstanding voting as a single class (including, without limitation, consents obtained in connection with a purchase of, or a tender offer or exchange offer for, or purchase of, the applicable series of Securities), and, subject to </w:t>
      </w:r>
      <w:r>
        <w:rPr>
          <w:rFonts w:ascii="Arial" w:cs="Arial" w:eastAsia="Arial" w:hAnsi="Arial"/>
          <w:sz w:val="17"/>
          <w:szCs w:val="17"/>
          <w:u w:val="single" w:color="auto"/>
          <w:color w:val="auto"/>
        </w:rPr>
        <w:t>Sections 6.04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any existing Default or Event of Default with respect to such series of Securities (other than a Default or Event of Default in the payment of the principal of, premium and Additional Amounts, if any, or interest on such Securities, except a payment default resulting from an acceleration that has been rescinded) or compliance in respect of a series of Securities with any provision of this Indenture, the Security Guarantees or such series of Securities may be waived with the consent of the Holders of a majority in aggregate principal amount of the then outstanding Securities of such series (including Additional Securities of such series, if any) voting as a single class (including consents obtained in connection with a tender offer or exchange offer for, or purchase of, the Securities of such series).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determine which Securities of such series are considered to be “outstanding” for the purposes of this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8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Upon the request of the Issuers, and upon the filing with the Trustee of evidence satisfactory to the Trustee of the consent of the Holders of Securities as aforesaid, and upon receipt by the Trustee of the documents described in </w:t>
      </w:r>
      <w:r>
        <w:rPr>
          <w:rFonts w:ascii="Arial" w:cs="Arial" w:eastAsia="Arial" w:hAnsi="Arial"/>
          <w:sz w:val="18"/>
          <w:szCs w:val="18"/>
          <w:u w:val="single" w:color="auto"/>
          <w:color w:val="auto"/>
        </w:rPr>
        <w:t>Section 7.02</w:t>
      </w:r>
      <w:r>
        <w:rPr>
          <w:rFonts w:ascii="Arial" w:cs="Arial" w:eastAsia="Arial" w:hAnsi="Arial"/>
          <w:sz w:val="18"/>
          <w:szCs w:val="18"/>
          <w:color w:val="auto"/>
        </w:rPr>
        <w:t>, the Trustee shall join with the Issuers in the execution of such amended or supplemental indenture unless such amended or supplemental indenture directly affect the Trustee’s own rights, duties or immunities under this Indenture or otherwise, in which case the Trustee may in its discretion, but shall not be obligated to, enter into such amended or supplemental indenture.</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of Securities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approve the particular form of any proposed amendment or waiver, but it shall be sufficient if such consent approves the substance thereof.</w:t>
      </w:r>
    </w:p>
    <w:p>
      <w:pPr>
        <w:spacing w:after="0" w:line="170"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 xml:space="preserve">After an amendment, supplement or waiver under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becomes effective, the Issuers shall deliver to the Holders of Securities affected thereby a notice briefly describing the amendment, supplement or waiver. Any failure of the Issuers to deliver such notice, or any defect therein, shall not, however, in any way impair or affect the validity of any such amended or supplemental indenture or waiver.</w:t>
      </w:r>
    </w:p>
    <w:p>
      <w:pPr>
        <w:spacing w:after="0" w:line="165" w:lineRule="exact"/>
        <w:rPr>
          <w:sz w:val="20"/>
          <w:szCs w:val="20"/>
          <w:color w:val="auto"/>
        </w:rPr>
      </w:pPr>
    </w:p>
    <w:p>
      <w:pPr>
        <w:ind w:right="120" w:firstLine="1983"/>
        <w:spacing w:after="0" w:line="277" w:lineRule="auto"/>
        <w:rPr>
          <w:sz w:val="20"/>
          <w:szCs w:val="20"/>
          <w:color w:val="auto"/>
        </w:rPr>
      </w:pPr>
      <w:r>
        <w:rPr>
          <w:rFonts w:ascii="Arial" w:cs="Arial" w:eastAsia="Arial" w:hAnsi="Arial"/>
          <w:sz w:val="18"/>
          <w:szCs w:val="18"/>
          <w:color w:val="auto"/>
        </w:rPr>
        <w:t xml:space="preserve">Without the consent of each Holder of Securities affected thereby, an amendment or waiver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may not (with respect to any Securities held by a non-consenting Holder):</w:t>
      </w:r>
    </w:p>
    <w:p>
      <w:pPr>
        <w:spacing w:after="0" w:line="62" w:lineRule="exact"/>
        <w:rPr>
          <w:sz w:val="20"/>
          <w:szCs w:val="20"/>
          <w:color w:val="auto"/>
        </w:rPr>
      </w:pPr>
    </w:p>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such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of, or the rate of interest on, any such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any premium, if any, or Redemption Price payable upon the redemption of any such Security;</w:t>
      </w:r>
    </w:p>
    <w:p>
      <w:pPr>
        <w:spacing w:after="0" w:line="117" w:lineRule="exact"/>
        <w:rPr>
          <w:rFonts w:ascii="Arial" w:cs="Arial" w:eastAsia="Arial" w:hAnsi="Arial"/>
          <w:sz w:val="18"/>
          <w:szCs w:val="18"/>
          <w:color w:val="auto"/>
        </w:rPr>
      </w:pPr>
    </w:p>
    <w:p>
      <w:pPr>
        <w:ind w:left="440" w:right="80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Issue Discount Security that would be due and payable upon a declaration of acceleration of the Maturity thereof;</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any place of payment where, or the coin or currency in which, the principal of, premium, if any, or interest on any such Security is payable;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6" w:name="page57"/>
    <w:bookmarkEnd w:id="56"/>
    <w:p>
      <w:pPr>
        <w:ind w:left="440" w:right="20" w:firstLine="419"/>
        <w:spacing w:after="0" w:line="263"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contractual right expressly set forth in this Indenture or any Security of any Holder to institute suit for the enforcement of any payment of principal of, premium, if any, or interest or Additional Amounts, if any, on such Security on or after the Stated Maturity or Redemption Date of any such Security;</w:t>
      </w:r>
    </w:p>
    <w:p>
      <w:pPr>
        <w:spacing w:after="0" w:line="75" w:lineRule="exact"/>
        <w:rPr>
          <w:rFonts w:ascii="Arial" w:cs="Arial" w:eastAsia="Arial" w:hAnsi="Arial"/>
          <w:sz w:val="18"/>
          <w:szCs w:val="18"/>
          <w:color w:val="auto"/>
        </w:rPr>
      </w:pPr>
    </w:p>
    <w:p>
      <w:pPr>
        <w:ind w:left="440" w:firstLine="419"/>
        <w:spacing w:after="0" w:line="308" w:lineRule="auto"/>
        <w:tabs>
          <w:tab w:leader="none" w:pos="11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reduce the percentage in aggregate principal amount of the outstanding Securities of any series, the consent of whose Holders is required to approve any such modification or amendment or for any waiver of compliance with, or Defaults under this Indenture;</w:t>
      </w:r>
    </w:p>
    <w:p>
      <w:pPr>
        <w:spacing w:after="0" w:line="38" w:lineRule="exact"/>
        <w:rPr>
          <w:rFonts w:ascii="Arial" w:cs="Arial" w:eastAsia="Arial" w:hAnsi="Arial"/>
          <w:sz w:val="17"/>
          <w:szCs w:val="17"/>
          <w:color w:val="auto"/>
        </w:rPr>
      </w:pPr>
    </w:p>
    <w:p>
      <w:pPr>
        <w:ind w:left="440" w:right="160" w:firstLine="419"/>
        <w:spacing w:after="0" w:line="342" w:lineRule="auto"/>
        <w:tabs>
          <w:tab w:leader="none" w:pos="11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modify any of the provisions in </w:t>
      </w:r>
      <w:r>
        <w:rPr>
          <w:rFonts w:ascii="Arial" w:cs="Arial" w:eastAsia="Arial" w:hAnsi="Arial"/>
          <w:sz w:val="16"/>
          <w:szCs w:val="16"/>
          <w:u w:val="single" w:color="auto"/>
          <w:color w:val="auto"/>
        </w:rPr>
        <w:t>Sections 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6.05</w:t>
      </w:r>
      <w:r>
        <w:rPr>
          <w:rFonts w:ascii="Arial" w:cs="Arial" w:eastAsia="Arial" w:hAnsi="Arial"/>
          <w:sz w:val="16"/>
          <w:szCs w:val="16"/>
          <w:color w:val="auto"/>
        </w:rPr>
        <w:t>, except to increase any percentage vote required or to provide that certain other provisions of this Indenture may not be modified or waived without the consent of the Holder of each Security affected thereby; or</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waiver, supplement or amendment becomes effective. An amendment, supplement or waiver becomes effective in accordance with its terms and thereafter binds every Holder.</w:t>
      </w:r>
    </w:p>
    <w:p>
      <w:pPr>
        <w:spacing w:after="0" w:line="161"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The Issuers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Issuers in exchange for all Securities of a series may issue and the Trustee shall, upon receipt of an Authentication Order, authenticate new Securities of such series that reflect the amendment, supplement or waiver.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Failure to make the appropriate notation or issue a new Security shall not affect the validity and effect of such amendment, supplement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57" w:name="page58"/>
    <w:bookmarkEnd w:id="5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93" w:lineRule="auto"/>
        <w:rPr>
          <w:sz w:val="20"/>
          <w:szCs w:val="20"/>
          <w:color w:val="auto"/>
        </w:rPr>
      </w:pPr>
      <w:r>
        <w:rPr>
          <w:rFonts w:ascii="Arial" w:cs="Arial" w:eastAsia="Arial" w:hAnsi="Arial"/>
          <w:sz w:val="16"/>
          <w:szCs w:val="16"/>
          <w:color w:val="auto"/>
        </w:rPr>
        <w:t xml:space="preserve">The Trustee shall sign any amendment, supplement or waiver authorized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if the amendment or supplement does not adversely affect the rights, duties, liabilities or immunities of the Trustee. The Issuers may not sign an amendment, supplement or waiver until their Boards approve it. In executing any amendment, supplement or waiver,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shall be fully protected in relying upon, in addition to the documents required by </w:t>
      </w:r>
      <w:r>
        <w:rPr>
          <w:rFonts w:ascii="Arial" w:cs="Arial" w:eastAsia="Arial" w:hAnsi="Arial"/>
          <w:sz w:val="16"/>
          <w:szCs w:val="16"/>
          <w:u w:val="single" w:color="auto"/>
          <w:color w:val="auto"/>
        </w:rPr>
        <w:t>Section 13.04</w:t>
      </w:r>
      <w:r>
        <w:rPr>
          <w:rFonts w:ascii="Arial" w:cs="Arial" w:eastAsia="Arial" w:hAnsi="Arial"/>
          <w:sz w:val="16"/>
          <w:szCs w:val="16"/>
          <w:color w:val="auto"/>
        </w:rPr>
        <w:t>, an Officer’s Certificate and an Opinion of Counsel stating that the execution of such amendment, supplement or waiver is authorized or permitted by this Indenture. Notwithstanding anything to the contrary in this Indenture, no Opinion of Counsel shall be required in respect of any supplemental indenture the sole purpose of which is to add additional guarantors.</w:t>
      </w:r>
    </w:p>
    <w:p>
      <w:pPr>
        <w:spacing w:after="0" w:line="38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10</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SECURITY GUARANTEES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Security Guarantee</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85" w:lineRule="auto"/>
        <w:rPr>
          <w:sz w:val="20"/>
          <w:szCs w:val="20"/>
          <w:color w:val="auto"/>
        </w:rPr>
      </w:pPr>
      <w:r>
        <w:rPr>
          <w:rFonts w:ascii="Arial" w:cs="Arial" w:eastAsia="Arial" w:hAnsi="Arial"/>
          <w:sz w:val="16"/>
          <w:szCs w:val="16"/>
          <w:color w:val="auto"/>
        </w:rPr>
        <w:t xml:space="preserve">Unless otherwise indicated for a particular series of Securities by an Officer’s Certificate, supplemental indenture or resolutions of the Issuers’ Boards, subject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from and after the Issue Date and upon the execution and delivery of (x) this Indenture or (y) in the case of any Person that becomes a Guarantor after the date hereof, any supplemental indenture to this Indenture, each of the Guarantors hereby, jointly and severally, unconditionally guarantees to each Holder of a Security authenticated and delivered by the Trustee and to the Trustee and its successors and assigns, irrespective of the validity and enforceability of this Indenture, the Securities or the obligations of the Issuers hereunder or thereunder, that:</w:t>
      </w:r>
    </w:p>
    <w:p>
      <w:pPr>
        <w:spacing w:after="0" w:line="2" w:lineRule="exact"/>
        <w:rPr>
          <w:sz w:val="20"/>
          <w:szCs w:val="20"/>
          <w:color w:val="auto"/>
        </w:rPr>
      </w:pPr>
    </w:p>
    <w:p>
      <w:pPr>
        <w:ind w:left="4" w:right="80" w:hanging="4"/>
        <w:spacing w:after="0" w:line="251"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of, premium, if any, or interest and Additional Amounts, if any, on the Securities shall be promptly paid in full when due, whether at Maturity, by acceleration, redemption or otherwise, and interest on the overdue principal of and interest on the Securities, if any, if lawful, and all other obligations of the Issuers to the Holders or the Trustee hereunder or thereunder shall be promptly paid in full or performed, all in accordance with the terms hereof and thereof; and (b) in case of any extension of time of payment or renewal of any Securities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98"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The Guarantors hereby agree that their obligations hereunder shall be unconditional, irrespective of the validity, regularity or enforceability of the Securities or this Indenture, the absence of any action to enforce the same, any waiver or consent by any Holder of the Securities with respect to any provisions hereof or thereof, the recovery of any judgment against any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an Issuer, any right to require a proceeding first against an Issuer, protest, notice and all demands whatsoever and covenants that this Security Guarantee shall not be discharged except by complete performance of the obligations contained in the Securities and this Indenture.</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4"/>
          </w:cols>
          <w:pgMar w:left="436" w:top="274" w:right="499" w:bottom="1440" w:gutter="0" w:footer="0" w:header="0"/>
        </w:sectPr>
      </w:pPr>
    </w:p>
    <w:bookmarkStart w:id="58" w:name="page59"/>
    <w:bookmarkEnd w:id="58"/>
    <w:p>
      <w:pPr>
        <w:ind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Guarantor also agrees to pay any and all costs and expenses (including reasonable attorneys’ fees) incurred by the Trustee or any Holder in enforcing any rights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the Issuers or the Guarantors, any amount paid either to the Trustee or such Holder, this Security Guarantee, to the extent theretofore discharged, shall be reinstated in full force and effect.</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for the purposes of this Security Guarantee, notwithstanding any stay, injunction or other prohibition preventing such acceleration in respect of the obligations guaranteed hereby, and (y) in the event of any declaration of acceleration of such obligations as provided in </w:t>
      </w:r>
      <w:r>
        <w:rPr>
          <w:rFonts w:ascii="Arial" w:cs="Arial" w:eastAsia="Arial" w:hAnsi="Arial"/>
          <w:sz w:val="18"/>
          <w:szCs w:val="18"/>
          <w:u w:val="single" w:color="auto"/>
          <w:color w:val="auto"/>
        </w:rPr>
        <w:t>Article 6</w:t>
      </w:r>
      <w:r>
        <w:rPr>
          <w:rFonts w:ascii="Arial" w:cs="Arial" w:eastAsia="Arial" w:hAnsi="Arial"/>
          <w:sz w:val="18"/>
          <w:szCs w:val="18"/>
          <w:color w:val="auto"/>
        </w:rPr>
        <w:t>, such obligations (whether or not due and payable) shall forthwith become due and payable by the Guarantors for the purpose of this Security Guarantee. The Guarantors shall have the right to seek contribution from any non-paying Guarantor so long as the exercise of such right does not impair the rights of the Holders under the Security Guarantees.</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Each Security Guarantee shall remain in full force and effect and continue to be effective should any petition be filed by or against an Issuer for liquidation or reorganization, should such Issuer become insolvent or make an assignment for the benefit of creditors or should a receiver or trustee be appointed for all or any significant part of such Issuer’s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or Security Guarantees,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7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In case any provision of any Security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The Security Guarantee issued by any Guarantor shall be a general senior obligation of such Guarantor and shall be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with all existing and future senior indebtedness of such Guarantor.</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Each payment to be made by a Guarantor in respect of its Security Guarantee shall be made without set-off, counterclaim, reduction or diminution of any kind or nature.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Execution and Delivery</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 xml:space="preserve">To evidence its Security Guarantee set forth in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each Guarantor (x) has executed this Indenture or (y) in the case of any Person that becomes a Guarantor after the date hereof, shall execute the supplemental indenture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9" w:name="page60"/>
    <w:bookmarkEnd w:id="59"/>
    <w:p>
      <w:pPr>
        <w:ind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execution and delivery of (x) this Indenture or (y) in the case of any Person that becomes a Guarantor after the date hereof, any supplemental indenture to this Indenture, each Guarantor who executes such supplemental indenture agrees that its Security Guarantee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remain in full force and effect notwithstanding the absence of the endorsement of any notation of such Security Guarantee on the Securities.</w:t>
      </w:r>
    </w:p>
    <w:p>
      <w:pPr>
        <w:spacing w:after="0" w:line="187"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If an Officer whose signature is on a supplemental indenture to this Indenture no longer holds that office at the time the Trustee authenticates the Security, the Security Guarantee shall be valid nevertheless.</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delivery of any Security by the Trustee, after the authentication thereof hereunder, shall constitute due delivery of the Security Guarantee set forth in this Indenture on behalf of the Guarantors.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Subrogation.</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of Securities against the Issuers in respect of any amounts paid by any Guarantor pursuant to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Issuers under this Indenture or the Securities shall have been paid in full.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Benefits Acknowledged</w:t>
      </w:r>
      <w:r>
        <w:rPr>
          <w:rFonts w:ascii="Arial" w:cs="Arial" w:eastAsia="Arial" w:hAnsi="Arial"/>
          <w:sz w:val="18"/>
          <w:szCs w:val="18"/>
          <w:color w:val="auto"/>
        </w:rPr>
        <w:t>.</w:t>
      </w:r>
    </w:p>
    <w:p>
      <w:pPr>
        <w:spacing w:after="0" w:line="225" w:lineRule="exact"/>
        <w:rPr>
          <w:sz w:val="20"/>
          <w:szCs w:val="20"/>
          <w:color w:val="auto"/>
        </w:rPr>
      </w:pPr>
    </w:p>
    <w:p>
      <w:pPr>
        <w:jc w:val="both"/>
        <w:ind w:right="80" w:firstLine="991"/>
        <w:spacing w:after="0" w:line="259" w:lineRule="auto"/>
        <w:rPr>
          <w:sz w:val="20"/>
          <w:szCs w:val="20"/>
          <w:color w:val="auto"/>
        </w:rPr>
      </w:pPr>
      <w:r>
        <w:rPr>
          <w:rFonts w:ascii="Arial" w:cs="Arial" w:eastAsia="Arial" w:hAnsi="Arial"/>
          <w:sz w:val="18"/>
          <w:szCs w:val="18"/>
          <w:color w:val="auto"/>
        </w:rPr>
        <w:t>Upon the execution and delivery of (x) this Indenture or (y) in the case of any Person that becomes a Guarantor after the date hereof, any supplemental indenture to this Indenture, each Guarantor acknowledges that it will receive direct and indirect benefits from the financing arrangements contemplated by this Indenture and that the guarantee and waivers made by it pursuant to its Security Guarantee are knowingly made in contemplation of such benefits.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Release of Security Guarantees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Unless otherwise indicated for a particular series of Securities by an Officer’s Certificate, supplemental indenture or resolutions of the Issuers’ Boards, each Security Guarantee of a series of Securities by a Guarantor shall provide by its terms that its Obligations under this Indenture with respect to such series and such Security Guarantee shall be automatically and unconditionally released and discharged, and no further action by such Guarantor, the Issuers or the Trustee is required for the release of such Guarantor’s Security Guarantee, upon the Issuers exercising the legal defeasance option or covenant defeasance option with respect to such series in accordance with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the Issuers’ obligations under this Indenture with respect to such series being discharged in accordance with the terms of this Indenture.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60" w:name="page61"/>
    <w:bookmarkEnd w:id="6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Indenture shall upon the Issuers’ request cease to be of further effect with respect to any series of Securities specified by the Issuers and any related Security Guarantees (except as to any surviving rights of registration of transfer or exchange of Securities of any series herein expressly provided for), and the Trustee, at the expense of the Issuers, shall execute proper instruments acknowledging satisfaction and discharge of this Indenture as to such series of Securities, when:</w:t>
      </w:r>
    </w:p>
    <w:p>
      <w:pPr>
        <w:spacing w:after="0" w:line="79" w:lineRule="exact"/>
        <w:rPr>
          <w:sz w:val="20"/>
          <w:szCs w:val="20"/>
          <w:color w:val="auto"/>
        </w:rPr>
      </w:pPr>
    </w:p>
    <w:p>
      <w:pPr>
        <w:ind w:left="440" w:right="40" w:firstLine="1371"/>
        <w:spacing w:after="0" w:line="301" w:lineRule="auto"/>
        <w:tabs>
          <w:tab w:leader="none" w:pos="207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either (A) all Securities of such series theretofore authenticated and delivered (other than (i) Securities which have been mutilated, destroyed, lost or stolen and which have been replaced or paid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(ii) Securities of such series for whose payment money has theretofore been deposited in trust or segregated and held in trust by the Issuers or the Guarantors and thereafter repaid to the Issuers or the Guarantors or discharged from such trust), have been delivered to the Trustee for cancellation; or</w:t>
      </w:r>
    </w:p>
    <w:p>
      <w:pPr>
        <w:spacing w:after="0" w:line="49" w:lineRule="exact"/>
        <w:rPr>
          <w:rFonts w:ascii="Arial" w:cs="Arial" w:eastAsia="Arial" w:hAnsi="Arial"/>
          <w:sz w:val="16"/>
          <w:szCs w:val="16"/>
          <w:color w:val="auto"/>
        </w:rPr>
      </w:pPr>
    </w:p>
    <w:p>
      <w:pPr>
        <w:ind w:left="2100" w:hanging="289"/>
        <w:spacing w:after="0"/>
        <w:tabs>
          <w:tab w:leader="none" w:pos="2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117" w:lineRule="exact"/>
        <w:rPr>
          <w:sz w:val="20"/>
          <w:szCs w:val="20"/>
          <w:color w:val="auto"/>
        </w:rPr>
      </w:pPr>
    </w:p>
    <w:p>
      <w:pPr>
        <w:ind w:left="2020" w:hanging="209"/>
        <w:spacing w:after="0"/>
        <w:tabs>
          <w:tab w:leader="none" w:pos="2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become due and payable by reason of the making of a notice of redemption or otherwise; or</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40" w:firstLine="391"/>
        <w:spacing w:after="0" w:line="277" w:lineRule="auto"/>
        <w:tabs>
          <w:tab w:leader="none" w:pos="2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Issuers;</w:t>
      </w:r>
    </w:p>
    <w:p>
      <w:pPr>
        <w:spacing w:after="0" w:line="62" w:lineRule="exact"/>
        <w:rPr>
          <w:sz w:val="20"/>
          <w:szCs w:val="20"/>
          <w:color w:val="auto"/>
        </w:rPr>
      </w:pPr>
    </w:p>
    <w:p>
      <w:pPr>
        <w:ind w:left="1420" w:right="80"/>
        <w:spacing w:after="0" w:line="286" w:lineRule="auto"/>
        <w:rPr>
          <w:sz w:val="20"/>
          <w:szCs w:val="20"/>
          <w:color w:val="auto"/>
        </w:rPr>
      </w:pPr>
      <w:r>
        <w:rPr>
          <w:rFonts w:ascii="Arial" w:cs="Arial" w:eastAsia="Arial" w:hAnsi="Arial"/>
          <w:sz w:val="16"/>
          <w:szCs w:val="16"/>
          <w:color w:val="auto"/>
        </w:rPr>
        <w:t xml:space="preserve">and the Issuers or any Guarantor, in the case of subclause (i), (ii) or (iii) of clause (B) above, have (x) irrevocably deposited or caused to be deposited with the Trustee U.S. dollars, or U.S. Government Obligations, or both, in trust solely for the benefit of the Holders of the Securities of such series, cash in U.S. dollars, U.S. Government Obligations, or a combination thereof, in an amount sufficient to pay and discharge the entire indebtedness on the Securities of such series not theretofore delivered to the Trustee for cancellation, for principal, premium, if any, Additional Amounts, if any, reasonably determinable by the Issuers (in the exercise of their sole and absolute discretion) and interest to the date of such deposit (in the case of Securities which have become due and payable) or to the Stated Maturity or Redemption Date, as the case may be, and (y) delivered irrevocable instructions to the Trustee to apply the deposited money toward the payment of such series of Securities at Maturity or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that upon any redemption that occurs prior to a Par Call Date, the amount deposited shall be sufficient for purposes of this Indenture to the extent that an amount is deposited with the Trustee equal to the Redemption Price calculated as of the date of the notice of redemption, with any deficit as of the date of redemption (any such amount, the “</w:t>
      </w:r>
      <w:r>
        <w:rPr>
          <w:rFonts w:ascii="Arial" w:cs="Arial" w:eastAsia="Arial" w:hAnsi="Arial"/>
          <w:sz w:val="16"/>
          <w:szCs w:val="16"/>
          <w:u w:val="single" w:color="auto"/>
          <w:color w:val="auto"/>
        </w:rPr>
        <w:t>Redemption Price Deficit</w:t>
      </w:r>
      <w:r>
        <w:rPr>
          <w:rFonts w:ascii="Arial" w:cs="Arial" w:eastAsia="Arial" w:hAnsi="Arial"/>
          <w:sz w:val="16"/>
          <w:szCs w:val="16"/>
          <w:color w:val="auto"/>
        </w:rPr>
        <w:t>”) only required to be deposited with the Trustee on or prior to the date of redemption. Any Redemption Price Deficit shall be set forth in an Officer’s Certificate delivered to the Trustee simultaneously with the deposit of such Redemption Price Deficit that confirms that such Redemption Price Deficit shall be applied toward such redemption;</w:t>
      </w:r>
    </w:p>
    <w:p>
      <w:pPr>
        <w:spacing w:after="0" w:line="6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(2) the Issuers have paid or caused to be paid all other sums payable hereunder by the Issuers with respect to such series of</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and</w:t>
      </w:r>
    </w:p>
    <w:p>
      <w:pPr>
        <w:spacing w:after="0" w:line="103" w:lineRule="exact"/>
        <w:rPr>
          <w:sz w:val="20"/>
          <w:szCs w:val="20"/>
          <w:color w:val="auto"/>
        </w:rPr>
      </w:pPr>
    </w:p>
    <w:p>
      <w:pPr>
        <w:ind w:left="440" w:right="40" w:firstLine="1371"/>
        <w:spacing w:after="0" w:line="342" w:lineRule="auto"/>
        <w:tabs>
          <w:tab w:leader="none" w:pos="207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Issuers have delivered to the Trustee an Officer’s Certificate and an Opinion of Counsel, each stating that all conditions precedent herein provided for relating to the satisfaction and discharge of this Indenture as to such series of Securities have been complied with.</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61" w:name="page62"/>
    <w:bookmarkEnd w:id="61"/>
    <w:p>
      <w:pPr>
        <w:ind w:right="1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there are outstanding Securities of two or more series hereunder, the Trustee shall be required to execute an instrument acknowledging satisfaction and discharge of this Indenture only if requested to do so with respect to the Securities of such series to which it is Trustee and if the other conditions thereto are met. In the event there are two or more Trustees with respect to a series of Securities hereunder, then the effectiveness of any such instrument shall be conditioned upon receipt of such instruments from all Trustees with respect to the applicable series of Securities hereunder.</w:t>
      </w:r>
    </w:p>
    <w:p>
      <w:pPr>
        <w:spacing w:after="0" w:line="18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Notwithstanding the satisfaction and discharge of this Indenture, the obligations of the Issuers to the Trustee under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and, if money shall have been deposited with the Trustee pursuant to subclause (B)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the obligations of the Trustee under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shall survive.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96"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all money and U.S. Government Obligations deposited with the Trustee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be held in trust and applied by it, in accordance with the provisions of the Securities and this Indenture, to the payment, either directly or through any Paying Agent (including the Issuers acting as their own Paying Agent) as the Trustee may determine, to the Persons entitled thereto as set forth in the Registrar, of the principal, premium and Additional Amounts, if any, and interest for whose payment such money has been deposited with the Trustee; but such money need not be segregated from other funds except to the extent required by law.</w:t>
      </w:r>
    </w:p>
    <w:p>
      <w:pPr>
        <w:spacing w:after="0" w:line="16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by reason of any legal proceeding or by reason of any order or judgment of any court or governmental authority enjoining, restraining or otherwise prohibiting such application, any Issuer’s and any Guarantor’s obligations under this Indenture and such series of Securities shall be revived and reinstated as though no deposit had occurred pursuant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Issuers have made any payment of principal of, premium or interest on any Securities of such series because of the reinstatement of its obligations, the Issuers shall be subrogated to the rights of the Holders of such Securities to receive such payment from the money or U.S. Government Obligations held by the Trustee or Paying Agent.</w:t>
      </w:r>
    </w:p>
    <w:p>
      <w:pPr>
        <w:spacing w:after="0" w:line="39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12</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any provision of this Indenture limits, qualifies or conflicts with the duties imposed by Trust Indenture Act Section 318(c), the imposed duties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Any notice or communication by an Issuer, any Guarantor or the Trustee to the others is duly given if in writing and delivered in person or mailed by first-class mail (registered or certified, return receipt requested), fax or overnight air courier guaranteeing next day delivery, to the others’ address, or given electronically:</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an Issuer and/or any Guarantor:</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 Dell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Fax No.: (512) 283-0544</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Christopher Garcia</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Email: Christopher.A.Garcia@dell.com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as Trustee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601 Travis Street, 16th Floor</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Fax No.: (713) 483-6954</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Corporate Trust Administration</w:t>
      </w:r>
    </w:p>
    <w:p>
      <w:pPr>
        <w:spacing w:after="0" w:line="21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Any Issuer, any Guarantor or the Trustee, by notice to the others, may designate additional or different addresses for subsequent notices or communications.</w:t>
      </w:r>
    </w:p>
    <w:p>
      <w:pPr>
        <w:spacing w:after="0" w:line="170"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acknowledged, if faxed; and the next Business Day after timely delivery to the courier, if sent by overnight air courier guaranteeing next day delivery, and at the time sent, if given electronically;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or communication delivered to the Trustee shall be deemed effective upon actual receipt thereof.</w:t>
      </w:r>
    </w:p>
    <w:p>
      <w:pPr>
        <w:spacing w:after="0" w:line="157"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Any notice or communication to a Holder shall be mailed by first-class mail, certified or registered, return receipt requested, or by overnight air courier guaranteeing next day delivery to its address shown on the register kept by the Registrar.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 Notwithstanding anything to the contrary contained herein, as long as any series of Securities are in the form of a Global Security, notice to the Holders of such series of Securities may be made electronically in accordance with procedures of the Depositary for such Security.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3" w:name="page64"/>
    <w:bookmarkEnd w:id="63"/>
    <w:p>
      <w:pPr>
        <w:ind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 Issuer delivers a notice or communication to Holders, it shall deliver a copy to the Trustee at the same time.</w:t>
      </w:r>
    </w:p>
    <w:p>
      <w:pPr>
        <w:spacing w:after="0" w:line="225"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The Trustee shall have the right to accept and act upon instructions, including funds transfer instructions (“Instructions”) given pursuant to this Indenture and delivered using Electronic Means; provided, however, that the Issuers and/or the Guarantors, as applicable, shall provide to the Trustee an incumbency certificate listing officers with the authority to provide such Instructions (“Authorized Officers”) and containing specimen signatures of such Authorized Officers, which incumbency certificate shall be amended by the Issuers and/or the Guarantors, as applicable, whenever a person is to be added or deleted from the listing. If the Issuers and/or the Guarantors, as applicable, elects to give the Trustee Instructions using Electronic Means and the Trustee in its discretion elects to act upon such Instructions, the Trustee’s understanding of such Instructions shall be deemed controlling. The Issuers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Issuers and the Guarantors shall be responsible for ensuring that only Authorized Officers transmit such Instructions to the Trustee and that the Issuers, the Guarantors and all Authorized Officers are solely responsible to safeguard the use and confidentiality of applicable user and authorization codes, passwords and/or authentication keys upon receipt by the Issuers and/or the Guarantors,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Issuers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Issuers and/or the Guarantors,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Communication by Holders of Securities with Other Holders of Securities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Holders of Securities of any series may communicate pursuant to Trust Indenture Act Section 312(b) with other Holders of such series of Securities or other series of Securities with respect to their rights under this Indenture or such series of Securities or all Securities. The Issuers, the Trustee, the Registrar and anyone else shall have the protection of Trust Indenture Act Section 312(c).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Upon any request or application by an Issuer or any of the Guarantors to the Trustee to take any action under this Indenture, such Issuer or such Guarantor, as the case may be, shall furnish to the Trustee:</w:t>
      </w:r>
    </w:p>
    <w:p>
      <w:pPr>
        <w:spacing w:after="0" w:line="62" w:lineRule="exact"/>
        <w:rPr>
          <w:sz w:val="20"/>
          <w:szCs w:val="20"/>
          <w:color w:val="auto"/>
        </w:rPr>
      </w:pPr>
    </w:p>
    <w:p>
      <w:pPr>
        <w:ind w:left="440" w:right="100" w:firstLine="419"/>
        <w:spacing w:after="0" w:line="263"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w:t>
      </w:r>
      <w:r>
        <w:rPr>
          <w:rFonts w:ascii="Arial" w:cs="Arial" w:eastAsia="Arial" w:hAnsi="Arial"/>
          <w:sz w:val="18"/>
          <w:szCs w:val="18"/>
          <w:u w:val="single" w:color="auto"/>
          <w:color w:val="auto"/>
        </w:rPr>
        <w:t>Section 13.05</w:t>
      </w:r>
      <w:r>
        <w:rPr>
          <w:rFonts w:ascii="Arial" w:cs="Arial" w:eastAsia="Arial" w:hAnsi="Arial"/>
          <w:sz w:val="18"/>
          <w:szCs w:val="18"/>
          <w:color w:val="auto"/>
        </w:rPr>
        <w:t>),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440" w:right="380" w:firstLine="419"/>
        <w:spacing w:after="0" w:line="308" w:lineRule="auto"/>
        <w:tabs>
          <w:tab w:leader="none" w:pos="1118"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An Opinion of Counsel in form and substance reasonably satisfactory to the Trustee (which shall include the statements set forth in </w:t>
      </w:r>
      <w:r>
        <w:rPr>
          <w:rFonts w:ascii="Arial" w:cs="Arial" w:eastAsia="Arial" w:hAnsi="Arial"/>
          <w:sz w:val="17"/>
          <w:szCs w:val="17"/>
          <w:u w:val="single" w:color="auto"/>
          <w:color w:val="auto"/>
        </w:rPr>
        <w:t>Section 13.05</w:t>
      </w:r>
      <w:r>
        <w:rPr>
          <w:rFonts w:ascii="Arial" w:cs="Arial" w:eastAsia="Arial" w:hAnsi="Arial"/>
          <w:sz w:val="17"/>
          <w:szCs w:val="17"/>
          <w:color w:val="auto"/>
        </w:rPr>
        <w:t>) stating that, in the opinion of such counsel, all such conditions precedent and covenants have been satisfied.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Each certificate or opinion with respect to compliance with a condition or covenant provided for in this Indenture (other than a certificate provided pursuant to </w:t>
      </w:r>
      <w:r>
        <w:rPr>
          <w:rFonts w:ascii="Arial" w:cs="Arial" w:eastAsia="Arial" w:hAnsi="Arial"/>
          <w:sz w:val="18"/>
          <w:szCs w:val="18"/>
          <w:u w:val="single" w:color="auto"/>
          <w:color w:val="auto"/>
        </w:rPr>
        <w:t>Section 4.04</w:t>
      </w:r>
      <w:r>
        <w:rPr>
          <w:rFonts w:ascii="Arial" w:cs="Arial" w:eastAsia="Arial" w:hAnsi="Arial"/>
          <w:sz w:val="18"/>
          <w:szCs w:val="18"/>
          <w:color w:val="auto"/>
        </w:rPr>
        <w:t>) and shall include:</w:t>
      </w:r>
    </w:p>
    <w:p>
      <w:pPr>
        <w:spacing w:after="0" w:line="62" w:lineRule="exact"/>
        <w:rPr>
          <w:sz w:val="20"/>
          <w:szCs w:val="20"/>
          <w:color w:val="auto"/>
        </w:rPr>
      </w:pPr>
    </w:p>
    <w:p>
      <w:pPr>
        <w:ind w:left="1100" w:hanging="241"/>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No Personal Liability of Directors, Officers, Employees and Stockholders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257" w:lineRule="auto"/>
        <w:rPr>
          <w:sz w:val="20"/>
          <w:szCs w:val="20"/>
          <w:color w:val="auto"/>
        </w:rPr>
      </w:pPr>
      <w:r>
        <w:rPr>
          <w:rFonts w:ascii="Arial" w:cs="Arial" w:eastAsia="Arial" w:hAnsi="Arial"/>
          <w:sz w:val="18"/>
          <w:szCs w:val="18"/>
          <w:color w:val="auto"/>
        </w:rPr>
        <w:t>No director, manager, officer, employee, incorporator, member, partner or stockholder of an Issuer or any Guarantor or any of their parent companies or entities (other than such Issuer in respect of the Securities and each Guarantor in respect of its Security Guarantee) shall have any liability for any obligations of the Issuers or the Guarantors under the Securities, the Security Guarantees or this Indenture or for any claim based on, in respect of, or by reason of such obligations or their creation. Each Holder by accepting Securities waives and releases all such liability. The waiver and release are part of the consideration for issuance of the Securities.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40" w:top="274" w:right="51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13.08.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THIS INDENTURE, THE SECURITIES AND ANY SECURITIES GUARANTEE WILL BE GOVERNED BY AND CONSTRUED IN ACCORDANCE WITH THE LAWS OF THE STATE OF NEW YORK. </w:t>
      </w:r>
      <w:r>
        <w:rPr>
          <w:rFonts w:ascii="Arial" w:cs="Arial" w:eastAsia="Arial" w:hAnsi="Arial"/>
          <w:sz w:val="18"/>
          <w:szCs w:val="18"/>
          <w:b w:val="1"/>
          <w:bCs w:val="1"/>
          <w:color w:val="auto"/>
        </w:rPr>
        <w:t>Each of the parties hereto hereby irrevocably submits to the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of any New York State court sitting in the Borough of Manhattan in the City of New York or any federal court sitting in the Borough of Manhattan in the City of New York in respect of any suit, action or proceeding arising out of or relating to this Indenture, any Security Guarantee and the Securities, and irrevocably accepts for itself and in respect of its property, generally and unconditionally, jurisdiction of the aforesaid courts.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EACH OF THE ISSUERS, THE GUARANTORS, THE TRUSTEE, AND EACH HOLDER OF A SECURITY BY ITS ACCEPTANCE THEREOF, HEREBY IRREVOCABLY WAIVES, TO THE FULLEST EXTENT PERMITTED BY APPLICABLE LAW, ANY AND ALL RIGHT TO TRIAL BY JURY IN ANY LEGAL PROCEEDING ARISING OUT OF OR RELATING TO THIS INDENTURE, THE SECURITIES OR THE TRANSACTIONS CONTEMPLATED HEREBY.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epidemics or pandemics, accidents, acts of war or terrorism, civil or military disturbances, nuclear or natural catastrophes or acts of God, and interruptions, loss or malfunctions of utilities, communications or computer (software or hardware) services.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Foreign Account Tax Compliance Act (FATCA)</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In order to comply with applicable tax laws, rules and regulations (inclusive of directives, guidelines and interpretations promulgated by competent authorities) in effect from time to time (“</w:t>
      </w: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that a foreign financial institution, issuer, trustee, paying agent, holder or other institution is or has agreed to be subject to related to this Indenture, the Issuers agree (i) to use commercially reasonable efforts to provide to the Trustee sufficient information about Holders or other applicable parties and/or transactions related to this Indenture (including any modification to the terms of such transactions) so that the Trustee can determine whether it has tax related obligations under Applicable Law and (ii) that the Trustee shall be entitled to make any withholding or deduction from payments under this Indenture to the extent necessary to comply with Applicable Law for which the Trustee shall not have any liability. The terms of this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shall survive the termination of this Indenture.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This Indenture may not be used to interpret any other indenture, loan or debt agreement of Parent, Denali Intermediate, Dell and their respective Subsidiaries or of any other Person. Any such indenture, loan or debt agreement may not be used to interpret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13.13.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All agreements of the Issuers in this Indenture and the Securities shall bind their respective successors. All agreements of the Trustee in this Indenture shall bind each of their respective successors. All agreements of each Guarantor in this Indenture shall bind its successors, except as otherwise provided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Severability.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The Table of Contents, Cross 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13.19. </w:t>
      </w:r>
      <w:r>
        <w:rPr>
          <w:rFonts w:ascii="Arial" w:cs="Arial" w:eastAsia="Arial" w:hAnsi="Arial"/>
          <w:sz w:val="18"/>
          <w:szCs w:val="18"/>
          <w:u w:val="single" w:color="auto"/>
          <w:color w:val="auto"/>
        </w:rPr>
        <w:t>No Adverse Interpretation of Other Agreement</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Issuers or any Guarantor or of any other Person. Any such indenture, loan or debt agreement may not be used to interpret this Indenture.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67" w:name="page68"/>
    <w:bookmarkEnd w:id="6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DELL INTERNATIONAL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Assistant Secretary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Assistant Secretary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DELL TECHNOLOGIES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Corporate Securities and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Finance Counsel and Assistant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DENALI INTERMEDIATE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Assistant Secretary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DELL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Assistant Secretary</w:t>
      </w: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920"/>
          </w:cols>
          <w:pgMar w:left="1440" w:top="274" w:right="5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 TRUST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COMPANY, N.A., 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 M. Dolezal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ectPr>
          <w:pgSz w:w="11900" w:h="16838" w:orient="portrait"/>
          <w:cols w:equalWidth="0" w:num="1">
            <w:col w:w="9200"/>
          </w:cols>
          <w:pgMar w:left="1440" w:top="274" w:right="12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[__________], among [__________________]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Guaranteeing Subsidiary</w:t>
      </w:r>
      <w:r>
        <w:rPr>
          <w:rFonts w:ascii="Arial" w:cs="Arial" w:eastAsia="Arial" w:hAnsi="Arial"/>
          <w:sz w:val="18"/>
          <w:szCs w:val="18"/>
          <w:color w:val="auto"/>
        </w:rPr>
        <w:t>”) and The Bank of New York Mellon Trust Company,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80" w:firstLine="991"/>
        <w:spacing w:after="0" w:line="291" w:lineRule="auto"/>
        <w:rPr>
          <w:sz w:val="20"/>
          <w:szCs w:val="20"/>
          <w:color w:val="auto"/>
        </w:rPr>
      </w:pPr>
      <w:r>
        <w:rPr>
          <w:rFonts w:ascii="Arial" w:cs="Arial" w:eastAsia="Arial" w:hAnsi="Arial"/>
          <w:sz w:val="16"/>
          <w:szCs w:val="16"/>
          <w:color w:val="auto"/>
        </w:rPr>
        <w:t>WHEREAS, Dell International L.L.C., a Delaware limited liability company (“</w:t>
      </w:r>
      <w:r>
        <w:rPr>
          <w:rFonts w:ascii="Arial" w:cs="Arial" w:eastAsia="Arial" w:hAnsi="Arial"/>
          <w:sz w:val="16"/>
          <w:szCs w:val="16"/>
          <w:u w:val="single" w:color="auto"/>
          <w:color w:val="auto"/>
        </w:rPr>
        <w:t>Dell International</w:t>
      </w:r>
      <w:r>
        <w:rPr>
          <w:rFonts w:ascii="Arial" w:cs="Arial" w:eastAsia="Arial" w:hAnsi="Arial"/>
          <w:sz w:val="16"/>
          <w:szCs w:val="16"/>
          <w:color w:val="auto"/>
        </w:rPr>
        <w:t>”), and EMC Corporation, a Massachusetts corporation (“</w:t>
      </w:r>
      <w:r>
        <w:rPr>
          <w:rFonts w:ascii="Arial" w:cs="Arial" w:eastAsia="Arial" w:hAnsi="Arial"/>
          <w:sz w:val="16"/>
          <w:szCs w:val="16"/>
          <w:u w:val="single" w:color="auto"/>
          <w:color w:val="auto"/>
        </w:rPr>
        <w:t>EMC</w:t>
      </w:r>
      <w:r>
        <w:rPr>
          <w:rFonts w:ascii="Arial" w:cs="Arial" w:eastAsia="Arial" w:hAnsi="Arial"/>
          <w:sz w:val="16"/>
          <w:szCs w:val="16"/>
          <w:color w:val="auto"/>
        </w:rPr>
        <w:t>” and, together with Dell International, the “</w:t>
      </w:r>
      <w:r>
        <w:rPr>
          <w:rFonts w:ascii="Arial" w:cs="Arial" w:eastAsia="Arial" w:hAnsi="Arial"/>
          <w:sz w:val="16"/>
          <w:szCs w:val="16"/>
          <w:u w:val="single" w:color="auto"/>
          <w:color w:val="auto"/>
        </w:rPr>
        <w:t>Issuers</w:t>
      </w:r>
      <w:r>
        <w:rPr>
          <w:rFonts w:ascii="Arial" w:cs="Arial" w:eastAsia="Arial" w:hAnsi="Arial"/>
          <w:sz w:val="16"/>
          <w:szCs w:val="16"/>
          <w:color w:val="auto"/>
        </w:rPr>
        <w:t>”), are party to an indenture, dated as of January 24, 2023, as</w:t>
      </w:r>
    </w:p>
    <w:p>
      <w:pPr>
        <w:ind w:right="1000"/>
        <w:spacing w:after="0" w:line="260" w:lineRule="auto"/>
        <w:rPr>
          <w:sz w:val="20"/>
          <w:szCs w:val="20"/>
          <w:color w:val="auto"/>
        </w:rPr>
      </w:pPr>
      <w:r>
        <w:rPr>
          <w:rFonts w:ascii="Arial" w:cs="Arial" w:eastAsia="Arial" w:hAnsi="Arial"/>
          <w:sz w:val="18"/>
          <w:szCs w:val="18"/>
          <w:color w:val="auto"/>
        </w:rPr>
        <w:t>supplemented by the [Officer’s Certificate][supplemental indenture][board resolutions of the Issuers], dated as of [ ] (together,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 ] aggregate principal amount of [senior debt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on a joint and several basis with the other Guarantors, all of the Issuers’ Obligations under the Securities and the Indenture on the terms and conditions set forth herein and under the Indenture (the “</w:t>
      </w:r>
      <w:r>
        <w:rPr>
          <w:rFonts w:ascii="Arial" w:cs="Arial" w:eastAsia="Arial" w:hAnsi="Arial"/>
          <w:sz w:val="18"/>
          <w:szCs w:val="18"/>
          <w:u w:val="single" w:color="auto"/>
          <w:color w:val="auto"/>
        </w:rPr>
        <w:t>Security Guarantee</w:t>
      </w:r>
      <w:r>
        <w:rPr>
          <w:rFonts w:ascii="Arial" w:cs="Arial" w:eastAsia="Arial" w:hAnsi="Arial"/>
          <w:sz w:val="18"/>
          <w:szCs w:val="18"/>
          <w:color w:val="auto"/>
        </w:rPr>
        <w:t>”); and</w:t>
      </w:r>
    </w:p>
    <w:p>
      <w:pPr>
        <w:spacing w:after="0" w:line="187"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to amend or supplement the Indenture without the consent of any Holder of any series of Securities.</w:t>
      </w:r>
    </w:p>
    <w:p>
      <w:pPr>
        <w:spacing w:after="0" w:line="170" w:lineRule="exact"/>
        <w:rPr>
          <w:sz w:val="20"/>
          <w:szCs w:val="20"/>
          <w:color w:val="auto"/>
        </w:rPr>
      </w:pPr>
    </w:p>
    <w:p>
      <w:pPr>
        <w:ind w:right="460" w:firstLine="991"/>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Securities as follows:</w:t>
      </w:r>
    </w:p>
    <w:p>
      <w:pPr>
        <w:spacing w:after="0" w:line="124" w:lineRule="exact"/>
        <w:rPr>
          <w:sz w:val="20"/>
          <w:szCs w:val="20"/>
          <w:color w:val="auto"/>
        </w:rPr>
      </w:pPr>
    </w:p>
    <w:p>
      <w:pPr>
        <w:ind w:left="1240" w:hanging="253"/>
        <w:spacing w:after="0"/>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340" w:firstLine="987"/>
        <w:spacing w:after="0" w:line="277"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xml:space="preserve">. The Guaranteeing Subsidiary hereby agrees to be a Guarantor under the Indenture and to be bound by the terms of the Indenture applicable to a Guarantor, including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ind w:right="780" w:firstLine="987"/>
        <w:spacing w:after="0" w:line="277"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Guaranteeing Subsidiary agrees that the Security Guarantee shall remain in full force and effect notwithstanding the absence of the endorsement of any notation of such Security Guarantee on the Securities.</w:t>
      </w:r>
    </w:p>
    <w:p>
      <w:pPr>
        <w:spacing w:after="0" w:line="170"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70" w:name="page71"/>
    <w:bookmarkEnd w:id="70"/>
    <w:p>
      <w:pPr>
        <w:ind w:left="740" w:hanging="253"/>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ind w:left="-500" w:firstLine="987"/>
        <w:spacing w:after="0" w:line="342" w:lineRule="auto"/>
        <w:tabs>
          <w:tab w:leader="none" w:pos="74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00"/>
          </w:cols>
          <w:pgMar w:left="940" w:top="274" w:right="959" w:bottom="1440" w:gutter="0" w:footer="0" w:header="0"/>
        </w:sectPr>
      </w:pPr>
    </w:p>
    <w:bookmarkStart w:id="71" w:name="page72"/>
    <w:bookmarkEnd w:id="7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N.A.,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760"/>
          </w:cols>
          <w:pgMar w:left="440" w:top="274" w:right="6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2028 NOTES SUPPLEMENTAL INDENTURE NO. 1</w:t>
      </w:r>
    </w:p>
    <w:p>
      <w:pPr>
        <w:spacing w:after="0" w:line="229"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This 2028 NOTES SUPPLEMENTAL INDENTURE NO. 1, dated as of January 24, 2023 (this “</w:t>
      </w:r>
      <w:r>
        <w:rPr>
          <w:rFonts w:ascii="Arial" w:cs="Arial" w:eastAsia="Arial" w:hAnsi="Arial"/>
          <w:sz w:val="17"/>
          <w:szCs w:val="17"/>
          <w:u w:val="single" w:color="auto"/>
          <w:color w:val="auto"/>
        </w:rPr>
        <w:t>2028 Notes Supplemental Indenture</w:t>
      </w:r>
      <w:r>
        <w:rPr>
          <w:rFonts w:ascii="Arial" w:cs="Arial" w:eastAsia="Arial" w:hAnsi="Arial"/>
          <w:sz w:val="17"/>
          <w:szCs w:val="17"/>
          <w:color w:val="auto"/>
        </w:rPr>
        <w:t>”), is made and entered into among Dell International L.L.C., a Delaware limited liability corporation (“</w:t>
      </w:r>
      <w:r>
        <w:rPr>
          <w:rFonts w:ascii="Arial" w:cs="Arial" w:eastAsia="Arial" w:hAnsi="Arial"/>
          <w:sz w:val="17"/>
          <w:szCs w:val="17"/>
          <w:u w:val="single" w:color="auto"/>
          <w:color w:val="auto"/>
        </w:rPr>
        <w:t>Dell International</w:t>
      </w:r>
      <w:r>
        <w:rPr>
          <w:rFonts w:ascii="Arial" w:cs="Arial" w:eastAsia="Arial" w:hAnsi="Arial"/>
          <w:sz w:val="17"/>
          <w:szCs w:val="17"/>
          <w:color w:val="auto"/>
        </w:rPr>
        <w:t>”), EMC Corporation, a Massachusetts corporation (“</w:t>
      </w:r>
      <w:r>
        <w:rPr>
          <w:rFonts w:ascii="Arial" w:cs="Arial" w:eastAsia="Arial" w:hAnsi="Arial"/>
          <w:sz w:val="17"/>
          <w:szCs w:val="17"/>
          <w:u w:val="single" w:color="auto"/>
          <w:color w:val="auto"/>
        </w:rPr>
        <w:t>EMC</w:t>
      </w:r>
      <w:r>
        <w:rPr>
          <w:rFonts w:ascii="Arial" w:cs="Arial" w:eastAsia="Arial" w:hAnsi="Arial"/>
          <w:sz w:val="17"/>
          <w:szCs w:val="17"/>
          <w:color w:val="auto"/>
        </w:rPr>
        <w:t>” and, together with Dell International, the “</w:t>
      </w:r>
      <w:r>
        <w:rPr>
          <w:rFonts w:ascii="Arial" w:cs="Arial" w:eastAsia="Arial" w:hAnsi="Arial"/>
          <w:sz w:val="17"/>
          <w:szCs w:val="17"/>
          <w:u w:val="single" w:color="auto"/>
          <w:color w:val="auto"/>
        </w:rPr>
        <w:t>Issuers</w:t>
      </w:r>
      <w:r>
        <w:rPr>
          <w:rFonts w:ascii="Arial" w:cs="Arial" w:eastAsia="Arial" w:hAnsi="Arial"/>
          <w:sz w:val="17"/>
          <w:szCs w:val="17"/>
          <w:color w:val="auto"/>
        </w:rPr>
        <w:t>”), the Guarantors (as defined below) and The Bank of New York Mellon Trust Company, N.A., a national banking association,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Capitalized terms used herein and not otherwise defined have the meanings set forth in the Base Indenture referred to below.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 Section 9.01(15) of the Base Indenture, dated as of January 24, 2023, among the Issuers, the guarantors named therein (the “</w:t>
      </w:r>
      <w:r>
        <w:rPr>
          <w:rFonts w:ascii="Arial" w:cs="Arial" w:eastAsia="Arial" w:hAnsi="Arial"/>
          <w:sz w:val="18"/>
          <w:szCs w:val="18"/>
          <w:u w:val="single" w:color="auto"/>
          <w:color w:val="auto"/>
        </w:rPr>
        <w:t>Guarantors</w:t>
      </w:r>
      <w:r>
        <w:rPr>
          <w:rFonts w:ascii="Arial" w:cs="Arial" w:eastAsia="Arial" w:hAnsi="Arial"/>
          <w:sz w:val="18"/>
          <w:szCs w:val="18"/>
          <w:color w:val="auto"/>
        </w:rPr>
        <w:t>”) and the Trustee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and, together with this 2028 Notes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provides that, without the consent of Holders, the Issuers, the Guarantors and the Trustee may enter into a supplemental indenture to the Base Indenture to establish the form or terms of Securities of any series pursuant to Section 2.01 of the Base Indenture.</w:t>
      </w:r>
    </w:p>
    <w:p>
      <w:pPr>
        <w:spacing w:after="0" w:line="7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B. The Issuers desire to issue $1,000,000,000 aggregate principal amount of 5.250% Senior Notes due 2028 (the “</w:t>
      </w:r>
      <w:r>
        <w:rPr>
          <w:rFonts w:ascii="Arial" w:cs="Arial" w:eastAsia="Arial" w:hAnsi="Arial"/>
          <w:sz w:val="17"/>
          <w:szCs w:val="17"/>
          <w:u w:val="single" w:color="auto"/>
          <w:color w:val="auto"/>
        </w:rPr>
        <w:t>2028 Notes</w:t>
      </w:r>
      <w:r>
        <w:rPr>
          <w:rFonts w:ascii="Arial" w:cs="Arial" w:eastAsia="Arial" w:hAnsi="Arial"/>
          <w:sz w:val="17"/>
          <w:szCs w:val="17"/>
          <w:color w:val="auto"/>
        </w:rPr>
        <w:t>”), and in connection therewith, the Issuers have duly determined to make, execute and deliver to the Trustee this 2028 Notes Supplemental Indenture to set forth the terms and provisions of the 2028 Notes as required by the Base Indenture. This 2028 Notes Supplemental Indenture shall supplement the Base Indenture insofar as it will apply only to the 2028 Notes issued hereunder (and not to any other series of Securities).</w:t>
      </w:r>
    </w:p>
    <w:p>
      <w:pPr>
        <w:spacing w:after="0" w:line="6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NOW, THEREFORE, in consideration of the mutual agreements and covenants set forth herein, the parties hereto agree, subject to the terms and conditions hereinafter set forth, as follows for the benefit of the Trustee and the Holders of the 2028 Notes: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2028 Notes</w:t>
      </w:r>
      <w:r>
        <w:rPr>
          <w:rFonts w:ascii="Arial" w:cs="Arial" w:eastAsia="Arial" w:hAnsi="Arial"/>
          <w:sz w:val="18"/>
          <w:szCs w:val="18"/>
          <w:color w:val="auto"/>
        </w:rPr>
        <w:t>. Pursuant to Section 2.01 of the Base Indenture, the terms and provisions of the 2028 Notes are as follows:</w:t>
      </w:r>
    </w:p>
    <w:p>
      <w:pPr>
        <w:spacing w:after="0" w:line="117" w:lineRule="exact"/>
        <w:rPr>
          <w:sz w:val="20"/>
          <w:szCs w:val="20"/>
          <w:color w:val="auto"/>
        </w:rPr>
      </w:pPr>
    </w:p>
    <w:p>
      <w:pPr>
        <w:ind w:left="680" w:hanging="24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2028 Notes shall be “5.250% Senior Notes due 2028.”</w:t>
      </w:r>
    </w:p>
    <w:p>
      <w:pPr>
        <w:spacing w:after="0" w:line="117" w:lineRule="exact"/>
        <w:rPr>
          <w:rFonts w:ascii="Arial" w:cs="Arial" w:eastAsia="Arial" w:hAnsi="Arial"/>
          <w:sz w:val="18"/>
          <w:szCs w:val="18"/>
          <w:color w:val="auto"/>
        </w:rPr>
      </w:pPr>
    </w:p>
    <w:p>
      <w:pPr>
        <w:ind w:right="20" w:firstLine="436"/>
        <w:spacing w:after="0" w:line="254"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2028 Notes shall be initially limited to $1,000,000,000 aggregate principal amount. The Issuers may, without the consent of the Holders of the 2028 Notes, increase such aggregate principal amount in the future, on the same terms and conditions, except for any differences in the issue date, issue price and, if applicable, the first Interest Payment Date and the first date from which interest will accrue. The 2028 Notes issued originally hereunder (the “</w:t>
      </w:r>
      <w:r>
        <w:rPr>
          <w:rFonts w:ascii="Arial" w:cs="Arial" w:eastAsia="Arial" w:hAnsi="Arial"/>
          <w:sz w:val="18"/>
          <w:szCs w:val="18"/>
          <w:u w:val="single" w:color="auto"/>
          <w:color w:val="auto"/>
        </w:rPr>
        <w:t>Initial 2028 Notes</w:t>
      </w:r>
      <w:r>
        <w:rPr>
          <w:rFonts w:ascii="Arial" w:cs="Arial" w:eastAsia="Arial" w:hAnsi="Arial"/>
          <w:sz w:val="18"/>
          <w:szCs w:val="18"/>
          <w:color w:val="auto"/>
        </w:rPr>
        <w:t xml:space="preserve">”) and any Additional Securities of such series subsequently issued, shall be treated as a single class for purposes of the Indenture, including waivers, amendments, redemptions and offers to purchase;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Additional Securities are not fungible with the Initial 2028 Notes for U.S. federal income tax purposes, such Additional Securities will have a separate CUSIP number and ISIN number from the Initial 2028 Notes.</w:t>
      </w:r>
    </w:p>
    <w:p>
      <w:pPr>
        <w:spacing w:after="0" w:line="86" w:lineRule="exact"/>
        <w:rPr>
          <w:rFonts w:ascii="Arial" w:cs="Arial" w:eastAsia="Arial" w:hAnsi="Arial"/>
          <w:sz w:val="18"/>
          <w:szCs w:val="18"/>
          <w:color w:val="auto"/>
        </w:rPr>
      </w:pPr>
    </w:p>
    <w:p>
      <w:pPr>
        <w:ind w:left="680" w:hanging="24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at which the 2028 Notes shall be issued to the public is 99.955%.</w:t>
      </w:r>
    </w:p>
    <w:p>
      <w:pPr>
        <w:spacing w:after="0" w:line="117"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Stated Maturity for the 2028 Notes shall be on February 1, 2028. The 2028 Notes shall not require any principal or premium payments prior to the Stated Maturity.</w:t>
      </w:r>
    </w:p>
    <w:p>
      <w:pPr>
        <w:sectPr>
          <w:pgSz w:w="11900" w:h="16838" w:orient="portrait"/>
          <w:cols w:equalWidth="0" w:num="1">
            <w:col w:w="11020"/>
          </w:cols>
          <w:pgMar w:left="440" w:top="121" w:right="439" w:bottom="1440" w:gutter="0" w:footer="0" w:header="0"/>
        </w:sectPr>
      </w:pPr>
    </w:p>
    <w:bookmarkStart w:id="73" w:name="page74"/>
    <w:bookmarkEnd w:id="73"/>
    <w:p>
      <w:pPr>
        <w:ind w:left="-40" w:right="80" w:firstLine="436"/>
        <w:spacing w:after="0" w:line="269" w:lineRule="auto"/>
        <w:tabs>
          <w:tab w:leader="none" w:pos="645"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rate at which the 2028 Notes shall bear interest shall be 5.250% per annum, as set forth in Section 1 of the form of 2028 Note attached hereto as Exhibit A. Interest on the 2028 Notes shall accrue from the most recent date to which interest has been paid, or, if no interest has been paid, from January 24,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Interest Payment Date shall be August 1, 2023. Each February 1 and August 1 in each year, commencing August 1, 2023, shall be an Interest Payment Date for the 2028 Notes. The January 15 or July 15 (whether or not a Business Day), as the case may be, immediately preceding an Interest Payment Date shall be the Record Date for the interest payable on such Interest Payment Date, even if such 2028 Notes are canceled after such record date and on or before such Interest Payment Date, except as provided in Section 2.12 of the Base Indenture with respect to defaulted interest. If an Interest Payment Date is a Legal Holiday at a place of payment, payment may be made at that place on the next succeeding day that is a Business Day, and no interest on such payment will accrue in respect of the delay. The Issuers shall pay interest on overdue principal at a rate equal to the then applicable interest rate on the 2028 Notes to the extent lawful, and the Issuers shall pay interest on overdue installments of interest at the same rate to the extent lawful.</w:t>
      </w:r>
    </w:p>
    <w:p>
      <w:pPr>
        <w:spacing w:after="0" w:line="77" w:lineRule="exact"/>
        <w:rPr>
          <w:rFonts w:ascii="Arial" w:cs="Arial" w:eastAsia="Arial" w:hAnsi="Arial"/>
          <w:sz w:val="17"/>
          <w:szCs w:val="17"/>
          <w:color w:val="auto"/>
        </w:rPr>
      </w:pPr>
    </w:p>
    <w:p>
      <w:pPr>
        <w:jc w:val="both"/>
        <w:ind w:left="-40" w:right="160" w:firstLine="436"/>
        <w:spacing w:after="0" w:line="263" w:lineRule="auto"/>
        <w:tabs>
          <w:tab w:leader="none" w:pos="6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on the 2028 Notes represented by one or more Global Securities initially registered in the name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or its nominee with respect to the 2028 Notes shall be made by the Issuers through the Trustee in immediately available funds to the Depositary or its nominee, as the case may be.</w:t>
      </w:r>
    </w:p>
    <w:p>
      <w:pPr>
        <w:spacing w:after="0" w:line="75" w:lineRule="exact"/>
        <w:rPr>
          <w:rFonts w:ascii="Arial" w:cs="Arial" w:eastAsia="Arial" w:hAnsi="Arial"/>
          <w:sz w:val="18"/>
          <w:szCs w:val="18"/>
          <w:color w:val="auto"/>
        </w:rPr>
      </w:pPr>
    </w:p>
    <w:p>
      <w:pPr>
        <w:ind w:left="-40" w:right="240" w:firstLine="436"/>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2028 Notes shall be redeemable in accordance with the terms and provisions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(to the extent they do not conflict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terms and provisions of Article 3 of the Base Indenture.</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shall be no mandatory sinking fund for the payments of the 2028 Notes.</w:t>
      </w:r>
    </w:p>
    <w:p>
      <w:pPr>
        <w:spacing w:after="0" w:line="117" w:lineRule="exact"/>
        <w:rPr>
          <w:rFonts w:ascii="Arial" w:cs="Arial" w:eastAsia="Arial" w:hAnsi="Arial"/>
          <w:sz w:val="18"/>
          <w:szCs w:val="18"/>
          <w:color w:val="auto"/>
        </w:rPr>
      </w:pPr>
    </w:p>
    <w:p>
      <w:pPr>
        <w:jc w:val="both"/>
        <w:ind w:left="-40" w:firstLine="436"/>
        <w:spacing w:after="0" w:line="263" w:lineRule="auto"/>
        <w:tabs>
          <w:tab w:leader="none" w:pos="6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2028 Notes shall be represented by one or more Global Securities deposited with the Depositary and registered in the name of the nominee of the Depositary. The 2028 Notes, including the form of the certificate of authentication, shall be substantially in the form attached hereto as Exhibit A, the terms of which are incorporated by reference in this 2028 Notes Supplemental Indenture.</w:t>
      </w:r>
    </w:p>
    <w:p>
      <w:pPr>
        <w:spacing w:after="0" w:line="75" w:lineRule="exact"/>
        <w:rPr>
          <w:rFonts w:ascii="Arial" w:cs="Arial" w:eastAsia="Arial" w:hAnsi="Arial"/>
          <w:sz w:val="18"/>
          <w:szCs w:val="18"/>
          <w:color w:val="auto"/>
        </w:rPr>
      </w:pPr>
    </w:p>
    <w:p>
      <w:pPr>
        <w:ind w:left="620" w:hanging="224"/>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be the Trustee for the 2028 Notes.</w:t>
      </w:r>
    </w:p>
    <w:p>
      <w:pPr>
        <w:spacing w:after="0" w:line="117" w:lineRule="exact"/>
        <w:rPr>
          <w:rFonts w:ascii="Arial" w:cs="Arial" w:eastAsia="Arial" w:hAnsi="Arial"/>
          <w:sz w:val="18"/>
          <w:szCs w:val="18"/>
          <w:color w:val="auto"/>
        </w:rPr>
      </w:pPr>
    </w:p>
    <w:p>
      <w:pPr>
        <w:ind w:left="660" w:hanging="26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Article 10 of the Base Indenture shall apply to the 2028 Notes.</w:t>
      </w:r>
    </w:p>
    <w:p>
      <w:pPr>
        <w:spacing w:after="0" w:line="117" w:lineRule="exact"/>
        <w:rPr>
          <w:rFonts w:ascii="Arial" w:cs="Arial" w:eastAsia="Arial" w:hAnsi="Arial"/>
          <w:sz w:val="18"/>
          <w:szCs w:val="18"/>
          <w:color w:val="auto"/>
        </w:rPr>
      </w:pPr>
    </w:p>
    <w:p>
      <w:pPr>
        <w:ind w:left="-40" w:firstLine="436"/>
        <w:spacing w:after="0" w:line="263" w:lineRule="auto"/>
        <w:tabs>
          <w:tab w:leader="none" w:pos="6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covenants set forth in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shall apply to the 2028 Notes. Upon satisfaction of the conditions set forth in Section 8.03 of the Base Indenture, the Issuers and the Guarantors shall be released from their obligations under such covenants set forth in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w:t>
      </w:r>
    </w:p>
    <w:p>
      <w:pPr>
        <w:spacing w:after="0" w:line="75" w:lineRule="exact"/>
        <w:rPr>
          <w:rFonts w:ascii="Arial" w:cs="Arial" w:eastAsia="Arial" w:hAnsi="Arial"/>
          <w:sz w:val="18"/>
          <w:szCs w:val="18"/>
          <w:color w:val="auto"/>
        </w:rPr>
      </w:pPr>
    </w:p>
    <w:p>
      <w:pPr>
        <w:ind w:left="700" w:hanging="30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authorized denomination for 2028 Notes shall be $2,000 and integral multiples of $1,000 in excess thereof.</w:t>
      </w:r>
    </w:p>
    <w:p>
      <w:pPr>
        <w:spacing w:after="0" w:line="117" w:lineRule="exact"/>
        <w:rPr>
          <w:rFonts w:ascii="Arial" w:cs="Arial" w:eastAsia="Arial" w:hAnsi="Arial"/>
          <w:sz w:val="18"/>
          <w:szCs w:val="18"/>
          <w:color w:val="auto"/>
        </w:rPr>
      </w:pPr>
    </w:p>
    <w:p>
      <w:pPr>
        <w:ind w:left="660" w:hanging="26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not set forth otherwise herein, the provisions of Article 2 of the Base Indenture are applicable.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Optional Redemption of the 2028 Notes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4" w:right="499" w:bottom="1440" w:gutter="0" w:footer="0" w:header="0"/>
        </w:sectPr>
      </w:pPr>
    </w:p>
    <w:bookmarkStart w:id="74" w:name="page75"/>
    <w:bookmarkEnd w:id="74"/>
    <w:p>
      <w:pPr>
        <w:ind w:right="340" w:firstLine="436"/>
        <w:spacing w:after="0" w:line="277"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January 1, 2028 (the “</w:t>
      </w:r>
      <w:r>
        <w:rPr>
          <w:rFonts w:ascii="Arial" w:cs="Arial" w:eastAsia="Arial" w:hAnsi="Arial"/>
          <w:sz w:val="18"/>
          <w:szCs w:val="18"/>
          <w:u w:val="single" w:color="auto"/>
          <w:color w:val="auto"/>
        </w:rPr>
        <w:t>Par Call Date</w:t>
      </w:r>
      <w:r>
        <w:rPr>
          <w:rFonts w:ascii="Arial" w:cs="Arial" w:eastAsia="Arial" w:hAnsi="Arial"/>
          <w:sz w:val="18"/>
          <w:szCs w:val="18"/>
          <w:color w:val="auto"/>
        </w:rPr>
        <w:t>”), the 2028 Notes will be redeemable, at any time, in whole or from time to time in part, at the Issuers’ option, at the Redemption Price equal to the greater of:</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100% of the principal amount of the 2028 Notes to be redeemed; and</w:t>
      </w:r>
    </w:p>
    <w:p>
      <w:pPr>
        <w:spacing w:after="0" w:line="130"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discounted to, but excluding, the Redemption Date (assuming the 2028 Notes matured on the Par Call Date) on a semi-annual basis (assuming a 360-day year consisting of twelve 30-day months) at the Treasury Rate, plus 25 basis points;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in either case, accrued and unpaid interest thereon to, but excluding, the Redemption Date. Notwithstanding the foregoing, installments of interest on the 2028 Notes to be redeemed that are due and payable on Interest Payment Dates falling on or prior to a Redemption Date will be payable on the Interest Payment Date to the registered Holders as of the close of business on the relevant Record Date.</w:t>
      </w:r>
    </w:p>
    <w:p>
      <w:pPr>
        <w:spacing w:after="0" w:line="57" w:lineRule="exact"/>
        <w:rPr>
          <w:sz w:val="20"/>
          <w:szCs w:val="20"/>
          <w:color w:val="auto"/>
        </w:rPr>
      </w:pPr>
    </w:p>
    <w:p>
      <w:pPr>
        <w:ind w:right="140" w:firstLine="436"/>
        <w:spacing w:after="0" w:line="26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or after the Par Call Date, the Issuers may redeem the 2028 Notes, in whole or in part, at any time and from time to time, at a Redemption Price equal to 100% of the principal amount of the 2028 Notes being redeemed plus accrued and unpaid interest thereon to, but excluding, the Redemption Date.</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notice of redemption need not set forth the exact Redemption Price but only the manner of calculation thereof.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Any redemption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made pursuant to the provisions of Sections 3.01 through 3.06 of the Base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Current Liabilities</w:t>
      </w:r>
      <w:r>
        <w:rPr>
          <w:rFonts w:ascii="Arial" w:cs="Arial" w:eastAsia="Arial" w:hAnsi="Arial"/>
          <w:sz w:val="18"/>
          <w:szCs w:val="18"/>
          <w:color w:val="auto"/>
        </w:rPr>
        <w:t>” has the meaning set forth for such term in the definition of “Consolidated Net Tangible Assets”.</w:t>
      </w:r>
    </w:p>
    <w:p>
      <w:pPr>
        <w:spacing w:after="0" w:line="117" w:lineRule="exact"/>
        <w:rPr>
          <w:rFonts w:ascii="Arial" w:cs="Arial" w:eastAsia="Arial" w:hAnsi="Arial"/>
          <w:sz w:val="18"/>
          <w:szCs w:val="18"/>
          <w:color w:val="auto"/>
        </w:rPr>
      </w:pPr>
    </w:p>
    <w:p>
      <w:pPr>
        <w:ind w:firstLine="436"/>
        <w:spacing w:after="0" w:line="311"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Debt</w:t>
      </w:r>
      <w:r>
        <w:rPr>
          <w:rFonts w:ascii="Arial" w:cs="Arial" w:eastAsia="Arial" w:hAnsi="Arial"/>
          <w:sz w:val="16"/>
          <w:szCs w:val="16"/>
          <w:color w:val="auto"/>
        </w:rPr>
        <w:t xml:space="preserve">” means, as of the date of determination, the sum of (1) the aggregate principal amount of indebtedness of the Issuers and their Restricted Subsidiaries secured by Liens (other than Permitted Liens) that is not permitted by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and (2) the Attributable Indebtedness of the Issuers and their Restricted Subsidiaries in respect of Sale and Lease-Back Transactions entered into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w:t>
      </w:r>
    </w:p>
    <w:p>
      <w:pPr>
        <w:spacing w:after="0" w:line="40" w:lineRule="exact"/>
        <w:rPr>
          <w:rFonts w:ascii="Arial" w:cs="Arial" w:eastAsia="Arial" w:hAnsi="Arial"/>
          <w:sz w:val="16"/>
          <w:szCs w:val="16"/>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Offer</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436"/>
        <w:spacing w:after="0" w:line="291"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2028 Notes outstanding pursuant to the Indenture compounded semi-annually, or (c) if the obligation with respect to the Sale and Lease-Back Transaction constitutes a Financing Lease Obligation, the amount equal to the capitalized amount of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5" w:name="page76"/>
    <w:bookmarkEnd w:id="75"/>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56" w:lineRule="exact"/>
        <w:rPr>
          <w:sz w:val="20"/>
          <w:szCs w:val="20"/>
          <w:color w:val="auto"/>
        </w:rPr>
      </w:pPr>
    </w:p>
    <w:p>
      <w:pPr>
        <w:ind w:left="680" w:hanging="244"/>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 after the Issue Date:</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Parent and its Subsidiaries, taken as a whole, to any Person other than any Permitted Holders;</w:t>
      </w:r>
    </w:p>
    <w:p>
      <w:pPr>
        <w:spacing w:after="0" w:line="62" w:lineRule="exact"/>
        <w:rPr>
          <w:rFonts w:ascii="Arial" w:cs="Arial" w:eastAsia="Arial" w:hAnsi="Arial"/>
          <w:sz w:val="18"/>
          <w:szCs w:val="18"/>
          <w:color w:val="auto"/>
        </w:rPr>
      </w:pPr>
    </w:p>
    <w:p>
      <w:pPr>
        <w:ind w:left="440" w:right="340" w:firstLine="419"/>
        <w:spacing w:after="0" w:line="287" w:lineRule="auto"/>
        <w:tabs>
          <w:tab w:leader="none" w:pos="1118" w:val="left"/>
        </w:tabs>
        <w:numPr>
          <w:ilvl w:val="1"/>
          <w:numId w:val="63"/>
        </w:numPr>
        <w:rPr>
          <w:rFonts w:ascii="Arial" w:cs="Arial" w:eastAsia="Arial" w:hAnsi="Arial"/>
          <w:sz w:val="16"/>
          <w:szCs w:val="16"/>
          <w:color w:val="auto"/>
        </w:rPr>
      </w:pPr>
      <w:r>
        <w:rPr>
          <w:rFonts w:ascii="Arial" w:cs="Arial" w:eastAsia="Arial" w:hAnsi="Arial"/>
          <w:sz w:val="16"/>
          <w:szCs w:val="16"/>
          <w:color w:val="auto"/>
        </w:rPr>
        <w:t>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w:t>
      </w:r>
    </w:p>
    <w:p>
      <w:pPr>
        <w:spacing w:after="0" w:line="2" w:lineRule="exact"/>
        <w:rPr>
          <w:rFonts w:ascii="Arial" w:cs="Arial" w:eastAsia="Arial" w:hAnsi="Arial"/>
          <w:sz w:val="16"/>
          <w:szCs w:val="16"/>
          <w:color w:val="auto"/>
        </w:rPr>
      </w:pPr>
    </w:p>
    <w:p>
      <w:pPr>
        <w:ind w:left="440"/>
        <w:spacing w:after="0" w:line="292" w:lineRule="auto"/>
        <w:rPr>
          <w:rFonts w:ascii="Arial" w:cs="Arial" w:eastAsia="Arial" w:hAnsi="Arial"/>
          <w:sz w:val="16"/>
          <w:szCs w:val="16"/>
          <w:color w:val="auto"/>
        </w:rPr>
      </w:pPr>
      <w:r>
        <w:rPr>
          <w:rFonts w:ascii="Arial" w:cs="Arial" w:eastAsia="Arial" w:hAnsi="Arial"/>
          <w:sz w:val="16"/>
          <w:szCs w:val="16"/>
          <w:color w:val="auto"/>
        </w:rPr>
        <w:t>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w:t>
      </w:r>
    </w:p>
    <w:p>
      <w:pPr>
        <w:spacing w:after="0" w:line="54" w:lineRule="exact"/>
        <w:rPr>
          <w:rFonts w:ascii="Arial" w:cs="Arial" w:eastAsia="Arial" w:hAnsi="Arial"/>
          <w:sz w:val="16"/>
          <w:szCs w:val="16"/>
          <w:color w:val="auto"/>
        </w:rPr>
      </w:pPr>
    </w:p>
    <w:p>
      <w:pPr>
        <w:ind w:left="440" w:right="40" w:firstLine="419"/>
        <w:spacing w:after="0" w:line="255" w:lineRule="auto"/>
        <w:tabs>
          <w:tab w:leader="none" w:pos="1118" w:val="left"/>
        </w:tabs>
        <w:numPr>
          <w:ilvl w:val="1"/>
          <w:numId w:val="63"/>
        </w:numPr>
        <w:rPr>
          <w:rFonts w:ascii="Arial" w:cs="Arial" w:eastAsia="Arial" w:hAnsi="Arial"/>
          <w:sz w:val="18"/>
          <w:szCs w:val="18"/>
          <w:color w:val="auto"/>
        </w:rPr>
      </w:pPr>
      <w:r>
        <w:rPr>
          <w:rFonts w:ascii="Arial" w:cs="Arial" w:eastAsia="Arial" w:hAnsi="Arial"/>
          <w:sz w:val="18"/>
          <w:szCs w:val="18"/>
          <w:color w:val="auto"/>
        </w:rPr>
        <w:t>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 of the Issuers shall cease to be a direct or indirect Subsidiary of Parent;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adoption by Parent of a plan providing for its liquidation or dissolution.</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6" w:name="page77"/>
    <w:bookmarkEnd w:id="76"/>
    <w:p>
      <w:pPr>
        <w:ind w:left="4" w:hanging="4"/>
        <w:spacing w:after="0" w:line="255" w:lineRule="auto"/>
        <w:tabs>
          <w:tab w:leader="none" w:pos="269"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w:t>
      </w:r>
    </w:p>
    <w:p>
      <w:pPr>
        <w:spacing w:after="0" w:line="84" w:lineRule="exact"/>
        <w:rPr>
          <w:rFonts w:ascii="Arial" w:cs="Arial" w:eastAsia="Arial" w:hAnsi="Arial"/>
          <w:sz w:val="18"/>
          <w:szCs w:val="18"/>
          <w:color w:val="auto"/>
        </w:rPr>
      </w:pPr>
    </w:p>
    <w:p>
      <w:pPr>
        <w:ind w:left="664" w:hanging="224"/>
        <w:spacing w:after="0"/>
        <w:tabs>
          <w:tab w:leader="none" w:pos="6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6(a)(2)</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 means the occurrence of both a Change of Control and a Rating Decline.</w:t>
      </w:r>
    </w:p>
    <w:p>
      <w:pPr>
        <w:spacing w:after="0" w:line="117" w:lineRule="exact"/>
        <w:rPr>
          <w:rFonts w:ascii="Arial" w:cs="Arial" w:eastAsia="Arial" w:hAnsi="Arial"/>
          <w:sz w:val="18"/>
          <w:szCs w:val="18"/>
          <w:color w:val="auto"/>
        </w:rPr>
      </w:pPr>
    </w:p>
    <w:p>
      <w:pPr>
        <w:ind w:left="4" w:right="20" w:firstLine="436"/>
        <w:spacing w:after="0" w:line="268" w:lineRule="auto"/>
        <w:tabs>
          <w:tab w:leader="none" w:pos="659" w:val="left"/>
        </w:tabs>
        <w:numPr>
          <w:ilvl w:val="1"/>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Tangible Assets</w:t>
      </w:r>
      <w:r>
        <w:rPr>
          <w:rFonts w:ascii="Arial" w:cs="Arial" w:eastAsia="Arial" w:hAnsi="Arial"/>
          <w:sz w:val="17"/>
          <w:szCs w:val="17"/>
          <w:color w:val="auto"/>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Arial" w:cs="Arial" w:eastAsia="Arial" w:hAnsi="Arial"/>
          <w:sz w:val="17"/>
          <w:szCs w:val="17"/>
          <w:u w:val="single" w:color="auto"/>
          <w:color w:val="auto"/>
        </w:rPr>
        <w:t>Adjusted Current Liabilities</w:t>
      </w:r>
      <w:r>
        <w:rPr>
          <w:rFonts w:ascii="Arial" w:cs="Arial" w:eastAsia="Arial" w:hAnsi="Arial"/>
          <w:sz w:val="17"/>
          <w:szCs w:val="17"/>
          <w:color w:val="auto"/>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Arial" w:cs="Arial" w:eastAsia="Arial" w:hAnsi="Arial"/>
          <w:sz w:val="17"/>
          <w:szCs w:val="17"/>
          <w:u w:val="single" w:color="auto"/>
          <w:color w:val="auto"/>
        </w:rPr>
        <w:t>Intangible Assets</w:t>
      </w:r>
      <w:r>
        <w:rPr>
          <w:rFonts w:ascii="Arial" w:cs="Arial" w:eastAsia="Arial" w:hAnsi="Arial"/>
          <w:sz w:val="17"/>
          <w:szCs w:val="17"/>
          <w:color w:val="auto"/>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w:t>
      </w:r>
    </w:p>
    <w:p>
      <w:pPr>
        <w:spacing w:after="0" w:line="73" w:lineRule="exact"/>
        <w:rPr>
          <w:rFonts w:ascii="Arial" w:cs="Arial" w:eastAsia="Arial" w:hAnsi="Arial"/>
          <w:sz w:val="17"/>
          <w:szCs w:val="17"/>
          <w:color w:val="auto"/>
        </w:rPr>
      </w:pPr>
    </w:p>
    <w:p>
      <w:pPr>
        <w:ind w:left="4" w:right="480" w:firstLine="436"/>
        <w:spacing w:after="0" w:line="277" w:lineRule="auto"/>
        <w:tabs>
          <w:tab w:leader="none" w:pos="699"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(other than a Foreign Subsidiary) that is organized or existing under the laws of the United States, any state or territory thereof or the District of Columbia.</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 subsidiary of Fimalac, S.A., and any successor to its rating agency business.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77" w:name="page78"/>
    <w:bookmarkEnd w:id="77"/>
    <w:p>
      <w:pPr>
        <w:ind w:left="-20" w:right="440" w:firstLine="436"/>
        <w:spacing w:after="0" w:line="277" w:lineRule="auto"/>
        <w:tabs>
          <w:tab w:leader="none" w:pos="725"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organized under the laws of the United States of America or any state or territory thereof or the District of Columbia and any Subsidiary of such Foreign Subsidiary.</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w:t>
      </w:r>
      <w:r>
        <w:rPr>
          <w:rFonts w:ascii="Arial" w:cs="Arial" w:eastAsia="Arial" w:hAnsi="Arial"/>
          <w:sz w:val="18"/>
          <w:szCs w:val="18"/>
          <w:color w:val="auto"/>
        </w:rPr>
        <w:t>” has the meaning set forth for such term in the definition of “Treasury Rate.”</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 TCM</w:t>
      </w:r>
      <w:r>
        <w:rPr>
          <w:rFonts w:ascii="Arial" w:cs="Arial" w:eastAsia="Arial" w:hAnsi="Arial"/>
          <w:sz w:val="18"/>
          <w:szCs w:val="18"/>
          <w:color w:val="auto"/>
        </w:rPr>
        <w:t>” has the meaning set forth for such term in the definition of “Treasury Rate.”</w:t>
      </w:r>
    </w:p>
    <w:p>
      <w:pPr>
        <w:spacing w:after="0" w:line="117" w:lineRule="exact"/>
        <w:rPr>
          <w:rFonts w:ascii="Arial" w:cs="Arial" w:eastAsia="Arial" w:hAnsi="Arial"/>
          <w:sz w:val="18"/>
          <w:szCs w:val="18"/>
          <w:color w:val="auto"/>
        </w:rPr>
      </w:pPr>
    </w:p>
    <w:p>
      <w:pPr>
        <w:ind w:left="-20" w:right="100" w:firstLine="436"/>
        <w:spacing w:after="0" w:line="269" w:lineRule="auto"/>
        <w:tabs>
          <w:tab w:leader="none" w:pos="67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77" w:lineRule="exact"/>
        <w:rPr>
          <w:rFonts w:ascii="Arial" w:cs="Arial" w:eastAsia="Arial" w:hAnsi="Arial"/>
          <w:sz w:val="17"/>
          <w:szCs w:val="17"/>
          <w:color w:val="auto"/>
        </w:rPr>
      </w:pPr>
    </w:p>
    <w:p>
      <w:pPr>
        <w:ind w:left="680" w:hanging="26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has the meaning set forth for such term in the definition of “Consolidated Net Tangible Assets”.</w:t>
      </w:r>
    </w:p>
    <w:p>
      <w:pPr>
        <w:spacing w:after="0" w:line="117" w:lineRule="exact"/>
        <w:rPr>
          <w:rFonts w:ascii="Arial" w:cs="Arial" w:eastAsia="Arial" w:hAnsi="Arial"/>
          <w:sz w:val="18"/>
          <w:szCs w:val="18"/>
          <w:color w:val="auto"/>
        </w:rPr>
      </w:pPr>
    </w:p>
    <w:p>
      <w:pPr>
        <w:ind w:left="-20" w:firstLine="436"/>
        <w:spacing w:after="0" w:line="263" w:lineRule="auto"/>
        <w:tabs>
          <w:tab w:leader="none" w:pos="6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BBB- (or the equivalent) by S&amp;P and BBB- (or the equivalent) by Fitch, or the equivalent investment grade credit rating from any other Rating Agency substituted for Moody’s, S&amp;P or Fitch pursuant to clause (2) of the definition of “Rating Agency.”</w:t>
      </w:r>
    </w:p>
    <w:p>
      <w:pPr>
        <w:spacing w:after="0" w:line="75" w:lineRule="exact"/>
        <w:rPr>
          <w:rFonts w:ascii="Arial" w:cs="Arial" w:eastAsia="Arial" w:hAnsi="Arial"/>
          <w:sz w:val="18"/>
          <w:szCs w:val="18"/>
          <w:color w:val="auto"/>
        </w:rPr>
      </w:pPr>
    </w:p>
    <w:p>
      <w:pPr>
        <w:ind w:left="-20" w:firstLine="436"/>
        <w:spacing w:after="0" w:line="25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SLP Denali Co-Invest, L.P., Silver Lake Partners V DE (AIV), L.P., SL SPV-2, L.P. and their Affiliates and any funds, partnerships or other co-investment vehicles managed, advised or controlled by the foregoing or their respective Affiliates, excluding, in each case, Denali Intermediate Inc. and its Subsidiaries and any portfolio companies of any of the foregoing.</w:t>
      </w:r>
    </w:p>
    <w:p>
      <w:pPr>
        <w:spacing w:after="0" w:line="83" w:lineRule="exact"/>
        <w:rPr>
          <w:rFonts w:ascii="Arial" w:cs="Arial" w:eastAsia="Arial" w:hAnsi="Arial"/>
          <w:sz w:val="18"/>
          <w:szCs w:val="18"/>
          <w:color w:val="auto"/>
        </w:rPr>
      </w:pPr>
    </w:p>
    <w:p>
      <w:pPr>
        <w:ind w:left="640" w:hanging="224"/>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for such term in the definition of “Hedging Obligations.”</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78" w:name="page79"/>
    <w:bookmarkEnd w:id="78"/>
    <w:p>
      <w:pPr>
        <w:ind w:left="4" w:firstLine="436"/>
        <w:spacing w:after="0" w:line="257" w:lineRule="auto"/>
        <w:tabs>
          <w:tab w:leader="none" w:pos="699"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Nonrecourse Obligation</w:t>
      </w:r>
      <w:r>
        <w:rPr>
          <w:rFonts w:ascii="Arial" w:cs="Arial" w:eastAsia="Arial" w:hAnsi="Arial"/>
          <w:sz w:val="18"/>
          <w:szCs w:val="18"/>
          <w:color w:val="auto"/>
        </w:rPr>
        <w:t>”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w:t>
      </w:r>
    </w:p>
    <w:p>
      <w:pPr>
        <w:spacing w:after="0" w:line="79" w:lineRule="exact"/>
        <w:rPr>
          <w:rFonts w:ascii="Arial" w:cs="Arial" w:eastAsia="Arial" w:hAnsi="Arial"/>
          <w:sz w:val="18"/>
          <w:szCs w:val="18"/>
          <w:color w:val="auto"/>
        </w:rPr>
      </w:pPr>
    </w:p>
    <w:p>
      <w:pPr>
        <w:ind w:left="744" w:hanging="304"/>
        <w:spacing w:after="0"/>
        <w:tabs>
          <w:tab w:leader="none" w:pos="744"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Guarantee</w:t>
      </w:r>
      <w:r>
        <w:rPr>
          <w:rFonts w:ascii="Arial" w:cs="Arial" w:eastAsia="Arial" w:hAnsi="Arial"/>
          <w:sz w:val="16"/>
          <w:szCs w:val="16"/>
          <w:color w:val="auto"/>
        </w:rPr>
        <w:t>” means any Guarantor’s Security Guarantee with respect to the Issuers’ Obligations under the Indenture and the 2028 Notes.</w:t>
      </w:r>
    </w:p>
    <w:p>
      <w:pPr>
        <w:spacing w:after="0" w:line="140" w:lineRule="exact"/>
        <w:rPr>
          <w:rFonts w:ascii="Arial" w:cs="Arial" w:eastAsia="Arial" w:hAnsi="Arial"/>
          <w:sz w:val="16"/>
          <w:szCs w:val="16"/>
          <w:color w:val="auto"/>
        </w:rPr>
      </w:pPr>
    </w:p>
    <w:p>
      <w:pPr>
        <w:ind w:left="704" w:hanging="264"/>
        <w:spacing w:after="0"/>
        <w:tabs>
          <w:tab w:leader="none" w:pos="7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Call Date</w:t>
      </w:r>
      <w:r>
        <w:rPr>
          <w:rFonts w:ascii="Arial" w:cs="Arial" w:eastAsia="Arial" w:hAnsi="Arial"/>
          <w:sz w:val="18"/>
          <w:szCs w:val="18"/>
          <w:color w:val="auto"/>
        </w:rPr>
        <w:t>” has the meaning set forth for such term in Section 2(a).</w:t>
      </w:r>
    </w:p>
    <w:p>
      <w:pPr>
        <w:spacing w:after="0" w:line="117" w:lineRule="exact"/>
        <w:rPr>
          <w:rFonts w:ascii="Arial" w:cs="Arial" w:eastAsia="Arial" w:hAnsi="Arial"/>
          <w:sz w:val="18"/>
          <w:szCs w:val="18"/>
          <w:color w:val="auto"/>
        </w:rPr>
      </w:pPr>
    </w:p>
    <w:p>
      <w:pPr>
        <w:ind w:left="4" w:right="400" w:firstLine="436"/>
        <w:spacing w:after="0" w:line="342" w:lineRule="auto"/>
        <w:tabs>
          <w:tab w:leader="none" w:pos="699"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Entity</w:t>
      </w:r>
      <w:r>
        <w:rPr>
          <w:rFonts w:ascii="Arial" w:cs="Arial" w:eastAsia="Arial" w:hAnsi="Arial"/>
          <w:sz w:val="16"/>
          <w:szCs w:val="16"/>
          <w:color w:val="auto"/>
        </w:rPr>
        <w:t>” means any Person that, with respect to another Person, owns more than 50% of the total voting power of the Voting Stock entitled to vote for the election of directors of such other Person having a majority of the aggregate votes on the Board of such other Person.</w:t>
      </w:r>
    </w:p>
    <w:p>
      <w:pPr>
        <w:spacing w:after="0" w:line="15" w:lineRule="exact"/>
        <w:rPr>
          <w:rFonts w:ascii="Arial" w:cs="Arial" w:eastAsia="Arial" w:hAnsi="Arial"/>
          <w:sz w:val="16"/>
          <w:szCs w:val="16"/>
          <w:color w:val="auto"/>
        </w:rPr>
      </w:pPr>
    </w:p>
    <w:p>
      <w:pPr>
        <w:ind w:left="4" w:right="80" w:firstLine="436"/>
        <w:spacing w:after="0" w:line="284" w:lineRule="auto"/>
        <w:tabs>
          <w:tab w:leader="none" w:pos="689"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w:t>
      </w:r>
    </w:p>
    <w:p>
      <w:pPr>
        <w:spacing w:after="0" w:line="2" w:lineRule="exact"/>
        <w:rPr>
          <w:rFonts w:ascii="Arial" w:cs="Arial" w:eastAsia="Arial" w:hAnsi="Arial"/>
          <w:sz w:val="16"/>
          <w:szCs w:val="16"/>
          <w:color w:val="auto"/>
        </w:rPr>
      </w:pPr>
    </w:p>
    <w:p>
      <w:pPr>
        <w:ind w:left="4" w:right="40" w:hanging="4"/>
        <w:spacing w:after="0" w:line="255"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w:t>
      </w:r>
    </w:p>
    <w:p>
      <w:pPr>
        <w:spacing w:after="0" w:line="81" w:lineRule="exact"/>
        <w:rPr>
          <w:rFonts w:ascii="Arial" w:cs="Arial" w:eastAsia="Arial" w:hAnsi="Arial"/>
          <w:sz w:val="18"/>
          <w:szCs w:val="18"/>
          <w:color w:val="auto"/>
        </w:rPr>
      </w:pPr>
    </w:p>
    <w:p>
      <w:pPr>
        <w:ind w:left="764" w:hanging="324"/>
        <w:spacing w:after="0"/>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67"/>
        </w:numPr>
        <w:rPr>
          <w:rFonts w:ascii="Arial" w:cs="Arial" w:eastAsia="Arial" w:hAnsi="Arial"/>
          <w:sz w:val="18"/>
          <w:szCs w:val="18"/>
          <w:color w:val="auto"/>
        </w:rPr>
      </w:pPr>
      <w:r>
        <w:rPr>
          <w:rFonts w:ascii="Arial" w:cs="Arial" w:eastAsia="Arial" w:hAnsi="Arial"/>
          <w:sz w:val="18"/>
          <w:szCs w:val="18"/>
          <w:color w:val="auto"/>
        </w:rPr>
        <w:t>Liens in effect as of the Issue Date;</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67"/>
        </w:numPr>
        <w:rPr>
          <w:rFonts w:ascii="Arial" w:cs="Arial" w:eastAsia="Arial" w:hAnsi="Arial"/>
          <w:sz w:val="18"/>
          <w:szCs w:val="18"/>
          <w:color w:val="auto"/>
        </w:rPr>
      </w:pPr>
      <w:r>
        <w:rPr>
          <w:rFonts w:ascii="Arial" w:cs="Arial" w:eastAsia="Arial" w:hAnsi="Arial"/>
          <w:sz w:val="18"/>
          <w:szCs w:val="18"/>
          <w:color w:val="auto"/>
        </w:rPr>
        <w:t>Liens securing Obligations in respect of 2028 Notes outstanding on the Issue Date;</w:t>
      </w:r>
    </w:p>
    <w:p>
      <w:pPr>
        <w:spacing w:after="0" w:line="117" w:lineRule="exact"/>
        <w:rPr>
          <w:rFonts w:ascii="Arial" w:cs="Arial" w:eastAsia="Arial" w:hAnsi="Arial"/>
          <w:sz w:val="18"/>
          <w:szCs w:val="18"/>
          <w:color w:val="auto"/>
        </w:rPr>
      </w:pPr>
    </w:p>
    <w:p>
      <w:pPr>
        <w:ind w:left="444" w:right="40" w:firstLine="419"/>
        <w:spacing w:after="0" w:line="263" w:lineRule="auto"/>
        <w:tabs>
          <w:tab w:leader="none" w:pos="1122" w:val="left"/>
        </w:tabs>
        <w:numPr>
          <w:ilvl w:val="2"/>
          <w:numId w:val="67"/>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w:t>
      </w:r>
    </w:p>
    <w:p>
      <w:pPr>
        <w:spacing w:after="0" w:line="75" w:lineRule="exact"/>
        <w:rPr>
          <w:rFonts w:ascii="Arial" w:cs="Arial" w:eastAsia="Arial" w:hAnsi="Arial"/>
          <w:sz w:val="18"/>
          <w:szCs w:val="18"/>
          <w:color w:val="auto"/>
        </w:rPr>
      </w:pPr>
    </w:p>
    <w:p>
      <w:pPr>
        <w:ind w:left="444" w:right="80" w:firstLine="419"/>
        <w:spacing w:after="0" w:line="255" w:lineRule="auto"/>
        <w:tabs>
          <w:tab w:leader="none" w:pos="1122" w:val="left"/>
        </w:tabs>
        <w:numPr>
          <w:ilvl w:val="2"/>
          <w:numId w:val="67"/>
        </w:numPr>
        <w:rPr>
          <w:rFonts w:ascii="Arial" w:cs="Arial" w:eastAsia="Arial" w:hAnsi="Arial"/>
          <w:sz w:val="18"/>
          <w:szCs w:val="18"/>
          <w:color w:val="auto"/>
        </w:rPr>
      </w:pPr>
      <w:r>
        <w:rPr>
          <w:rFonts w:ascii="Arial" w:cs="Arial" w:eastAsia="Arial" w:hAnsi="Arial"/>
          <w:sz w:val="18"/>
          <w:szCs w:val="18"/>
          <w:color w:val="auto"/>
        </w:rPr>
        <w:t>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9" w:name="page80"/>
    <w:bookmarkEnd w:id="79"/>
    <w:p>
      <w:pPr>
        <w:ind w:left="4" w:right="20" w:firstLine="419"/>
        <w:spacing w:after="0" w:line="259" w:lineRule="auto"/>
        <w:tabs>
          <w:tab w:leader="none" w:pos="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w:t>
      </w:r>
    </w:p>
    <w:p>
      <w:pPr>
        <w:spacing w:after="0" w:line="78" w:lineRule="exact"/>
        <w:rPr>
          <w:rFonts w:ascii="Arial" w:cs="Arial" w:eastAsia="Arial" w:hAnsi="Arial"/>
          <w:sz w:val="18"/>
          <w:szCs w:val="18"/>
          <w:color w:val="auto"/>
        </w:rPr>
      </w:pPr>
    </w:p>
    <w:p>
      <w:pPr>
        <w:ind w:left="4" w:right="80" w:firstLine="419"/>
        <w:spacing w:after="0" w:line="308" w:lineRule="auto"/>
        <w:tabs>
          <w:tab w:leader="none" w:pos="681" w:val="left"/>
        </w:tabs>
        <w:numPr>
          <w:ilvl w:val="1"/>
          <w:numId w:val="68"/>
        </w:numPr>
        <w:rPr>
          <w:rFonts w:ascii="Arial" w:cs="Arial" w:eastAsia="Arial" w:hAnsi="Arial"/>
          <w:sz w:val="17"/>
          <w:szCs w:val="17"/>
          <w:color w:val="auto"/>
        </w:rPr>
      </w:pPr>
      <w:r>
        <w:rPr>
          <w:rFonts w:ascii="Arial" w:cs="Arial" w:eastAsia="Arial" w:hAnsi="Arial"/>
          <w:sz w:val="17"/>
          <w:szCs w:val="17"/>
          <w:color w:val="auto"/>
        </w:rPr>
        <w:t>Liens arising from Uniform Commercial Code financing statements, including precautionary financing statements, or any similar filings made in respect of Non-Financing Lease Obligations or consignments entered into by Parent or any of its Subsidiaries;</w:t>
      </w:r>
    </w:p>
    <w:p>
      <w:pPr>
        <w:spacing w:after="0" w:line="38" w:lineRule="exact"/>
        <w:rPr>
          <w:rFonts w:ascii="Arial" w:cs="Arial" w:eastAsia="Arial" w:hAnsi="Arial"/>
          <w:sz w:val="17"/>
          <w:szCs w:val="17"/>
          <w:color w:val="auto"/>
        </w:rPr>
      </w:pPr>
    </w:p>
    <w:p>
      <w:pPr>
        <w:ind w:left="684" w:hanging="261"/>
        <w:spacing w:after="0"/>
        <w:tabs>
          <w:tab w:leader="none" w:pos="6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Liens on property or assets used to defease or to irrevocably satisfy and discharge indebtedness;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Liens relating to future escrow arrangements securing indebtedness;</w:t>
      </w:r>
    </w:p>
    <w:p>
      <w:pPr>
        <w:spacing w:after="0" w:line="117" w:lineRule="exact"/>
        <w:rPr>
          <w:rFonts w:ascii="Arial" w:cs="Arial" w:eastAsia="Arial" w:hAnsi="Arial"/>
          <w:sz w:val="18"/>
          <w:szCs w:val="18"/>
          <w:color w:val="auto"/>
        </w:rPr>
      </w:pPr>
    </w:p>
    <w:p>
      <w:pPr>
        <w:ind w:left="4" w:right="360" w:firstLine="419"/>
        <w:spacing w:after="0" w:line="277" w:lineRule="auto"/>
        <w:tabs>
          <w:tab w:leader="none" w:pos="765"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Parent or any of its Subsidiaries in connection with any letter of intent or purchase agreement;</w:t>
      </w:r>
    </w:p>
    <w:p>
      <w:pPr>
        <w:spacing w:after="0" w:line="62" w:lineRule="exact"/>
        <w:rPr>
          <w:rFonts w:ascii="Arial" w:cs="Arial" w:eastAsia="Arial" w:hAnsi="Arial"/>
          <w:sz w:val="18"/>
          <w:szCs w:val="18"/>
          <w:color w:val="auto"/>
        </w:rPr>
      </w:pPr>
    </w:p>
    <w:p>
      <w:pPr>
        <w:ind w:left="4" w:right="100" w:firstLine="419"/>
        <w:spacing w:after="0" w:line="286" w:lineRule="auto"/>
        <w:tabs>
          <w:tab w:leader="none" w:pos="7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securing indebtedness permitted to be incurred pursuant to this clause</w:t>
      </w:r>
    </w:p>
    <w:p>
      <w:pPr>
        <w:spacing w:after="0" w:line="1" w:lineRule="exact"/>
        <w:rPr>
          <w:rFonts w:ascii="Arial" w:cs="Arial" w:eastAsia="Arial" w:hAnsi="Arial"/>
          <w:sz w:val="16"/>
          <w:szCs w:val="16"/>
          <w:color w:val="auto"/>
        </w:rPr>
      </w:pPr>
    </w:p>
    <w:p>
      <w:pPr>
        <w:ind w:left="4" w:right="140" w:hanging="4"/>
        <w:spacing w:after="0" w:line="253" w:lineRule="auto"/>
        <w:tabs>
          <w:tab w:leader="none" w:pos="3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individual financings of equipment provided by one lender may be cross collateralized to other financings of equipment provided by such lender;</w:t>
      </w:r>
    </w:p>
    <w:p>
      <w:pPr>
        <w:spacing w:after="0" w:line="84" w:lineRule="exact"/>
        <w:rPr>
          <w:rFonts w:ascii="Arial" w:cs="Arial" w:eastAsia="Arial" w:hAnsi="Arial"/>
          <w:sz w:val="18"/>
          <w:szCs w:val="18"/>
          <w:color w:val="auto"/>
        </w:rPr>
      </w:pPr>
    </w:p>
    <w:p>
      <w:pPr>
        <w:ind w:left="764" w:hanging="341"/>
        <w:spacing w:after="0"/>
        <w:tabs>
          <w:tab w:leader="none" w:pos="7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Liens in favor of Parent or any of its Subsidiaries or the Trustee; and</w:t>
      </w:r>
    </w:p>
    <w:p>
      <w:pPr>
        <w:spacing w:after="0" w:line="117" w:lineRule="exact"/>
        <w:rPr>
          <w:rFonts w:ascii="Arial" w:cs="Arial" w:eastAsia="Arial" w:hAnsi="Arial"/>
          <w:sz w:val="18"/>
          <w:szCs w:val="18"/>
          <w:color w:val="auto"/>
        </w:rPr>
      </w:pPr>
    </w:p>
    <w:p>
      <w:pPr>
        <w:ind w:left="4" w:firstLine="419"/>
        <w:spacing w:after="0" w:line="273" w:lineRule="auto"/>
        <w:tabs>
          <w:tab w:leader="none" w:pos="7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provided, however, that such new Lien shall be limited to all or part of the same property that secured the original Lien (plus accessions, additions and improvements on such</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80" w:name="page81"/>
    <w:bookmarkEnd w:id="80"/>
    <w:p>
      <w:pPr>
        <w:ind w:left="44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w:t>
      </w:r>
    </w:p>
    <w:p>
      <w:pPr>
        <w:spacing w:after="0" w:line="187"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117" w:lineRule="exact"/>
        <w:rPr>
          <w:sz w:val="20"/>
          <w:szCs w:val="20"/>
          <w:color w:val="auto"/>
        </w:rPr>
      </w:pPr>
    </w:p>
    <w:p>
      <w:pPr>
        <w:ind w:left="784" w:hanging="344"/>
        <w:spacing w:after="0"/>
        <w:tabs>
          <w:tab w:leader="none" w:pos="784" w:val="left"/>
        </w:tabs>
        <w:numPr>
          <w:ilvl w:val="1"/>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Parent</w:t>
      </w:r>
      <w:r>
        <w:rPr>
          <w:rFonts w:ascii="Arial" w:cs="Arial" w:eastAsia="Arial" w:hAnsi="Arial"/>
          <w:sz w:val="16"/>
          <w:szCs w:val="16"/>
          <w:color w:val="auto"/>
        </w:rPr>
        <w:t>” means any Parent Entity that at the time it became a Parent Entity of Parent was a Permitted Holder pursuant to clause</w:t>
      </w:r>
    </w:p>
    <w:p>
      <w:pPr>
        <w:spacing w:after="0" w:line="46" w:lineRule="exact"/>
        <w:rPr>
          <w:rFonts w:ascii="Arial" w:cs="Arial" w:eastAsia="Arial" w:hAnsi="Arial"/>
          <w:sz w:val="16"/>
          <w:szCs w:val="16"/>
          <w:color w:val="auto"/>
        </w:rPr>
      </w:pPr>
    </w:p>
    <w:p>
      <w:pPr>
        <w:ind w:left="4" w:right="280" w:hanging="4"/>
        <w:spacing w:after="0" w:line="260"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the definition thereof and was not formed in connection with, or in contemplation of, a transaction that would otherwise constitute a Change of Control.</w:t>
      </w:r>
    </w:p>
    <w:p>
      <w:pPr>
        <w:spacing w:after="0" w:line="77" w:lineRule="exact"/>
        <w:rPr>
          <w:rFonts w:ascii="Arial" w:cs="Arial" w:eastAsia="Arial" w:hAnsi="Arial"/>
          <w:sz w:val="18"/>
          <w:szCs w:val="18"/>
          <w:color w:val="auto"/>
        </w:rPr>
      </w:pPr>
    </w:p>
    <w:p>
      <w:pPr>
        <w:ind w:left="4" w:right="180" w:firstLine="436"/>
        <w:spacing w:after="0" w:line="277" w:lineRule="auto"/>
        <w:tabs>
          <w:tab w:leader="none" w:pos="769"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benefits plan of Parent or its Affiliates and any Person acting in its capacity as trustee, agent or other fiduciary or administrator of any such plan.</w:t>
      </w:r>
    </w:p>
    <w:p>
      <w:pPr>
        <w:spacing w:after="0" w:line="62" w:lineRule="exact"/>
        <w:rPr>
          <w:rFonts w:ascii="Arial" w:cs="Arial" w:eastAsia="Arial" w:hAnsi="Arial"/>
          <w:sz w:val="18"/>
          <w:szCs w:val="18"/>
          <w:color w:val="auto"/>
        </w:rPr>
      </w:pPr>
    </w:p>
    <w:p>
      <w:pPr>
        <w:ind w:left="4" w:firstLine="436"/>
        <w:spacing w:after="0" w:line="272" w:lineRule="auto"/>
        <w:tabs>
          <w:tab w:leader="none" w:pos="789" w:val="left"/>
        </w:tabs>
        <w:numPr>
          <w:ilvl w:val="1"/>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w:t>
      </w:r>
    </w:p>
    <w:p>
      <w:pPr>
        <w:spacing w:after="0" w:line="69" w:lineRule="exact"/>
        <w:rPr>
          <w:rFonts w:ascii="Arial" w:cs="Arial" w:eastAsia="Arial" w:hAnsi="Arial"/>
          <w:sz w:val="17"/>
          <w:szCs w:val="17"/>
          <w:color w:val="auto"/>
        </w:rPr>
      </w:pPr>
    </w:p>
    <w:p>
      <w:pPr>
        <w:ind w:left="4" w:right="20" w:firstLine="436"/>
        <w:spacing w:after="0" w:line="259" w:lineRule="auto"/>
        <w:tabs>
          <w:tab w:leader="none" w:pos="769"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S&amp;P, Moody’s and Fitch or (2) if S&amp;P, Moody’s or Fitch or each of them shall not make a corporate rating with respect to the Issuers (or any Guarantor) or a rating on the 2028 Notes publicly available, a nationally recognized statistical rating agency or agencies, as the case may be, selected by Parent, which shall be substituted for any or all of S&amp;P, Moody’s or Fitch, as the case may be, with respect to such corporate rating or the rating of the 2028 Notes, as the case may be.</w:t>
      </w:r>
    </w:p>
    <w:p>
      <w:pPr>
        <w:spacing w:after="0" w:line="78" w:lineRule="exact"/>
        <w:rPr>
          <w:rFonts w:ascii="Arial" w:cs="Arial" w:eastAsia="Arial" w:hAnsi="Arial"/>
          <w:sz w:val="18"/>
          <w:szCs w:val="18"/>
          <w:color w:val="auto"/>
        </w:rPr>
      </w:pPr>
    </w:p>
    <w:p>
      <w:pPr>
        <w:ind w:left="4" w:right="180" w:firstLine="436"/>
        <w:spacing w:after="0" w:line="291" w:lineRule="auto"/>
        <w:tabs>
          <w:tab w:leader="none" w:pos="726" w:val="left"/>
        </w:tabs>
        <w:numPr>
          <w:ilvl w:val="1"/>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Decline</w:t>
      </w:r>
      <w:r>
        <w:rPr>
          <w:rFonts w:ascii="Arial" w:cs="Arial" w:eastAsia="Arial" w:hAnsi="Arial"/>
          <w:sz w:val="16"/>
          <w:szCs w:val="16"/>
          <w:color w:val="auto"/>
        </w:rPr>
        <w:t>” means the occurrence of a decrease in the rating of the 2028 Notes by one or more gradations by any two of three Rating Agencies (including gradations within the rating categories, as well as between categories), within 60 days after the earlier of (x) a Change of Control,</w:t>
      </w: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(y) the date of public notice of the occurrence of a Change of Control or (z) public notice of the intention of Parent to effect a Change of Control (which 60-day period shall be extended so long as the rating of the 2028 Notes is under publicly announced ratings review for possible downgrade by either of such two Rating Agencies, it being understood that a change in ratings outlook shall not extend such 60-day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Rating Decline otherwise arising by virtue of a particular reduction in rating will not be deemed to have occurred in respect of a particular Change of Control (and thus will not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81" w:name="page82"/>
    <w:bookmarkEnd w:id="81"/>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a Rating Decline shall not be deemed to have occurred so long as the 2028 Notes has an Investment Grade Rating from at least two of three Rating Agencies.</w:t>
      </w:r>
    </w:p>
    <w:p>
      <w:pPr>
        <w:spacing w:after="0" w:line="192"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The Trustee shall not be responsible for monitoring, or charged with knowledge of, the ratings of the 2028 Notes.</w:t>
      </w:r>
    </w:p>
    <w:p>
      <w:pPr>
        <w:spacing w:after="0" w:line="225" w:lineRule="exact"/>
        <w:rPr>
          <w:sz w:val="20"/>
          <w:szCs w:val="20"/>
          <w:color w:val="auto"/>
        </w:rPr>
      </w:pPr>
    </w:p>
    <w:p>
      <w:pPr>
        <w:ind w:left="784" w:hanging="344"/>
        <w:spacing w:after="0"/>
        <w:tabs>
          <w:tab w:leader="none" w:pos="7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Remaining Life</w:t>
      </w:r>
      <w:r>
        <w:rPr>
          <w:rFonts w:ascii="Arial" w:cs="Arial" w:eastAsia="Arial" w:hAnsi="Arial"/>
          <w:sz w:val="18"/>
          <w:szCs w:val="18"/>
          <w:color w:val="auto"/>
        </w:rPr>
        <w:t>” has the meaning set forth for such term in the definition of “Treasury Rate.”</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1"/>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(1) any Subsidiary of an Issuer that (a) is a Wholly-Owned Subsidiary, (b) is a Domestic Subsidiary and</w:t>
      </w:r>
    </w:p>
    <w:p>
      <w:pPr>
        <w:spacing w:after="0" w:line="34" w:lineRule="exact"/>
        <w:rPr>
          <w:rFonts w:ascii="Arial" w:cs="Arial" w:eastAsia="Arial" w:hAnsi="Arial"/>
          <w:sz w:val="17"/>
          <w:szCs w:val="17"/>
          <w:color w:val="auto"/>
        </w:rPr>
      </w:pPr>
    </w:p>
    <w:p>
      <w:pPr>
        <w:ind w:left="4" w:right="100" w:hanging="4"/>
        <w:spacing w:after="0" w:line="255" w:lineRule="auto"/>
        <w:tabs>
          <w:tab w:leader="none" w:pos="2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directly owns or directly leases any Principal Property and (2) any other Subsidiary that the Board of any Issuer may designate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“Restricted Subsidiary” shall not include Dell Financial Services L.L.C. or any other Subsidiary that is principally engaged in financing receivables, securitization transactions, factoring or other similar transactions.</w:t>
      </w:r>
    </w:p>
    <w:p>
      <w:pPr>
        <w:spacing w:after="0" w:line="189" w:lineRule="exact"/>
        <w:rPr>
          <w:rFonts w:ascii="Arial" w:cs="Arial" w:eastAsia="Arial" w:hAnsi="Arial"/>
          <w:sz w:val="18"/>
          <w:szCs w:val="18"/>
          <w:color w:val="auto"/>
        </w:rPr>
      </w:pPr>
    </w:p>
    <w:p>
      <w:pPr>
        <w:ind w:left="704" w:hanging="264"/>
        <w:spacing w:after="0"/>
        <w:tabs>
          <w:tab w:leader="none" w:pos="70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Inc. and any successor to its rating agency business.</w:t>
      </w:r>
    </w:p>
    <w:p>
      <w:pPr>
        <w:spacing w:after="0" w:line="225" w:lineRule="exact"/>
        <w:rPr>
          <w:rFonts w:ascii="Arial" w:cs="Arial" w:eastAsia="Arial" w:hAnsi="Arial"/>
          <w:sz w:val="18"/>
          <w:szCs w:val="18"/>
          <w:color w:val="auto"/>
        </w:rPr>
      </w:pPr>
    </w:p>
    <w:p>
      <w:pPr>
        <w:ind w:left="4" w:firstLine="436"/>
        <w:spacing w:after="0" w:line="293" w:lineRule="auto"/>
        <w:tabs>
          <w:tab w:leader="none" w:pos="709"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w:t>
      </w:r>
    </w:p>
    <w:p>
      <w:pPr>
        <w:spacing w:after="0" w:line="164" w:lineRule="exact"/>
        <w:rPr>
          <w:rFonts w:ascii="Arial" w:cs="Arial" w:eastAsia="Arial" w:hAnsi="Arial"/>
          <w:sz w:val="16"/>
          <w:szCs w:val="16"/>
          <w:color w:val="auto"/>
        </w:rPr>
      </w:pPr>
    </w:p>
    <w:p>
      <w:pPr>
        <w:ind w:left="784" w:hanging="344"/>
        <w:spacing w:after="0"/>
        <w:tabs>
          <w:tab w:leader="none" w:pos="7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Change of Control Payment Date</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4" w:right="540" w:firstLine="436"/>
        <w:spacing w:after="0" w:line="277" w:lineRule="auto"/>
        <w:tabs>
          <w:tab w:leader="none" w:pos="7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yield determined by the Issuers in accordance with the following two paragraphs.</w:t>
      </w:r>
    </w:p>
    <w:p>
      <w:pPr>
        <w:spacing w:after="0" w:line="62" w:lineRule="exact"/>
        <w:rPr>
          <w:rFonts w:ascii="Arial" w:cs="Arial" w:eastAsia="Arial" w:hAnsi="Arial"/>
          <w:sz w:val="18"/>
          <w:szCs w:val="18"/>
          <w:color w:val="auto"/>
        </w:rPr>
      </w:pPr>
    </w:p>
    <w:p>
      <w:pPr>
        <w:ind w:left="444" w:right="180" w:firstLine="419"/>
        <w:spacing w:after="0" w:line="254" w:lineRule="auto"/>
        <w:tabs>
          <w:tab w:leader="none" w:pos="1122"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8"/>
          <w:szCs w:val="18"/>
          <w:u w:val="single" w:color="auto"/>
          <w:color w:val="auto"/>
        </w:rPr>
        <w:t>H.15</w:t>
      </w:r>
      <w:r>
        <w:rPr>
          <w:rFonts w:ascii="Arial" w:cs="Arial" w:eastAsia="Arial" w:hAnsi="Arial"/>
          <w:sz w:val="18"/>
          <w:szCs w:val="18"/>
          <w:color w:val="auto"/>
        </w:rPr>
        <w:t>”) under the caption “U.S. government securities—Treasury constant maturities—Nominal” (or any successor caption or heading) (“</w:t>
      </w:r>
      <w:r>
        <w:rPr>
          <w:rFonts w:ascii="Arial" w:cs="Arial" w:eastAsia="Arial" w:hAnsi="Arial"/>
          <w:sz w:val="18"/>
          <w:szCs w:val="18"/>
          <w:u w:val="single" w:color="auto"/>
          <w:color w:val="auto"/>
        </w:rPr>
        <w:t>H.15 TCM</w:t>
      </w:r>
      <w:r>
        <w:rPr>
          <w:rFonts w:ascii="Arial" w:cs="Arial" w:eastAsia="Arial" w:hAnsi="Arial"/>
          <w:sz w:val="18"/>
          <w:szCs w:val="18"/>
          <w:color w:val="auto"/>
        </w:rPr>
        <w:t>”). In determining the Treasury Rate, the Issuers shall select, as applicable: (1) the yield for the Treasury constant maturity on H.15 exactly equal to the period from the Redemption Date to the Par Call Date (the “</w:t>
      </w:r>
      <w:r>
        <w:rPr>
          <w:rFonts w:ascii="Arial" w:cs="Arial" w:eastAsia="Arial" w:hAnsi="Arial"/>
          <w:sz w:val="18"/>
          <w:szCs w:val="18"/>
          <w:u w:val="single" w:color="auto"/>
          <w:color w:val="auto"/>
        </w:rPr>
        <w:t>Remaining Life</w:t>
      </w:r>
      <w:r>
        <w:rPr>
          <w:rFonts w:ascii="Arial" w:cs="Arial" w:eastAsia="Arial" w:hAnsi="Arial"/>
          <w:sz w:val="18"/>
          <w:szCs w:val="18"/>
          <w:color w:val="auto"/>
        </w:rPr>
        <w:t>”); or (2) if there is no such</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2" w:name="page83"/>
    <w:bookmarkEnd w:id="82"/>
    <w:p>
      <w:pPr>
        <w:ind w:left="44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69" w:lineRule="exact"/>
        <w:rPr>
          <w:sz w:val="20"/>
          <w:szCs w:val="20"/>
          <w:color w:val="auto"/>
        </w:rPr>
      </w:pPr>
    </w:p>
    <w:p>
      <w:pPr>
        <w:ind w:left="440" w:firstLine="419"/>
        <w:spacing w:after="0" w:line="287" w:lineRule="auto"/>
        <w:tabs>
          <w:tab w:leader="none" w:pos="1118"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rFonts w:ascii="Arial" w:cs="Arial" w:eastAsia="Arial" w:hAnsi="Arial"/>
          <w:sz w:val="16"/>
          <w:szCs w:val="16"/>
          <w:color w:val="auto"/>
        </w:rPr>
      </w:pPr>
    </w:p>
    <w:p>
      <w:pPr>
        <w:ind w:right="120" w:firstLine="436"/>
        <w:spacing w:after="0" w:line="277" w:lineRule="auto"/>
        <w:tabs>
          <w:tab w:leader="none" w:pos="8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Issuers shall not, and shall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2028 Notes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or (b) the Issuers shall apply an amount equal to the net proceeds of the Attributable Indebtedness with respect to such Sale and Lease-Back Transaction within 365 days after such Sale and Lease-Back Transaction to the defeasance or retirement of any 2028 Notes or other indebtedness of the Issuers or a Restricted Subsidiary or to the purchase, construction or development of other assets or property.</w:t>
      </w:r>
    </w:p>
    <w:p>
      <w:pPr>
        <w:spacing w:after="0" w:line="194" w:lineRule="exact"/>
        <w:rPr>
          <w:rFonts w:ascii="Arial" w:cs="Arial" w:eastAsia="Arial" w:hAnsi="Arial"/>
          <w:sz w:val="18"/>
          <w:szCs w:val="18"/>
          <w:color w:val="auto"/>
        </w:rPr>
      </w:pPr>
    </w:p>
    <w:p>
      <w:pPr>
        <w:jc w:val="both"/>
        <w:ind w:right="20" w:firstLine="436"/>
        <w:spacing w:after="0" w:line="286" w:lineRule="auto"/>
        <w:tabs>
          <w:tab w:leader="none" w:pos="69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Issuers and their Restricted Subsidiaries may enter into any Sale and Lease-Back Transaction which would otherwise be prohibited by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if, after giving effect thereto and at the time of determination, Aggregate Debt does not exceed at any one time outstanding the greater of (x) $4,300.0 million and (y) 15% of Consolidated Net Tangible Assets.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9"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Issuers shall not, and shall not permit any of their Restricted Subsidiaries to, directly or indirectly, create, incur or assume any Lien (except Permitted Liens) on any of their or any Restricted Subsidiary’s Principal Property (whether such Principal Property are now existing or owed or hereafter created or acquired) that secures indebtedness for borrowed money, unless the 2028 Notes are equally and ratably secured with (or, at an Issuer’s option, on a senior basis to) the indebtedness so secured.</w:t>
      </w:r>
    </w:p>
    <w:p>
      <w:pPr>
        <w:spacing w:after="0" w:line="78" w:lineRule="exact"/>
        <w:rPr>
          <w:rFonts w:ascii="Arial" w:cs="Arial" w:eastAsia="Arial" w:hAnsi="Arial"/>
          <w:sz w:val="18"/>
          <w:szCs w:val="18"/>
          <w:color w:val="auto"/>
        </w:rPr>
      </w:pPr>
    </w:p>
    <w:p>
      <w:pPr>
        <w:ind w:right="140" w:firstLine="436"/>
        <w:spacing w:after="0" w:line="279"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the Issuers and their Restricted Subsidiaries may, without equally and ratably securing the 2028 Notes, create, incur or assume any Lien which would otherwise be prohibited by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if, after giving effect thereto and at the time of determination, Aggregate Debt of the Issuers and their Restricted Subsidiaries secured by Liens on any of their respective Principal Properties does not exceed at any one time outstanding the greater of (x) $4,300.0 million and (y) 15% of Consolidated Net Tangible Assets.</w:t>
      </w:r>
    </w:p>
    <w:p>
      <w:pPr>
        <w:spacing w:after="0" w:line="63" w:lineRule="exact"/>
        <w:rPr>
          <w:rFonts w:ascii="Arial" w:cs="Arial" w:eastAsia="Arial" w:hAnsi="Arial"/>
          <w:sz w:val="17"/>
          <w:szCs w:val="17"/>
          <w:color w:val="auto"/>
        </w:rPr>
      </w:pPr>
    </w:p>
    <w:p>
      <w:pPr>
        <w:ind w:right="180" w:firstLine="436"/>
        <w:spacing w:after="0" w:line="263"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Lien created for the benefit of the Holders of any 2028 Notes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shall provide by its terms that such Lien shall be automatically and unconditionally released and discharged upon the release and discharge of the Lien that gave rise to the obligation to secure the 2028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7"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 Change of Control Triggering Event occurs, unless, prior to or concurrently with the time the Issuers are required to make a Change of Control Offer, the Issuers have mailed or delivered, or otherwise sent through electronic transmission, a redemption notice with respect to all the outstanding 2028 Notes pursuant to the optional redemption terms set forth in the Officer’s Certificate, supplemental indenture or resolutions of the Issuers’ Boards, as applicable, governing the 2028 Notes or pursuant to Section 11.01 of the Base Indenture, the Issuers shall make an offer to purchase all of the 2028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at a price in cash equal to 101% of the aggregate principal amount thereof (or such higher amount as the Issuers may determine (any Change of Control Offer at a higher amount, an “</w:t>
      </w:r>
      <w:r>
        <w:rPr>
          <w:rFonts w:ascii="Arial" w:cs="Arial" w:eastAsia="Arial" w:hAnsi="Arial"/>
          <w:sz w:val="16"/>
          <w:szCs w:val="16"/>
          <w:u w:val="single" w:color="auto"/>
          <w:color w:val="auto"/>
        </w:rPr>
        <w:t>Alternate Offer</w:t>
      </w:r>
      <w:r>
        <w:rPr>
          <w:rFonts w:ascii="Arial" w:cs="Arial" w:eastAsia="Arial" w:hAnsi="Arial"/>
          <w:sz w:val="16"/>
          <w:szCs w:val="16"/>
          <w:color w:val="auto"/>
        </w:rPr>
        <w:t>”)) (such price, the “</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plus accrued and unpaid interest, if any, to, but excluding the date of purchase, subject to the right of Holders of record on the relevant Record Date to receive interest due on the relevant Interest Payment Date falling on or prior to the Change of Control Payment Date. Within 30 days following any Change of Control Triggering Event, the Issuers shall send notice of such Change of Control Offer by electronic delivery or first-class mail, with a copy to the Trustee, to each Holder of the 2028 Notes to the address of such Holder appearing in the security register or otherwise in accordance with the procedures of DTC, with the following information:</w:t>
      </w:r>
    </w:p>
    <w:p>
      <w:pPr>
        <w:spacing w:after="0" w:line="63" w:lineRule="exact"/>
        <w:rPr>
          <w:rFonts w:ascii="Arial" w:cs="Arial" w:eastAsia="Arial" w:hAnsi="Arial"/>
          <w:sz w:val="16"/>
          <w:szCs w:val="16"/>
          <w:color w:val="auto"/>
        </w:rPr>
      </w:pPr>
    </w:p>
    <w:p>
      <w:pPr>
        <w:ind w:left="440" w:right="500" w:firstLine="419"/>
        <w:spacing w:after="0" w:line="277"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that all 2028 Notes properly tendered pursuant to such Change of Control Offer will be accepted for payment by the Issuers;</w:t>
      </w:r>
    </w:p>
    <w:p>
      <w:pPr>
        <w:spacing w:after="0" w:line="62" w:lineRule="exact"/>
        <w:rPr>
          <w:rFonts w:ascii="Arial" w:cs="Arial" w:eastAsia="Arial" w:hAnsi="Arial"/>
          <w:sz w:val="18"/>
          <w:szCs w:val="18"/>
          <w:color w:val="auto"/>
        </w:rPr>
      </w:pPr>
    </w:p>
    <w:p>
      <w:pPr>
        <w:ind w:left="440" w:right="40" w:firstLine="419"/>
        <w:spacing w:after="0" w:line="259"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20 Business Days nor later than 60 days from the date such notice is sent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Change of Control Payment Date may be delayed, in the Issuers’ discretion, until such time (including more than 60 days after the date such notice is sent) as any or all such conditions referred to in clause (7) below shall be satisfied or waived;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4" w:name="page85"/>
    <w:bookmarkEnd w:id="84"/>
    <w:p>
      <w:pPr>
        <w:ind w:left="1120" w:hanging="261"/>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any 2028 Note not properly tendered will remain outstanding and continue to accrue interest;</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plus accrued and unpaid interest on all properly tendered 2028 Notes, all 2028 Notes accepted for payment pursuant to the Change of Control Offer will cease to accrue interest on the Change of Control Payment Date;</w:t>
      </w:r>
    </w:p>
    <w:p>
      <w:pPr>
        <w:spacing w:after="0" w:line="75" w:lineRule="exact"/>
        <w:rPr>
          <w:rFonts w:ascii="Arial" w:cs="Arial" w:eastAsia="Arial" w:hAnsi="Arial"/>
          <w:sz w:val="18"/>
          <w:szCs w:val="18"/>
          <w:color w:val="auto"/>
        </w:rPr>
      </w:pPr>
    </w:p>
    <w:p>
      <w:pPr>
        <w:ind w:left="440" w:right="120" w:firstLine="419"/>
        <w:spacing w:after="0" w:line="279" w:lineRule="auto"/>
        <w:tabs>
          <w:tab w:leader="none" w:pos="111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Holders electing to have any 2028 Notes purchased pursuant to a Change of Control Offer will be required to surrender such 2028 Notes, with the form entitled “Option of Holder to Elect Purchase” on the reverse of such 2028 Notes completed or otherwise in accordance with the procedures of DTC, to the Paying Agent specified in the notice at the address specified in the notice prior to the close of business on the third (3rd) Business Day preceding the Change of Control Payment Date;</w:t>
      </w:r>
    </w:p>
    <w:p>
      <w:pPr>
        <w:spacing w:after="0" w:line="63" w:lineRule="exact"/>
        <w:rPr>
          <w:rFonts w:ascii="Arial" w:cs="Arial" w:eastAsia="Arial" w:hAnsi="Arial"/>
          <w:sz w:val="17"/>
          <w:szCs w:val="17"/>
          <w:color w:val="auto"/>
        </w:rPr>
      </w:pPr>
    </w:p>
    <w:p>
      <w:pPr>
        <w:jc w:val="both"/>
        <w:ind w:left="440" w:firstLine="419"/>
        <w:spacing w:after="0" w:line="259"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if less than all of such Holder’s 2028 Notes are tendered for purchase, such Holder will be issued new 2028 Notes (or, in the case of Global Securities, such 2028 Notes shall be reduced by such amount of Securities that the Holder has tendered) and such new 2028 Notes will be equal in aggregate principal amount to the unpurchased portion of the 2028 Notes surrendered (the unpurchased portion of the 2028 Notes must be equal to $2,000 or an integral multiple of $1,000 in excess thereof);</w:t>
      </w:r>
    </w:p>
    <w:p>
      <w:pPr>
        <w:spacing w:after="0" w:line="78" w:lineRule="exact"/>
        <w:rPr>
          <w:rFonts w:ascii="Arial" w:cs="Arial" w:eastAsia="Arial" w:hAnsi="Arial"/>
          <w:sz w:val="18"/>
          <w:szCs w:val="18"/>
          <w:color w:val="auto"/>
        </w:rPr>
      </w:pPr>
    </w:p>
    <w:p>
      <w:pPr>
        <w:ind w:left="440" w:right="100" w:firstLine="419"/>
        <w:spacing w:after="0" w:line="254"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such notice is sent prior to the occurrence of a Change of Control Triggering Event, stating that the Change of Control Offer is conditional on the occurrence of such Change of Control Triggering Event or such other conditions specified therein and shall describe each such condition, and, if applicable, shall state that, in the Issuers’ discretion (including more than 60 days after the notice is mailed or delivered), the Change of Control Payment Date may be delayed until such time as any or all such conditions shall be satisfied or waived,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w:t>
      </w:r>
    </w:p>
    <w:p>
      <w:pPr>
        <w:spacing w:after="0" w:line="86" w:lineRule="exact"/>
        <w:rPr>
          <w:rFonts w:ascii="Arial" w:cs="Arial" w:eastAsia="Arial" w:hAnsi="Arial"/>
          <w:sz w:val="18"/>
          <w:szCs w:val="18"/>
          <w:color w:val="auto"/>
        </w:rPr>
      </w:pPr>
    </w:p>
    <w:p>
      <w:pPr>
        <w:ind w:left="1120" w:hanging="261"/>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other instructions, as determined by the Issuers, consistent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that a Holder must follow.</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While the 2028 Notes are in global form and the Issuers make an offer to purchase all of the 2028 Notes pursuant to the Change of Control Offer, a Holder of such 2028 Notes may exercise its option to elect for the purchase of the 2028 Notes through the facilities of DTC, subject to its rules and regulations.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The Issuers shall comply with the requirements of Rule 14e-1 under the Exchange Act and any other securities laws and regulations thereunder to the extent such laws or regulations are applicable in connection with the repurchase of 2028 Notes pursuant to a Change of Control Offer (including, for the avoidance of doubt, an Alternate Offer). To the extent that the provisions of any securities laws or regulations conflict with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Issuers shall comply with the applicable securities laws and regulations and shall not be deemed to have breached its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by virtue thereof.</w:t>
      </w:r>
    </w:p>
    <w:p>
      <w:pPr>
        <w:spacing w:after="0" w:line="188" w:lineRule="exact"/>
        <w:rPr>
          <w:sz w:val="20"/>
          <w:szCs w:val="20"/>
          <w:color w:val="auto"/>
        </w:rPr>
      </w:pPr>
    </w:p>
    <w:p>
      <w:pPr>
        <w:ind w:left="5360" w:right="3860" w:hanging="4924"/>
        <w:spacing w:after="0" w:line="449" w:lineRule="auto"/>
        <w:tabs>
          <w:tab w:leader="none" w:pos="6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the Change of Control Payment Date, the Issuers shall, to the extent permitted by law, -13-</w:t>
      </w:r>
    </w:p>
    <w:p>
      <w:pPr>
        <w:sectPr>
          <w:pgSz w:w="11900" w:h="16838" w:orient="portrait"/>
          <w:cols w:equalWidth="0" w:num="1">
            <w:col w:w="11000"/>
          </w:cols>
          <w:pgMar w:left="440" w:top="274" w:right="459" w:bottom="1440" w:gutter="0" w:footer="0" w:header="0"/>
        </w:sectPr>
      </w:pPr>
    </w:p>
    <w:bookmarkStart w:id="85" w:name="page86"/>
    <w:bookmarkEnd w:id="85"/>
    <w:p>
      <w:pPr>
        <w:ind w:left="1120" w:hanging="261"/>
        <w:spacing w:after="0"/>
        <w:tabs>
          <w:tab w:leader="none" w:pos="1120" w:val="left"/>
        </w:tabs>
        <w:numPr>
          <w:ilvl w:val="1"/>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 for payment all 2028 Notes issued by them or portions thereof properly tendered pursuant to the Change of Control Offer,</w:t>
      </w:r>
    </w:p>
    <w:p>
      <w:pPr>
        <w:spacing w:after="0" w:line="128" w:lineRule="exact"/>
        <w:rPr>
          <w:rFonts w:ascii="Arial" w:cs="Arial" w:eastAsia="Arial" w:hAnsi="Arial"/>
          <w:sz w:val="17"/>
          <w:szCs w:val="17"/>
          <w:color w:val="auto"/>
        </w:rPr>
      </w:pPr>
    </w:p>
    <w:p>
      <w:pPr>
        <w:ind w:left="440" w:right="360" w:firstLine="419"/>
        <w:spacing w:after="0" w:line="277" w:lineRule="auto"/>
        <w:tabs>
          <w:tab w:leader="none" w:pos="11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2028 Notes or portions thereof so tendered, plus accrued and unpaid interest thereon, and</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2028 Notes so accepted together with an Officer’s Certificate to the Trustee stating that such 2028 Notes or portions thereof have been tendered to and purchased by the Issuers.</w:t>
      </w:r>
    </w:p>
    <w:p>
      <w:pPr>
        <w:spacing w:after="0" w:line="62" w:lineRule="exact"/>
        <w:rPr>
          <w:rFonts w:ascii="Arial" w:cs="Arial" w:eastAsia="Arial" w:hAnsi="Arial"/>
          <w:sz w:val="18"/>
          <w:szCs w:val="18"/>
          <w:color w:val="auto"/>
        </w:rPr>
      </w:pPr>
    </w:p>
    <w:p>
      <w:pPr>
        <w:ind w:right="140" w:firstLine="436"/>
        <w:spacing w:after="0" w:line="293"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Issuers shall not be required to make a Change of Control Offer if a third party makes the Change of Control Offer (including, for the avoidance of doubt, an Alternate Offer) in the manner, at the times and otherwise in compliance with the requirements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applicable to a Change of Control Offer made by the Issuers and purchases all 2028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w:t>
      </w:r>
    </w:p>
    <w:p>
      <w:pPr>
        <w:spacing w:after="0" w:line="56"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Holders of not less than 90% in aggregate principal amount of the outstanding 2028 Notes validly tender and do not withdraw such 2028 Notes in a Change of Control Offer and the Issuers, or any third party making a Change of Control Offer in lieu of the Issuers as set forth in clause (c)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purchases all of the 2028 Notes that have been validly tendered and not withdrawn by such Holders, the Issuers or such third party shall have the right, upon not less than 10 nor more than 60 days’ prior notice, given not more than 30 days following such purchase pursuant to the Change of Control Offer as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to redeem (with respect to the Issuers) or purchase (with respect to a third party) all 2028 Notes that remain outstanding following such purchase on a date (the “</w:t>
      </w:r>
      <w:r>
        <w:rPr>
          <w:rFonts w:ascii="Arial" w:cs="Arial" w:eastAsia="Arial" w:hAnsi="Arial"/>
          <w:sz w:val="17"/>
          <w:szCs w:val="17"/>
          <w:u w:val="single" w:color="auto"/>
          <w:color w:val="auto"/>
        </w:rPr>
        <w:t>Second Change of Control Payment Date</w:t>
      </w:r>
      <w:r>
        <w:rPr>
          <w:rFonts w:ascii="Arial" w:cs="Arial" w:eastAsia="Arial" w:hAnsi="Arial"/>
          <w:sz w:val="17"/>
          <w:szCs w:val="17"/>
          <w:color w:val="auto"/>
        </w:rPr>
        <w:t>”) at a price in cash equal to the Change of Control Payment (excluding any early tender premium or similar premium and any accrued and unpaid interest to any Holder in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2028 Notes on the relevant record date to receive interest due on the relevant interest payment date falling on or prior to the Second Change of Control Payment Date.</w:t>
      </w:r>
    </w:p>
    <w:p>
      <w:pPr>
        <w:spacing w:after="0" w:line="73" w:lineRule="exact"/>
        <w:rPr>
          <w:rFonts w:ascii="Arial" w:cs="Arial" w:eastAsia="Arial" w:hAnsi="Arial"/>
          <w:sz w:val="17"/>
          <w:szCs w:val="17"/>
          <w:color w:val="auto"/>
        </w:rPr>
      </w:pPr>
    </w:p>
    <w:p>
      <w:pPr>
        <w:ind w:right="540" w:firstLine="436"/>
        <w:spacing w:after="0" w:line="277" w:lineRule="auto"/>
        <w:tabs>
          <w:tab w:leader="none" w:pos="6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Other than as specifically provided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any purchase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made pursuant to the provisions of Sections 3.02, 3.05 and 3.06 of the Base Indenture.</w:t>
      </w:r>
    </w:p>
    <w:p>
      <w:pPr>
        <w:spacing w:after="0" w:line="62" w:lineRule="exact"/>
        <w:rPr>
          <w:rFonts w:ascii="Arial" w:cs="Arial" w:eastAsia="Arial" w:hAnsi="Arial"/>
          <w:sz w:val="18"/>
          <w:szCs w:val="18"/>
          <w:color w:val="auto"/>
        </w:rPr>
      </w:pPr>
    </w:p>
    <w:p>
      <w:pPr>
        <w:ind w:firstLine="436"/>
        <w:spacing w:after="0" w:line="263" w:lineRule="auto"/>
        <w:tabs>
          <w:tab w:leader="none" w:pos="6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relating to the Issuers’ obligation to make a Change of Control Offer upon a Change of Control Triggering Event may be waived or modified at any time with the written consent of the Holders of a majority in aggregate principal amount of the 2028 Notes then outstanding.</w:t>
      </w:r>
    </w:p>
    <w:p>
      <w:pPr>
        <w:spacing w:after="0" w:line="75" w:lineRule="exact"/>
        <w:rPr>
          <w:rFonts w:ascii="Arial" w:cs="Arial" w:eastAsia="Arial" w:hAnsi="Arial"/>
          <w:sz w:val="18"/>
          <w:szCs w:val="18"/>
          <w:color w:val="auto"/>
        </w:rPr>
      </w:pPr>
    </w:p>
    <w:p>
      <w:pPr>
        <w:ind w:firstLine="436"/>
        <w:spacing w:after="0" w:line="254"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Change of Control Offer (including, for the avoidance of doubt, an Alternate Offer) may be made at the same time as consents are solicited with respect to an amendment, supplement or waiver of the Indenture, the 2028 Notes and/or the Note Guarantees so long as the tender of 2028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their sole discretion, so long as the Change of Control Payment is at least equal to 101% of the aggregate principal amount of the 2028 Notes being repurchased, plus accrued and unpaid interest thereon.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6" w:name="page87"/>
    <w:bookmarkEnd w:id="86"/>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2028 NOTES SUPPLEMENTAL INDENTURE WILL BE GOVERNED BY AND CONSTRUED IN ACCORDANCE WITH THE LAWS OF THE STATE OF NEW YORK.</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In the event of a conflict between the terms and conditions of the Base Indenture and the terms and conditions of this 2028 Notes Supplemental Indenture, then the terms and conditions of this 2028 Notes Supplemental Indenture shall prevail;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and to the extent that any provision of this 2028 Notes Supplemental Indenture limits, qualifies or conflicts with another provision which is required to be included herein or in the Base Indenture by the Trust Indenture Act, such required provision shall control.</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sign any number of copies of this 2028 Notes Supplemental Indenture. Each signed copy shall be an original, but all of them together represent the same agreement. The words “execution,” “signed,” “signature,” “delivery,” and words of like import in or relating to this 2028 Notes Supplemental Indenture or any document to be signed in connection with this 2028 Notes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Trustee Not Responsible for Recitals or Issuance of 2028 Notes</w:t>
      </w:r>
      <w:r>
        <w:rPr>
          <w:rFonts w:ascii="Arial" w:cs="Arial" w:eastAsia="Arial" w:hAnsi="Arial"/>
          <w:sz w:val="18"/>
          <w:szCs w:val="18"/>
          <w:color w:val="auto"/>
        </w:rPr>
        <w:t>. The recitals contained herein shall be taken as the statements of the Issuers, and the Trustee assumes no responsibility for their correctness. The Trustee makes no representations as to the validity or sufficiency of this 2028 Notes Supplemental Indenture or of the 2028 Notes. The Trustee shall not be accountable for the use or application by the Issuers of 2028 Notes or the proceeds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DELL INTERNATIONAL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100"/>
          </w:cols>
          <w:pgMar w:left="880" w:top="274" w:right="9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DELL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Finance Counsel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Assistant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DENALI INTERMEDIATE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89" w:name="page90"/>
    <w:bookmarkEnd w:id="8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 TRUST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w:t>
      </w:r>
      <w:r>
        <w:rPr>
          <w:rFonts w:ascii="Arial" w:cs="Arial" w:eastAsia="Arial" w:hAnsi="Arial"/>
          <w:sz w:val="16"/>
          <w:szCs w:val="16"/>
          <w:color w:val="auto"/>
        </w:rPr>
        <w:t>]</w:t>
      </w:r>
    </w:p>
    <w:p>
      <w:pPr>
        <w:sectPr>
          <w:pgSz w:w="11900" w:h="16838" w:orient="portrait"/>
          <w:cols w:equalWidth="0" w:num="1">
            <w:col w:w="9200"/>
          </w:cols>
          <w:pgMar w:left="1440" w:top="274" w:right="1259" w:bottom="1440" w:gutter="0" w:footer="0" w:header="0"/>
        </w:sectPr>
      </w:pPr>
    </w:p>
    <w:bookmarkStart w:id="90" w:name="page91"/>
    <w:bookmarkEnd w:id="90"/>
    <w:p>
      <w:pPr>
        <w:ind w:left="10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20"/>
          </w:cols>
          <w:pgMar w:left="440" w:top="274"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24703DBJ9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US24703DBJ90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 up to</w:t>
      </w:r>
    </w:p>
    <w:p>
      <w:pPr>
        <w:spacing w:after="0" w:line="9" w:lineRule="exact"/>
        <w:rPr>
          <w:sz w:val="20"/>
          <w:szCs w:val="20"/>
          <w:color w:val="auto"/>
        </w:rPr>
      </w:pPr>
    </w:p>
    <w:p>
      <w:pPr>
        <w:ind w:left="4820"/>
        <w:spacing w:after="0"/>
        <w:tabs>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-19050</wp:posOffset>
            </wp:positionV>
            <wp:extent cx="7423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5.250% Senior Notes due 2028</w:t>
      </w:r>
    </w:p>
    <w:p>
      <w:pPr>
        <w:spacing w:after="0" w:line="234" w:lineRule="exact"/>
        <w:rPr>
          <w:sz w:val="20"/>
          <w:szCs w:val="20"/>
          <w:color w:val="auto"/>
        </w:rPr>
      </w:pPr>
    </w:p>
    <w:p>
      <w:pPr>
        <w:spacing w:after="0"/>
        <w:tabs>
          <w:tab w:leader="none" w:pos="10020" w:val="left"/>
          <w:tab w:leader="none" w:pos="109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wp:posOffset>
            </wp:positionV>
            <wp:extent cx="3429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4857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DELL INTERNATIONAL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EMC CORPORATION</w:t>
      </w:r>
    </w:p>
    <w:p>
      <w:pPr>
        <w:spacing w:after="0" w:line="21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promise to pay to CEDE &amp; CO. or registered assigns, the principal sum set forth on the Schedule of Exchanges of Interests in the Global Security attached hereto on February 1, 2028.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 and August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15 and July 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92" w:name="page93"/>
    <w:bookmarkEnd w:id="9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HEREOF, the Issuers have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DELL INTERNATIONAL L.L.C.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4" w:right="1440"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THE BANK OF NEW YORK MELLON TRUST COMPANY, N.A. , as</w:t>
      </w:r>
    </w:p>
    <w:p>
      <w:pPr>
        <w:spacing w:after="0" w:line="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 20[•]</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00"/>
          </w:cols>
          <w:pgMar w:left="440" w:top="274" w:right="9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5.250% Senior Notes due 2028</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Capitalized terms used herein shall have the meanings assigned to them in the Base Indenture referred to below unless otherwise indicated.</w:t>
      </w:r>
    </w:p>
    <w:p>
      <w:pPr>
        <w:spacing w:after="0" w:line="248" w:lineRule="exact"/>
        <w:rPr>
          <w:sz w:val="20"/>
          <w:szCs w:val="20"/>
          <w:color w:val="auto"/>
        </w:rPr>
      </w:pPr>
    </w:p>
    <w:p>
      <w:pPr>
        <w:ind w:left="-20" w:right="40" w:firstLine="987"/>
        <w:spacing w:after="0" w:line="269" w:lineRule="auto"/>
        <w:tabs>
          <w:tab w:leader="none" w:pos="11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INTEREST. Dell International L.L.C., a Delaware limited liability company (“</w:t>
      </w:r>
      <w:r>
        <w:rPr>
          <w:rFonts w:ascii="Arial" w:cs="Arial" w:eastAsia="Arial" w:hAnsi="Arial"/>
          <w:sz w:val="17"/>
          <w:szCs w:val="17"/>
          <w:u w:val="single" w:color="auto"/>
          <w:color w:val="auto"/>
        </w:rPr>
        <w:t>Dell International</w:t>
      </w:r>
      <w:r>
        <w:rPr>
          <w:rFonts w:ascii="Arial" w:cs="Arial" w:eastAsia="Arial" w:hAnsi="Arial"/>
          <w:sz w:val="17"/>
          <w:szCs w:val="17"/>
          <w:color w:val="auto"/>
        </w:rPr>
        <w:t>”), and EMC Corporation, a Massachusetts corporation (“</w:t>
      </w:r>
      <w:r>
        <w:rPr>
          <w:rFonts w:ascii="Arial" w:cs="Arial" w:eastAsia="Arial" w:hAnsi="Arial"/>
          <w:sz w:val="17"/>
          <w:szCs w:val="17"/>
          <w:u w:val="single" w:color="auto"/>
          <w:color w:val="auto"/>
        </w:rPr>
        <w:t>EMC</w:t>
      </w:r>
      <w:r>
        <w:rPr>
          <w:rFonts w:ascii="Arial" w:cs="Arial" w:eastAsia="Arial" w:hAnsi="Arial"/>
          <w:sz w:val="17"/>
          <w:szCs w:val="17"/>
          <w:color w:val="auto"/>
        </w:rPr>
        <w:t>” and, together with Dell International, the “</w:t>
      </w:r>
      <w:r>
        <w:rPr>
          <w:rFonts w:ascii="Arial" w:cs="Arial" w:eastAsia="Arial" w:hAnsi="Arial"/>
          <w:sz w:val="17"/>
          <w:szCs w:val="17"/>
          <w:u w:val="single" w:color="auto"/>
          <w:color w:val="auto"/>
        </w:rPr>
        <w:t>Issuers</w:t>
      </w:r>
      <w:r>
        <w:rPr>
          <w:rFonts w:ascii="Arial" w:cs="Arial" w:eastAsia="Arial" w:hAnsi="Arial"/>
          <w:sz w:val="17"/>
          <w:szCs w:val="17"/>
          <w:color w:val="auto"/>
        </w:rPr>
        <w:t>”), promise to pay interest on the principal amount of this 2028 Note at 5.250% per annum, from January 24, 2023 until Maturity. The Issuers shall pay interest semi-annually in arrears on February 1 and August 1 of each year, or if any such day is not a Business Day, on the next succeeding Business Day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Interest on the 2028 Notes shall accrue from the most recent date to which interest has been paid or, if no interest has been paid, from January 24,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Interest Payment Date shall be August 1, 2023. The Issuers shall pay interest (including post-petition interest in any proceeding under any Bankruptcy Law) on overdue principal and premium, if any, from time to time on demand at the interest rate on the 2028 Notes to the extent lawful; the Issuers shall pay interest (including post-petition interest in any proceeding under any Bankruptcy Law) on overdue installments of interest, if any, from time to time on demand at the interest rate on the 2028 Notes. Interest shall be computed on the basis of a 360-day year comprised of twelve 30-day months. The interest rate on the 2028 Notes will in no event be higher than the maximum rate permitted by New York law as the same may be modified by United States law of general application. This 2028 Note is one of the series designated on the face hereof (individually, a “</w:t>
      </w:r>
      <w:r>
        <w:rPr>
          <w:rFonts w:ascii="Arial" w:cs="Arial" w:eastAsia="Arial" w:hAnsi="Arial"/>
          <w:sz w:val="17"/>
          <w:szCs w:val="17"/>
          <w:u w:val="single" w:color="auto"/>
          <w:color w:val="auto"/>
        </w:rPr>
        <w:t>2028 Note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2028 Notes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0" w:right="20" w:firstLine="987"/>
        <w:spacing w:after="0" w:line="291" w:lineRule="auto"/>
        <w:tabs>
          <w:tab w:leader="none" w:pos="11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METHOD OF PAYMENT. The Issuers will pay interest on the 2028 Notes to the Persons who are registered Holders of the 2028 Notes at the close of business (if applicable) on the January 15 or July 15 (whether or not a Business Day), as the case may be, immediately preceding the Interest Payment Date, even if such Securities are canceled after such record date and on or before such Interest Payment Date, except as provided in Section 2.12 of the Base Indenture with respect to defaulted interest. Payment of interest may be made by check mailed to the Holders of the 2028 Notes at their addresses set forth in the register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payments of principal of and interest and premium, if any, with respect to the 2028 Notes represented by one or more Global Securities will be made in accordance with DTC’s applicable procedures. Such payment shall be in such coin or currency of the United States of America as at the time of payment is legal tender for payment of public and private debts.</w:t>
      </w:r>
    </w:p>
    <w:p>
      <w:pPr>
        <w:spacing w:after="0" w:line="166" w:lineRule="exact"/>
        <w:rPr>
          <w:rFonts w:ascii="Arial" w:cs="Arial" w:eastAsia="Arial" w:hAnsi="Arial"/>
          <w:sz w:val="16"/>
          <w:szCs w:val="16"/>
          <w:color w:val="auto"/>
        </w:rPr>
      </w:pPr>
    </w:p>
    <w:p>
      <w:pPr>
        <w:ind w:left="-20" w:right="100" w:firstLine="987"/>
        <w:spacing w:after="0" w:line="263" w:lineRule="auto"/>
        <w:tabs>
          <w:tab w:leader="none" w:pos="11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PAYING AGENT AND REGISTRAR. Initially, The Bank of New York Mellon Trust Company, N.A., the Trustee under the Indenture, will act as Paying Agent and Registrar. The Issuers may change any Paying Agent or Registrar without notice to the Holders. Parent or any of its Subsidiaries may act in any such capacity.</w:t>
      </w:r>
    </w:p>
    <w:p>
      <w:pPr>
        <w:spacing w:after="0" w:line="183" w:lineRule="exact"/>
        <w:rPr>
          <w:rFonts w:ascii="Arial" w:cs="Arial" w:eastAsia="Arial" w:hAnsi="Arial"/>
          <w:sz w:val="18"/>
          <w:szCs w:val="18"/>
          <w:color w:val="auto"/>
        </w:rPr>
      </w:pPr>
    </w:p>
    <w:p>
      <w:pPr>
        <w:ind w:left="-20" w:firstLine="987"/>
        <w:spacing w:after="0" w:line="271" w:lineRule="auto"/>
        <w:tabs>
          <w:tab w:leader="none" w:pos="11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INDENTURE. The Issuers issued the 2028 Notes under the Base Indenture, dated as of January 24, 2023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among the Issuers, the Guarantors and the Trustee, as supplemented by the 2028 Notes Supplemental Indenture No. 1, dated as of January 24, 2023 (the “</w:t>
      </w:r>
      <w:r>
        <w:rPr>
          <w:rFonts w:ascii="Arial" w:cs="Arial" w:eastAsia="Arial" w:hAnsi="Arial"/>
          <w:sz w:val="17"/>
          <w:szCs w:val="17"/>
          <w:u w:val="single" w:color="auto"/>
          <w:color w:val="auto"/>
        </w:rPr>
        <w:t>2028</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 Supplemental Indenture No. 1</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Issuers, the Guarantors and the Trustee. This 2028 Note is one of a duly authorized issue of securities of the Issuers designated as their 5.250% Senior Notes due 2028. The Issuers shall be entitled to issue Additional Securities constituting Securities pursuant to Section 2.01 of the Base Indenture and Section 1(b) of the 2028 Notes Supplemental Indenture No. 1. The terms of the 2028 Notes include those stated in the Indenture. The 2028 Notes are subject to all such terms, and Holders of the 2028 Notes are referred to the Indenture for a statement of such terms. To the extent any provision of this 2028 Note conflicts with the express provisions of the Indenture, the provisions of the Indenture shall govern and be controlling.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60" w:top="274" w:right="459" w:bottom="1440" w:gutter="0" w:footer="0" w:header="0"/>
        </w:sectPr>
      </w:pPr>
    </w:p>
    <w:bookmarkStart w:id="95" w:name="page96"/>
    <w:bookmarkEnd w:id="95"/>
    <w:p>
      <w:pPr>
        <w:ind w:left="-60" w:right="40" w:firstLine="987"/>
        <w:spacing w:after="0" w:line="263" w:lineRule="auto"/>
        <w:tabs>
          <w:tab w:leader="none" w:pos="1111"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AND REPURCHASE. The 2028 Notes are subject to optional redemption, and may be the subject of a Change of Control Offer or an Alternate Offer, as further described in the 2028 Notes Supplemental Indenture No. 1. The Issuers shall not be required to make any mandatory redemption or sinking fund payments with respect to the 2028 Notes.</w:t>
      </w:r>
    </w:p>
    <w:p>
      <w:pPr>
        <w:spacing w:after="0" w:line="183" w:lineRule="exact"/>
        <w:rPr>
          <w:rFonts w:ascii="Arial" w:cs="Arial" w:eastAsia="Arial" w:hAnsi="Arial"/>
          <w:sz w:val="18"/>
          <w:szCs w:val="18"/>
          <w:color w:val="auto"/>
        </w:rPr>
      </w:pPr>
    </w:p>
    <w:p>
      <w:pPr>
        <w:ind w:left="-60" w:right="20" w:firstLine="987"/>
        <w:spacing w:after="0" w:line="291" w:lineRule="auto"/>
        <w:tabs>
          <w:tab w:leader="none" w:pos="1111"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DENOMINATIONS, TRANSFER, EXCHANGE. The 2028 Notes are in registered form without coupons in denominations of $2,000 and integral multiples of $1,000 in excess thereof. The transfer of Securities may be registered and Securities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Security or portion of a Security selected for redemption or tendered (and not withdrawn) for repurchase in connection with a Change of Control Offer, an Alternate Offer or other tender offer, in whole or in part, except for the unredeemed portion of any Security being redeemed in part. Also, the Issuers need not exchange or register the transfer of any Securities for a period of 15 days before a selection of Securities to be redeemed.</w:t>
      </w:r>
    </w:p>
    <w:p>
      <w:pPr>
        <w:spacing w:after="0" w:line="166" w:lineRule="exact"/>
        <w:rPr>
          <w:rFonts w:ascii="Arial" w:cs="Arial" w:eastAsia="Arial" w:hAnsi="Arial"/>
          <w:sz w:val="16"/>
          <w:szCs w:val="16"/>
          <w:color w:val="auto"/>
        </w:rPr>
      </w:pPr>
    </w:p>
    <w:p>
      <w:pPr>
        <w:ind w:left="1100" w:hanging="173"/>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DEEMED OWNERS. The registered Holder of a Security may be treated as its owner for all purposes.</w:t>
      </w:r>
    </w:p>
    <w:p>
      <w:pPr>
        <w:spacing w:after="0" w:line="225" w:lineRule="exact"/>
        <w:rPr>
          <w:rFonts w:ascii="Arial" w:cs="Arial" w:eastAsia="Arial" w:hAnsi="Arial"/>
          <w:sz w:val="18"/>
          <w:szCs w:val="18"/>
          <w:color w:val="auto"/>
        </w:rPr>
      </w:pPr>
    </w:p>
    <w:p>
      <w:pPr>
        <w:ind w:left="-60" w:right="220" w:firstLine="987"/>
        <w:spacing w:after="0" w:line="277" w:lineRule="auto"/>
        <w:tabs>
          <w:tab w:leader="none" w:pos="11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2028 Notes or the related Note Guarantees may be amended or supplemented as provided in the Indenture.</w:t>
      </w:r>
    </w:p>
    <w:p>
      <w:pPr>
        <w:spacing w:after="0" w:line="170" w:lineRule="exact"/>
        <w:rPr>
          <w:rFonts w:ascii="Arial" w:cs="Arial" w:eastAsia="Arial" w:hAnsi="Arial"/>
          <w:sz w:val="18"/>
          <w:szCs w:val="18"/>
          <w:color w:val="auto"/>
        </w:rPr>
      </w:pPr>
    </w:p>
    <w:p>
      <w:pPr>
        <w:jc w:val="both"/>
        <w:ind w:left="-60" w:right="320" w:firstLine="987"/>
        <w:spacing w:after="0" w:line="263" w:lineRule="auto"/>
        <w:tabs>
          <w:tab w:leader="none" w:pos="11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2028 Notes are defined in Section 6.01 of the Base Indenture. Upon the occurrence of an Event of Default relating to the 2028 Notes, the rights and obligations of the Issuers, the Guarantors, the Trustee and the Holders of the 2028 Notes shall be as set forth in the applicable provisions of the Indenture.</w:t>
      </w:r>
    </w:p>
    <w:p>
      <w:pPr>
        <w:spacing w:after="0" w:line="183" w:lineRule="exact"/>
        <w:rPr>
          <w:rFonts w:ascii="Arial" w:cs="Arial" w:eastAsia="Arial" w:hAnsi="Arial"/>
          <w:sz w:val="18"/>
          <w:szCs w:val="18"/>
          <w:color w:val="auto"/>
        </w:rPr>
      </w:pPr>
    </w:p>
    <w:p>
      <w:pPr>
        <w:ind w:left="-60" w:firstLine="987"/>
        <w:spacing w:after="0" w:line="277" w:lineRule="auto"/>
        <w:tabs>
          <w:tab w:leader="none" w:pos="12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AUTHENTICATION. This 2028 Note shall not be entitled to any benefit under the Indenture or be valid or obligatory for any purpose until authenticated by the manual or electronic signature of the Trustee.</w:t>
      </w:r>
    </w:p>
    <w:p>
      <w:pPr>
        <w:spacing w:after="0" w:line="170" w:lineRule="exact"/>
        <w:rPr>
          <w:rFonts w:ascii="Arial" w:cs="Arial" w:eastAsia="Arial" w:hAnsi="Arial"/>
          <w:sz w:val="18"/>
          <w:szCs w:val="18"/>
          <w:color w:val="auto"/>
        </w:rPr>
      </w:pPr>
    </w:p>
    <w:p>
      <w:pPr>
        <w:ind w:left="-60" w:right="400" w:firstLine="987"/>
        <w:spacing w:after="0" w:line="277" w:lineRule="auto"/>
        <w:tabs>
          <w:tab w:leader="none" w:pos="1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2028 NOTES AND THE NOTE GUARANTEES.</w:t>
      </w:r>
    </w:p>
    <w:p>
      <w:pPr>
        <w:spacing w:after="0" w:line="170" w:lineRule="exact"/>
        <w:rPr>
          <w:rFonts w:ascii="Arial" w:cs="Arial" w:eastAsia="Arial" w:hAnsi="Arial"/>
          <w:sz w:val="18"/>
          <w:szCs w:val="18"/>
          <w:color w:val="auto"/>
        </w:rPr>
      </w:pPr>
    </w:p>
    <w:p>
      <w:pPr>
        <w:ind w:left="-60" w:right="80" w:firstLine="987"/>
        <w:spacing w:after="0" w:line="257" w:lineRule="auto"/>
        <w:tabs>
          <w:tab w:leader="none" w:pos="12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CUSIP AND ISIN NUMBERS. Pursuant to a recommendation promulgated by the Committee on Uniform Security Identification Procedures, the Issuers have caused CUSIP and ISIN numbers and/or similar numbers to be printed on the 2028 Notes and the Trustee may use CUSIP and ISIN numbers and/or similar numbers in notices of redemption as a convenience to Holders of the 2028 Notes. No representation is made as to the accuracy of such numbers either as printed on the 2028 Notes or as contained in any notice of redemption and reliance may be placed only on the other identification numbers placed thereon.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00"/>
          </w:cols>
          <w:pgMar w:left="500" w:top="274" w:right="499" w:bottom="1440" w:gutter="0" w:footer="0" w:header="0"/>
        </w:sectPr>
      </w:pPr>
    </w:p>
    <w:bookmarkStart w:id="96" w:name="page97"/>
    <w:bookmarkEnd w:id="9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will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Issuers at the following address: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Dell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No.: (512) 283-0544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Christopher Garcia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Christopher.A.Garcia@dell.com</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580"/>
          </w:cols>
          <w:pgMar w:left="440" w:top="274" w:right="879" w:bottom="1440" w:gutter="0" w:footer="0" w:header="0"/>
        </w:sectPr>
      </w:pPr>
    </w:p>
    <w:bookmarkStart w:id="97" w:name="page98"/>
    <w:bookmarkEnd w:id="97"/>
    <w:p>
      <w:pPr>
        <w:ind w:left="46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To assign this 2028 Note, fill in the form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2028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-10160</wp:posOffset>
            </wp:positionV>
            <wp:extent cx="39700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70020" cy="8255"/>
                    </a:xfrm>
                    <a:prstGeom prst="rect">
                      <a:avLst/>
                    </a:prstGeom>
                    <a:noFill/>
                  </pic:spPr>
                </pic:pic>
              </a:graphicData>
            </a:graphic>
          </wp:anchor>
        </w:drawing>
      </w:r>
    </w:p>
    <w:p>
      <w:pPr>
        <w:spacing w:after="0" w:line="3" w:lineRule="exact"/>
        <w:rPr>
          <w:sz w:val="20"/>
          <w:szCs w:val="20"/>
          <w:color w:val="auto"/>
        </w:rPr>
      </w:pPr>
    </w:p>
    <w:p>
      <w:pPr>
        <w:ind w:left="444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357505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554990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751840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(Print or type assignee’s name, address and zip code)</w:t>
      </w:r>
    </w:p>
    <w:p>
      <w:pPr>
        <w:sectPr>
          <w:pgSz w:w="11900" w:h="16838" w:orient="portrait"/>
          <w:cols w:equalWidth="0" w:num="1">
            <w:col w:w="10384"/>
          </w:cols>
          <w:pgMar w:left="436" w:top="274" w:right="1079" w:bottom="1440" w:gutter="0" w:footer="0" w:header="0"/>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-19050</wp:posOffset>
            </wp:positionV>
            <wp:extent cx="51415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1595"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to transfer this 2028 Note on the books of the Issuers. The agent may substitute another to act for him.</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_____________________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84"/>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-10160</wp:posOffset>
            </wp:positionV>
            <wp:extent cx="1971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-10160</wp:posOffset>
            </wp:positionV>
            <wp:extent cx="1028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(Sign exactly as your name appears on the face of this 2028 Note)</w:t>
      </w:r>
    </w:p>
    <w:p>
      <w:pPr>
        <w:spacing w:after="0" w:line="512" w:lineRule="exact"/>
        <w:rPr>
          <w:sz w:val="20"/>
          <w:szCs w:val="20"/>
          <w:color w:val="auto"/>
        </w:rPr>
      </w:pPr>
    </w:p>
    <w:p>
      <w:pPr>
        <w:sectPr>
          <w:pgSz w:w="11900" w:h="16838" w:orient="portrait"/>
          <w:cols w:equalWidth="0" w:num="2">
            <w:col w:w="7344" w:space="280"/>
            <w:col w:w="2760"/>
          </w:cols>
          <w:pgMar w:left="436" w:top="274" w:right="1079" w:bottom="1440" w:gutter="0" w:footer="0" w:header="0"/>
          <w:type w:val="continuous"/>
        </w:sectPr>
      </w:pPr>
    </w:p>
    <w:p>
      <w:pPr>
        <w:ind w:left="5364" w:right="1020" w:hanging="5364"/>
        <w:spacing w:after="0" w:line="449" w:lineRule="auto"/>
        <w:tabs>
          <w:tab w:leader="none" w:pos="4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384"/>
          </w:cols>
          <w:pgMar w:left="436" w:top="274" w:right="1079" w:bottom="1440" w:gutter="0" w:footer="0" w:header="0"/>
          <w:type w:val="continuous"/>
        </w:sectPr>
      </w:pPr>
    </w:p>
    <w:bookmarkStart w:id="98" w:name="page99"/>
    <w:bookmarkEnd w:id="9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4" w:right="460" w:firstLine="991"/>
        <w:spacing w:after="0" w:line="277" w:lineRule="auto"/>
        <w:rPr>
          <w:sz w:val="20"/>
          <w:szCs w:val="20"/>
          <w:color w:val="auto"/>
        </w:rPr>
      </w:pPr>
      <w:r>
        <w:rPr>
          <w:rFonts w:ascii="Arial" w:cs="Arial" w:eastAsia="Arial" w:hAnsi="Arial"/>
          <w:sz w:val="18"/>
          <w:szCs w:val="18"/>
          <w:color w:val="auto"/>
        </w:rPr>
        <w:t>If you want to elect to have this 2028 Note purchased by the Issuers pursuant to Section 6 of the 2028 Notes Supplemental Indenture No. 1, check the appropriate box below:</w:t>
      </w:r>
    </w:p>
    <w:p>
      <w:pPr>
        <w:spacing w:after="0" w:line="170" w:lineRule="exact"/>
        <w:rPr>
          <w:sz w:val="20"/>
          <w:szCs w:val="20"/>
          <w:color w:val="auto"/>
        </w:rPr>
      </w:pPr>
    </w:p>
    <w:p>
      <w:pPr>
        <w:ind w:left="5244" w:hanging="246"/>
        <w:spacing w:after="0"/>
        <w:tabs>
          <w:tab w:leader="none" w:pos="52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Section 6</w:t>
      </w:r>
    </w:p>
    <w:p>
      <w:pPr>
        <w:spacing w:after="0" w:line="225"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If you want to elect to have only part of this 2028 Note purchased by the Issuers pursuant to Section 6 of the 2028 Notes Supplemental Indenture No. 1, state the amount you elect to have purchased:</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200" w:type="dxa"/>
            <w:vAlign w:val="bottom"/>
          </w:tcPr>
          <w:p>
            <w:pPr>
              <w:spacing w:after="0"/>
              <w:rPr>
                <w:sz w:val="24"/>
                <w:szCs w:val="24"/>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880" w:type="dxa"/>
            <w:vAlign w:val="bottom"/>
            <w:gridSpan w:val="5"/>
          </w:tcPr>
          <w:p>
            <w:pPr>
              <w:ind w:left="1500"/>
              <w:spacing w:after="0"/>
              <w:rPr>
                <w:sz w:val="20"/>
                <w:szCs w:val="20"/>
                <w:color w:val="auto"/>
              </w:rPr>
            </w:pPr>
            <w:r>
              <w:rPr>
                <w:rFonts w:ascii="Arial" w:cs="Arial" w:eastAsia="Arial" w:hAnsi="Arial"/>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80" w:type="dxa"/>
            <w:vAlign w:val="bottom"/>
            <w:gridSpan w:val="5"/>
          </w:tcPr>
          <w:p>
            <w:pPr>
              <w:ind w:left="1500"/>
              <w:spacing w:after="0"/>
              <w:rPr>
                <w:sz w:val="20"/>
                <w:szCs w:val="20"/>
                <w:color w:val="auto"/>
              </w:rPr>
            </w:pPr>
            <w:r>
              <w:rPr>
                <w:rFonts w:ascii="Arial" w:cs="Arial" w:eastAsia="Arial" w:hAnsi="Arial"/>
                <w:sz w:val="18"/>
                <w:szCs w:val="18"/>
                <w:color w:val="auto"/>
                <w:w w:val="88"/>
              </w:rPr>
              <w:t>(Sign exactly as your name appears on the face</w:t>
            </w:r>
          </w:p>
        </w:tc>
      </w:tr>
      <w:tr>
        <w:trPr>
          <w:trHeight w:val="230"/>
        </w:trPr>
        <w:tc>
          <w:tcPr>
            <w:tcW w:w="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80" w:type="dxa"/>
            <w:vAlign w:val="bottom"/>
            <w:gridSpan w:val="5"/>
          </w:tcPr>
          <w:p>
            <w:pPr>
              <w:ind w:left="1500"/>
              <w:spacing w:after="0"/>
              <w:rPr>
                <w:sz w:val="20"/>
                <w:szCs w:val="20"/>
                <w:color w:val="auto"/>
              </w:rPr>
            </w:pPr>
            <w:r>
              <w:rPr>
                <w:rFonts w:ascii="Arial" w:cs="Arial" w:eastAsia="Arial" w:hAnsi="Arial"/>
                <w:sz w:val="18"/>
                <w:szCs w:val="18"/>
                <w:color w:val="auto"/>
              </w:rPr>
              <w:t>of this 2028 Note)</w:t>
            </w:r>
          </w:p>
        </w:tc>
      </w:tr>
      <w:tr>
        <w:trPr>
          <w:trHeight w:val="297"/>
        </w:trPr>
        <w:tc>
          <w:tcPr>
            <w:tcW w:w="440" w:type="dxa"/>
            <w:vAlign w:val="bottom"/>
          </w:tcPr>
          <w:p>
            <w:pPr>
              <w:spacing w:after="0"/>
              <w:rPr>
                <w:sz w:val="24"/>
                <w:szCs w:val="24"/>
                <w:color w:val="auto"/>
              </w:rPr>
            </w:pPr>
          </w:p>
        </w:tc>
        <w:tc>
          <w:tcPr>
            <w:tcW w:w="4060" w:type="dxa"/>
            <w:vAlign w:val="bottom"/>
            <w:gridSpan w:val="2"/>
          </w:tcPr>
          <w:p>
            <w:pPr>
              <w:jc w:val="right"/>
              <w:ind w:right="29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40" w:type="dxa"/>
            <w:vAlign w:val="bottom"/>
            <w:gridSpan w:val="2"/>
          </w:tcPr>
          <w:p>
            <w:pPr>
              <w:ind w:left="1500"/>
              <w:spacing w:after="0"/>
              <w:rPr>
                <w:sz w:val="20"/>
                <w:szCs w:val="20"/>
                <w:color w:val="auto"/>
              </w:rPr>
            </w:pPr>
            <w:r>
              <w:rPr>
                <w:rFonts w:ascii="Arial" w:cs="Arial" w:eastAsia="Arial" w:hAnsi="Arial"/>
                <w:sz w:val="18"/>
                <w:szCs w:val="18"/>
                <w:color w:val="auto"/>
                <w:w w:val="93"/>
              </w:rPr>
              <w:t>Tax Identification No.:</w:t>
            </w:r>
          </w:p>
        </w:tc>
        <w:tc>
          <w:tcPr>
            <w:tcW w:w="1260" w:type="dxa"/>
            <w:vAlign w:val="bottom"/>
            <w:tcBorders>
              <w:bottom w:val="single" w:sz="8" w:color="auto"/>
            </w:tcBorders>
            <w:gridSpan w:val="2"/>
          </w:tcPr>
          <w:p>
            <w:pPr>
              <w:spacing w:after="0"/>
              <w:rPr>
                <w:sz w:val="24"/>
                <w:szCs w:val="24"/>
                <w:color w:val="auto"/>
              </w:rPr>
            </w:pPr>
          </w:p>
        </w:tc>
        <w:tc>
          <w:tcPr>
            <w:tcW w:w="480" w:type="dxa"/>
            <w:vAlign w:val="bottom"/>
          </w:tcPr>
          <w:p>
            <w:pPr>
              <w:spacing w:after="0"/>
              <w:rPr>
                <w:sz w:val="24"/>
                <w:szCs w:val="24"/>
                <w:color w:val="auto"/>
              </w:rPr>
            </w:pP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-10160</wp:posOffset>
            </wp:positionV>
            <wp:extent cx="21139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11" w:lineRule="exact"/>
        <w:rPr>
          <w:sz w:val="20"/>
          <w:szCs w:val="20"/>
          <w:color w:val="auto"/>
        </w:rPr>
      </w:pPr>
    </w:p>
    <w:p>
      <w:pPr>
        <w:ind w:left="5364" w:right="1640" w:hanging="5364"/>
        <w:spacing w:after="0" w:line="449" w:lineRule="auto"/>
        <w:tabs>
          <w:tab w:leader="none" w:pos="4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004"/>
          </w:cols>
          <w:pgMar w:left="436" w:top="274" w:right="459" w:bottom="1440" w:gutter="0" w:footer="0" w:header="0"/>
        </w:sectPr>
      </w:pPr>
    </w:p>
    <w:bookmarkStart w:id="99" w:name="page100"/>
    <w:bookmarkEnd w:id="9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SECURITY*</w:t>
      </w:r>
    </w:p>
    <w:p>
      <w:pPr>
        <w:spacing w:after="0" w:line="22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initial outstanding principal amount of this Global Security is $[ ]. The following exchanges of a part of this Global Security for an interest in another Global Security or for a Definitive Security, or exchanges of a part of another Global or Definitive Security for an interest in this Global Security, have been made:</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Amount</w:t>
            </w:r>
          </w:p>
        </w:tc>
        <w:tc>
          <w:tcPr>
            <w:tcW w:w="2100" w:type="dxa"/>
            <w:vAlign w:val="bottom"/>
          </w:tcPr>
          <w:p>
            <w:pPr>
              <w:spacing w:after="0"/>
              <w:rPr>
                <w:sz w:val="14"/>
                <w:szCs w:val="14"/>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2100" w:type="dxa"/>
            <w:vAlign w:val="bottom"/>
          </w:tcPr>
          <w:p>
            <w:pPr>
              <w:spacing w:after="0"/>
              <w:rPr>
                <w:sz w:val="12"/>
                <w:szCs w:val="12"/>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this Global</w:t>
            </w:r>
          </w:p>
        </w:tc>
        <w:tc>
          <w:tcPr>
            <w:tcW w:w="2100" w:type="dxa"/>
            <w:vAlign w:val="bottom"/>
          </w:tcPr>
          <w:p>
            <w:pPr>
              <w:spacing w:after="0"/>
              <w:rPr>
                <w:sz w:val="12"/>
                <w:szCs w:val="12"/>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increase</w:t>
            </w: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Security</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in Principal</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following such</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 officer</w:t>
            </w:r>
          </w:p>
        </w:tc>
      </w:tr>
      <w:tr>
        <w:trPr>
          <w:trHeight w:val="148"/>
        </w:trPr>
        <w:tc>
          <w:tcPr>
            <w:tcW w:w="2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Date of</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 Principal</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Amount of this</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8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Exchange</w:t>
            </w:r>
          </w:p>
        </w:tc>
        <w:tc>
          <w:tcPr>
            <w:tcW w:w="1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Global Security</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Note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324" w:right="4980" w:hanging="5324"/>
        <w:spacing w:after="0" w:line="535" w:lineRule="auto"/>
        <w:tabs>
          <w:tab w:leader="none" w:pos="43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schedule should be included only if the Security is issued in global form. A-10</w:t>
      </w:r>
    </w:p>
    <w:p>
      <w:pPr>
        <w:sectPr>
          <w:pgSz w:w="11900" w:h="16838" w:orient="portrait"/>
          <w:cols w:equalWidth="0" w:num="1">
            <w:col w:w="11024"/>
          </w:cols>
          <w:pgMar w:left="436" w:top="274"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2033 NOTES SUPPLEMENTAL INDENTURE NO. 1</w:t>
      </w:r>
    </w:p>
    <w:p>
      <w:pPr>
        <w:spacing w:after="0" w:line="229"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This 2033 NOTES SUPPLEMENTAL INDENTURE NO. 1, dated as of January 24, 2023 (this “</w:t>
      </w:r>
      <w:r>
        <w:rPr>
          <w:rFonts w:ascii="Arial" w:cs="Arial" w:eastAsia="Arial" w:hAnsi="Arial"/>
          <w:sz w:val="17"/>
          <w:szCs w:val="17"/>
          <w:u w:val="single" w:color="auto"/>
          <w:color w:val="auto"/>
        </w:rPr>
        <w:t>2033 Notes Supplemental Indenture</w:t>
      </w:r>
      <w:r>
        <w:rPr>
          <w:rFonts w:ascii="Arial" w:cs="Arial" w:eastAsia="Arial" w:hAnsi="Arial"/>
          <w:sz w:val="17"/>
          <w:szCs w:val="17"/>
          <w:color w:val="auto"/>
        </w:rPr>
        <w:t>”), is made and entered into among Dell International L.L.C., a Delaware limited liability corporation (“</w:t>
      </w:r>
      <w:r>
        <w:rPr>
          <w:rFonts w:ascii="Arial" w:cs="Arial" w:eastAsia="Arial" w:hAnsi="Arial"/>
          <w:sz w:val="17"/>
          <w:szCs w:val="17"/>
          <w:u w:val="single" w:color="auto"/>
          <w:color w:val="auto"/>
        </w:rPr>
        <w:t>Dell International</w:t>
      </w:r>
      <w:r>
        <w:rPr>
          <w:rFonts w:ascii="Arial" w:cs="Arial" w:eastAsia="Arial" w:hAnsi="Arial"/>
          <w:sz w:val="17"/>
          <w:szCs w:val="17"/>
          <w:color w:val="auto"/>
        </w:rPr>
        <w:t>”), EMC Corporation, a Massachusetts corporation (“</w:t>
      </w:r>
      <w:r>
        <w:rPr>
          <w:rFonts w:ascii="Arial" w:cs="Arial" w:eastAsia="Arial" w:hAnsi="Arial"/>
          <w:sz w:val="17"/>
          <w:szCs w:val="17"/>
          <w:u w:val="single" w:color="auto"/>
          <w:color w:val="auto"/>
        </w:rPr>
        <w:t>EMC</w:t>
      </w:r>
      <w:r>
        <w:rPr>
          <w:rFonts w:ascii="Arial" w:cs="Arial" w:eastAsia="Arial" w:hAnsi="Arial"/>
          <w:sz w:val="17"/>
          <w:szCs w:val="17"/>
          <w:color w:val="auto"/>
        </w:rPr>
        <w:t>” and, together with Dell International, the “</w:t>
      </w:r>
      <w:r>
        <w:rPr>
          <w:rFonts w:ascii="Arial" w:cs="Arial" w:eastAsia="Arial" w:hAnsi="Arial"/>
          <w:sz w:val="17"/>
          <w:szCs w:val="17"/>
          <w:u w:val="single" w:color="auto"/>
          <w:color w:val="auto"/>
        </w:rPr>
        <w:t>Issuers</w:t>
      </w:r>
      <w:r>
        <w:rPr>
          <w:rFonts w:ascii="Arial" w:cs="Arial" w:eastAsia="Arial" w:hAnsi="Arial"/>
          <w:sz w:val="17"/>
          <w:szCs w:val="17"/>
          <w:color w:val="auto"/>
        </w:rPr>
        <w:t>”), the Guarantors (as defined below) and The Bank of New York Mellon Trust Company, N.A., a national banking association,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Capitalized terms used herein and not otherwise defined have the meanings set forth in the Base Indenture referred to below.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 Section 9.01(15) of the Base Indenture, dated as of January 24, 2023, among the Issuers, the guarantors named therein (the “</w:t>
      </w:r>
      <w:r>
        <w:rPr>
          <w:rFonts w:ascii="Arial" w:cs="Arial" w:eastAsia="Arial" w:hAnsi="Arial"/>
          <w:sz w:val="18"/>
          <w:szCs w:val="18"/>
          <w:u w:val="single" w:color="auto"/>
          <w:color w:val="auto"/>
        </w:rPr>
        <w:t>Guarantors</w:t>
      </w:r>
      <w:r>
        <w:rPr>
          <w:rFonts w:ascii="Arial" w:cs="Arial" w:eastAsia="Arial" w:hAnsi="Arial"/>
          <w:sz w:val="18"/>
          <w:szCs w:val="18"/>
          <w:color w:val="auto"/>
        </w:rPr>
        <w:t>”) and the Trustee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and, together with this 2033 Notes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provides that, without the consent of Holders, the Issuers, the Guarantors and the Trustee may enter into a supplemental indenture to the Base Indenture to establish the form or terms of Securities of any series pursuant to Section 2.01 of the Base Indenture.</w:t>
      </w:r>
    </w:p>
    <w:p>
      <w:pPr>
        <w:spacing w:after="0" w:line="7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B. The Issuers desire to issue $1,000,000,000 aggregate principal amount of 5.750% Senior Notes due 2033 (the “</w:t>
      </w:r>
      <w:r>
        <w:rPr>
          <w:rFonts w:ascii="Arial" w:cs="Arial" w:eastAsia="Arial" w:hAnsi="Arial"/>
          <w:sz w:val="17"/>
          <w:szCs w:val="17"/>
          <w:u w:val="single" w:color="auto"/>
          <w:color w:val="auto"/>
        </w:rPr>
        <w:t>2033 Notes</w:t>
      </w:r>
      <w:r>
        <w:rPr>
          <w:rFonts w:ascii="Arial" w:cs="Arial" w:eastAsia="Arial" w:hAnsi="Arial"/>
          <w:sz w:val="17"/>
          <w:szCs w:val="17"/>
          <w:color w:val="auto"/>
        </w:rPr>
        <w:t>”), and in connection therewith, the Issuers have duly determined to make, execute and deliver to the Trustee this 2033 Notes Supplemental Indenture to set forth the terms and provisions of the 2033 Notes as required by the Base Indenture. This 2033 Notes Supplemental Indenture shall supplement the Base Indenture insofar as it will apply only to the 2033 Notes issued hereunder (and not to any other series of Securities).</w:t>
      </w:r>
    </w:p>
    <w:p>
      <w:pPr>
        <w:spacing w:after="0" w:line="17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NOW, THEREFORE, in consideration of the mutual agreements and covenants set forth herein, the parties hereto agree, subject to the terms and conditions hereinafter set forth, as follows for the benefit of the Trustee and the Holders of the 2033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2033 Notes</w:t>
      </w:r>
      <w:r>
        <w:rPr>
          <w:rFonts w:ascii="Arial" w:cs="Arial" w:eastAsia="Arial" w:hAnsi="Arial"/>
          <w:sz w:val="18"/>
          <w:szCs w:val="18"/>
          <w:color w:val="auto"/>
        </w:rPr>
        <w:t>. Pursuant to Section 2.01 of the Base Indenture, the terms and provisions of the 2033 Notes are as follows:</w:t>
      </w:r>
    </w:p>
    <w:p>
      <w:pPr>
        <w:spacing w:after="0" w:line="117" w:lineRule="exact"/>
        <w:rPr>
          <w:sz w:val="20"/>
          <w:szCs w:val="20"/>
          <w:color w:val="auto"/>
        </w:rPr>
      </w:pPr>
    </w:p>
    <w:p>
      <w:pPr>
        <w:ind w:left="680" w:hanging="244"/>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title of the 2033 Notes shall be “5.750% Senior Notes due 2033.”</w:t>
      </w:r>
    </w:p>
    <w:p>
      <w:pPr>
        <w:spacing w:after="0" w:line="117" w:lineRule="exact"/>
        <w:rPr>
          <w:rFonts w:ascii="Arial" w:cs="Arial" w:eastAsia="Arial" w:hAnsi="Arial"/>
          <w:sz w:val="18"/>
          <w:szCs w:val="18"/>
          <w:color w:val="auto"/>
        </w:rPr>
      </w:pPr>
    </w:p>
    <w:p>
      <w:pPr>
        <w:ind w:right="20" w:firstLine="436"/>
        <w:spacing w:after="0" w:line="254"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2033 Notes shall be initially limited to $1,000,000,000 aggregate principal amount. The Issuers may, without the consent of the Holders of the 2033 Notes, increase such aggregate principal amount in the future, on the same terms and conditions, except for any differences in the issue date, issue price and, if applicable, the first Interest Payment Date and the first date from which interest will accrue. The 2033 Notes issued originally hereunder (the “</w:t>
      </w:r>
      <w:r>
        <w:rPr>
          <w:rFonts w:ascii="Arial" w:cs="Arial" w:eastAsia="Arial" w:hAnsi="Arial"/>
          <w:sz w:val="18"/>
          <w:szCs w:val="18"/>
          <w:u w:val="single" w:color="auto"/>
          <w:color w:val="auto"/>
        </w:rPr>
        <w:t>Initial 2033 Notes</w:t>
      </w:r>
      <w:r>
        <w:rPr>
          <w:rFonts w:ascii="Arial" w:cs="Arial" w:eastAsia="Arial" w:hAnsi="Arial"/>
          <w:sz w:val="18"/>
          <w:szCs w:val="18"/>
          <w:color w:val="auto"/>
        </w:rPr>
        <w:t xml:space="preserve">”) and any Additional Securities of such series subsequently issued, shall be treated as a single class for purposes of the Indenture, including waivers, amendments, redemptions and offers to purchase;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Additional Securities are not fungible with the Initial 2033 Notes for U.S. federal income tax purposes, such Additional Securities will have a separate CUSIP number and ISIN number from the Initial 2033 Notes.</w:t>
      </w:r>
    </w:p>
    <w:p>
      <w:pPr>
        <w:spacing w:after="0" w:line="86" w:lineRule="exact"/>
        <w:rPr>
          <w:rFonts w:ascii="Arial" w:cs="Arial" w:eastAsia="Arial" w:hAnsi="Arial"/>
          <w:sz w:val="18"/>
          <w:szCs w:val="18"/>
          <w:color w:val="auto"/>
        </w:rPr>
      </w:pPr>
    </w:p>
    <w:p>
      <w:pPr>
        <w:ind w:left="680" w:hanging="244"/>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price at which the 2033 Notes shall be issued to the public is 99.788%.</w:t>
      </w:r>
    </w:p>
    <w:p>
      <w:pPr>
        <w:spacing w:after="0" w:line="117"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Stated Maturity for the 2033 Notes shall be on February 1, 2033. The 2033 Notes shall not require any principal or premium payments prior to the Stated Maturity.</w:t>
      </w:r>
    </w:p>
    <w:p>
      <w:pPr>
        <w:sectPr>
          <w:pgSz w:w="11900" w:h="16838" w:orient="portrait"/>
          <w:cols w:equalWidth="0" w:num="1">
            <w:col w:w="11020"/>
          </w:cols>
          <w:pgMar w:left="440" w:top="121" w:right="439" w:bottom="1440" w:gutter="0" w:footer="0" w:header="0"/>
        </w:sectPr>
      </w:pPr>
    </w:p>
    <w:bookmarkStart w:id="101" w:name="page102"/>
    <w:bookmarkEnd w:id="101"/>
    <w:p>
      <w:pPr>
        <w:ind w:left="-40" w:right="80" w:firstLine="436"/>
        <w:spacing w:after="0" w:line="269" w:lineRule="auto"/>
        <w:tabs>
          <w:tab w:leader="none" w:pos="645"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rate at which the 2033 Notes shall bear interest shall be 5.750% per annum, as set forth in Section 1 of the form of 2033 Note attached hereto as Exhibit A. Interest on the 2033 Notes shall accrue from the most recent date to which interest has been paid, or, if no interest has been paid, from January 24,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Interest Payment Date shall be August 1, 2023. Each February 1 and August 1 in each year, commencing August 1, 2023, shall be an Interest Payment Date for the 2033 Notes. The January 15 or July 15 (whether or not a Business Day), as the case may be, immediately preceding an Interest Payment Date shall be the Record Date for the interest payable on such Interest Payment Date, even if such 2033 Notes are canceled after such record date and on or before such Interest Payment Date, except as provided in Section 2.12 of the Base Indenture with respect to defaulted interest. If an Interest Payment Date is a Legal Holiday at a place of payment, payment may be made at that place on the next succeeding day that is a Business Day, and no interest on such payment will accrue in respect of the delay. The Issuers shall pay interest on overdue principal at a rate equal to the then applicable interest rate on the 2033 Notes to the extent lawful, and the Issuers shall pay interest on overdue installments of interest at the same rate to the extent lawful.</w:t>
      </w:r>
    </w:p>
    <w:p>
      <w:pPr>
        <w:spacing w:after="0" w:line="77" w:lineRule="exact"/>
        <w:rPr>
          <w:rFonts w:ascii="Arial" w:cs="Arial" w:eastAsia="Arial" w:hAnsi="Arial"/>
          <w:sz w:val="17"/>
          <w:szCs w:val="17"/>
          <w:color w:val="auto"/>
        </w:rPr>
      </w:pPr>
    </w:p>
    <w:p>
      <w:pPr>
        <w:jc w:val="both"/>
        <w:ind w:left="-40" w:right="160" w:firstLine="436"/>
        <w:spacing w:after="0" w:line="263" w:lineRule="auto"/>
        <w:tabs>
          <w:tab w:leader="none" w:pos="62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on the 2033 Notes represented by one or more Global Securities initially registered in the name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or its nominee with respect to the 2033 Notes shall be made by the Issuers through the Trustee in immediately available funds to the Depositary or its nominee, as the case may be.</w:t>
      </w:r>
    </w:p>
    <w:p>
      <w:pPr>
        <w:spacing w:after="0" w:line="75" w:lineRule="exact"/>
        <w:rPr>
          <w:rFonts w:ascii="Arial" w:cs="Arial" w:eastAsia="Arial" w:hAnsi="Arial"/>
          <w:sz w:val="18"/>
          <w:szCs w:val="18"/>
          <w:color w:val="auto"/>
        </w:rPr>
      </w:pPr>
    </w:p>
    <w:p>
      <w:pPr>
        <w:ind w:left="-40" w:right="240" w:firstLine="436"/>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2033 Notes shall be redeemable in accordance with the terms and provisions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(to the extent they do not conflict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terms and provisions of Article 3 of the Base Indenture.</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shall be no mandatory sinking fund for the payments of the 2033 Notes.</w:t>
      </w:r>
    </w:p>
    <w:p>
      <w:pPr>
        <w:spacing w:after="0" w:line="117" w:lineRule="exact"/>
        <w:rPr>
          <w:rFonts w:ascii="Arial" w:cs="Arial" w:eastAsia="Arial" w:hAnsi="Arial"/>
          <w:sz w:val="18"/>
          <w:szCs w:val="18"/>
          <w:color w:val="auto"/>
        </w:rPr>
      </w:pPr>
    </w:p>
    <w:p>
      <w:pPr>
        <w:jc w:val="both"/>
        <w:ind w:left="-40" w:firstLine="436"/>
        <w:spacing w:after="0" w:line="263" w:lineRule="auto"/>
        <w:tabs>
          <w:tab w:leader="none" w:pos="6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2033 Notes shall be represented by one or more Global Securities deposited with the Depositary and registered in the name of the nominee of the Depositary. The 2033 Notes, including the form of the certificate of authentication, shall be substantially in the form attached hereto as Exhibit A, the terms of which are incorporated by reference in this 2033 Notes Supplemental Indenture.</w:t>
      </w:r>
    </w:p>
    <w:p>
      <w:pPr>
        <w:spacing w:after="0" w:line="75" w:lineRule="exact"/>
        <w:rPr>
          <w:rFonts w:ascii="Arial" w:cs="Arial" w:eastAsia="Arial" w:hAnsi="Arial"/>
          <w:sz w:val="18"/>
          <w:szCs w:val="18"/>
          <w:color w:val="auto"/>
        </w:rPr>
      </w:pPr>
    </w:p>
    <w:p>
      <w:pPr>
        <w:ind w:left="620" w:hanging="22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be the Trustee for the 2033 Notes.</w:t>
      </w:r>
    </w:p>
    <w:p>
      <w:pPr>
        <w:spacing w:after="0" w:line="117" w:lineRule="exact"/>
        <w:rPr>
          <w:rFonts w:ascii="Arial" w:cs="Arial" w:eastAsia="Arial" w:hAnsi="Arial"/>
          <w:sz w:val="18"/>
          <w:szCs w:val="18"/>
          <w:color w:val="auto"/>
        </w:rPr>
      </w:pPr>
    </w:p>
    <w:p>
      <w:pPr>
        <w:ind w:left="660" w:hanging="26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Article 10 of the Base Indenture shall apply to the 2033 Notes.</w:t>
      </w:r>
    </w:p>
    <w:p>
      <w:pPr>
        <w:spacing w:after="0" w:line="117" w:lineRule="exact"/>
        <w:rPr>
          <w:rFonts w:ascii="Arial" w:cs="Arial" w:eastAsia="Arial" w:hAnsi="Arial"/>
          <w:sz w:val="18"/>
          <w:szCs w:val="18"/>
          <w:color w:val="auto"/>
        </w:rPr>
      </w:pPr>
    </w:p>
    <w:p>
      <w:pPr>
        <w:ind w:left="-40" w:firstLine="436"/>
        <w:spacing w:after="0" w:line="263" w:lineRule="auto"/>
        <w:tabs>
          <w:tab w:leader="none" w:pos="6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covenants set forth in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shall apply to the 2033 Notes. Upon satisfaction of the conditions set forth in Section 8.03 of the Base Indenture, the Issuers and the Guarantors shall be released from their obligations under such covenants set forth in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w:t>
      </w:r>
    </w:p>
    <w:p>
      <w:pPr>
        <w:spacing w:after="0" w:line="75" w:lineRule="exact"/>
        <w:rPr>
          <w:rFonts w:ascii="Arial" w:cs="Arial" w:eastAsia="Arial" w:hAnsi="Arial"/>
          <w:sz w:val="18"/>
          <w:szCs w:val="18"/>
          <w:color w:val="auto"/>
        </w:rPr>
      </w:pPr>
    </w:p>
    <w:p>
      <w:pPr>
        <w:ind w:left="700" w:hanging="30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minimum authorized denomination for 2033 Notes shall be $2,000 and integral multiples of $1,000 in excess thereof.</w:t>
      </w:r>
    </w:p>
    <w:p>
      <w:pPr>
        <w:spacing w:after="0" w:line="117" w:lineRule="exact"/>
        <w:rPr>
          <w:rFonts w:ascii="Arial" w:cs="Arial" w:eastAsia="Arial" w:hAnsi="Arial"/>
          <w:sz w:val="18"/>
          <w:szCs w:val="18"/>
          <w:color w:val="auto"/>
        </w:rPr>
      </w:pPr>
    </w:p>
    <w:p>
      <w:pPr>
        <w:ind w:left="660" w:hanging="26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not set forth otherwise herein, the provisions of Article 2 of the Base Indenture are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4" w:right="49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Optional Redemption of the 2033 Notes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77"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November 1, 2032 (the “</w:t>
      </w:r>
      <w:r>
        <w:rPr>
          <w:rFonts w:ascii="Arial" w:cs="Arial" w:eastAsia="Arial" w:hAnsi="Arial"/>
          <w:sz w:val="18"/>
          <w:szCs w:val="18"/>
          <w:u w:val="single" w:color="auto"/>
          <w:color w:val="auto"/>
        </w:rPr>
        <w:t>Par Call Date</w:t>
      </w:r>
      <w:r>
        <w:rPr>
          <w:rFonts w:ascii="Arial" w:cs="Arial" w:eastAsia="Arial" w:hAnsi="Arial"/>
          <w:sz w:val="18"/>
          <w:szCs w:val="18"/>
          <w:color w:val="auto"/>
        </w:rPr>
        <w:t>”), the 2033 Notes will be redeemable, at any time, in whole or from time to time in part, at the Issuers’ option, at the Redemption Price equal to the greater of:</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100% of the principal amount of the 2033 Notes to be redeemed; and</w:t>
      </w:r>
    </w:p>
    <w:p>
      <w:pPr>
        <w:spacing w:after="0" w:line="130"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discounted to, but excluding, the Redemption Date (assuming the 2033 Notes matured on the Par Call Date) on a semi-annual basis (assuming a 360-day year consisting of twelve 30-day months) at the Treasury Rate, plus 35 basis points;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in either case, accrued and unpaid interest thereon to, but excluding, the Redemption Date. Notwithstanding the foregoing, installments of interest on the 2033 Notes to be redeemed that are due and payable on Interest Payment Dates falling on or prior to a Redemption Date will be payable on the Interest Payment Date to the registered Holders as of the close of business on the relevant Record Date.</w:t>
      </w:r>
    </w:p>
    <w:p>
      <w:pPr>
        <w:spacing w:after="0" w:line="57" w:lineRule="exact"/>
        <w:rPr>
          <w:sz w:val="20"/>
          <w:szCs w:val="20"/>
          <w:color w:val="auto"/>
        </w:rPr>
      </w:pPr>
    </w:p>
    <w:p>
      <w:pPr>
        <w:ind w:right="140" w:firstLine="436"/>
        <w:spacing w:after="0" w:line="263"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or after the Par Call Date, the Issuers may redeem the 2033 Notes, in whole or in part, at any time and from time to time, at a Redemption Price equal to 100% of the principal amount of the 2033 Notes being redeemed plus accrued and unpaid interest thereon to, but excluding, the Redemption Date.</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notice of redemption need not set forth the exact Redemption Price but only the manner of calculation thereof.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Any redemption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made pursuant to the provisions of Sections 3.01 through 3.06 of the Base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Current Liabilities</w:t>
      </w:r>
      <w:r>
        <w:rPr>
          <w:rFonts w:ascii="Arial" w:cs="Arial" w:eastAsia="Arial" w:hAnsi="Arial"/>
          <w:sz w:val="18"/>
          <w:szCs w:val="18"/>
          <w:color w:val="auto"/>
        </w:rPr>
        <w:t>” has the meaning set forth for such term in the definition of “Consolidated Net Tangible Assets”.</w:t>
      </w:r>
    </w:p>
    <w:p>
      <w:pPr>
        <w:spacing w:after="0" w:line="117" w:lineRule="exact"/>
        <w:rPr>
          <w:rFonts w:ascii="Arial" w:cs="Arial" w:eastAsia="Arial" w:hAnsi="Arial"/>
          <w:sz w:val="18"/>
          <w:szCs w:val="18"/>
          <w:color w:val="auto"/>
        </w:rPr>
      </w:pPr>
    </w:p>
    <w:p>
      <w:pPr>
        <w:ind w:firstLine="436"/>
        <w:spacing w:after="0" w:line="311"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Debt</w:t>
      </w:r>
      <w:r>
        <w:rPr>
          <w:rFonts w:ascii="Arial" w:cs="Arial" w:eastAsia="Arial" w:hAnsi="Arial"/>
          <w:sz w:val="16"/>
          <w:szCs w:val="16"/>
          <w:color w:val="auto"/>
        </w:rPr>
        <w:t xml:space="preserve">” means, as of the date of determination, the sum of (1) the aggregate principal amount of indebtedness of the Issuers and their Restricted Subsidiaries secured by Liens (other than Permitted Liens) that is not permitted by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and (2) the Attributable Indebtedness of the Issuers and their Restricted Subsidiaries in respect of Sale and Lease-Back Transactions entered into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w:t>
      </w:r>
    </w:p>
    <w:p>
      <w:pPr>
        <w:spacing w:after="0" w:line="40" w:lineRule="exact"/>
        <w:rPr>
          <w:rFonts w:ascii="Arial" w:cs="Arial" w:eastAsia="Arial" w:hAnsi="Arial"/>
          <w:sz w:val="16"/>
          <w:szCs w:val="16"/>
          <w:color w:val="auto"/>
        </w:rPr>
      </w:pPr>
    </w:p>
    <w:p>
      <w:pPr>
        <w:ind w:left="680" w:hanging="244"/>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Offer</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436"/>
        <w:spacing w:after="0" w:line="291"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2033 Notes outstanding pursuant to the Indenture compounded semi-annually, or (c) if the obligation with respect to the Sale and Lease-Back Transaction constitutes a Financing Lease Obligation, the amount equal to the capitalized amount of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3" w:name="page104"/>
    <w:bookmarkEnd w:id="103"/>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56" w:lineRule="exact"/>
        <w:rPr>
          <w:sz w:val="20"/>
          <w:szCs w:val="20"/>
          <w:color w:val="auto"/>
        </w:rPr>
      </w:pPr>
    </w:p>
    <w:p>
      <w:pPr>
        <w:ind w:left="680" w:hanging="244"/>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 after the Issue Date:</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Parent and its Subsidiaries, taken as a whole, to any Person other than any Permitted Holders;</w:t>
      </w:r>
    </w:p>
    <w:p>
      <w:pPr>
        <w:spacing w:after="0" w:line="62" w:lineRule="exact"/>
        <w:rPr>
          <w:rFonts w:ascii="Arial" w:cs="Arial" w:eastAsia="Arial" w:hAnsi="Arial"/>
          <w:sz w:val="18"/>
          <w:szCs w:val="18"/>
          <w:color w:val="auto"/>
        </w:rPr>
      </w:pPr>
    </w:p>
    <w:p>
      <w:pPr>
        <w:ind w:left="440" w:right="340" w:firstLine="419"/>
        <w:spacing w:after="0" w:line="287" w:lineRule="auto"/>
        <w:tabs>
          <w:tab w:leader="none" w:pos="1118" w:val="left"/>
        </w:tabs>
        <w:numPr>
          <w:ilvl w:val="1"/>
          <w:numId w:val="94"/>
        </w:numPr>
        <w:rPr>
          <w:rFonts w:ascii="Arial" w:cs="Arial" w:eastAsia="Arial" w:hAnsi="Arial"/>
          <w:sz w:val="16"/>
          <w:szCs w:val="16"/>
          <w:color w:val="auto"/>
        </w:rPr>
      </w:pPr>
      <w:r>
        <w:rPr>
          <w:rFonts w:ascii="Arial" w:cs="Arial" w:eastAsia="Arial" w:hAnsi="Arial"/>
          <w:sz w:val="16"/>
          <w:szCs w:val="16"/>
          <w:color w:val="auto"/>
        </w:rPr>
        <w:t>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w:t>
      </w:r>
    </w:p>
    <w:p>
      <w:pPr>
        <w:spacing w:after="0" w:line="2" w:lineRule="exact"/>
        <w:rPr>
          <w:rFonts w:ascii="Arial" w:cs="Arial" w:eastAsia="Arial" w:hAnsi="Arial"/>
          <w:sz w:val="16"/>
          <w:szCs w:val="16"/>
          <w:color w:val="auto"/>
        </w:rPr>
      </w:pPr>
    </w:p>
    <w:p>
      <w:pPr>
        <w:ind w:left="440"/>
        <w:spacing w:after="0" w:line="292" w:lineRule="auto"/>
        <w:rPr>
          <w:rFonts w:ascii="Arial" w:cs="Arial" w:eastAsia="Arial" w:hAnsi="Arial"/>
          <w:sz w:val="16"/>
          <w:szCs w:val="16"/>
          <w:color w:val="auto"/>
        </w:rPr>
      </w:pPr>
      <w:r>
        <w:rPr>
          <w:rFonts w:ascii="Arial" w:cs="Arial" w:eastAsia="Arial" w:hAnsi="Arial"/>
          <w:sz w:val="16"/>
          <w:szCs w:val="16"/>
          <w:color w:val="auto"/>
        </w:rPr>
        <w:t>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w:t>
      </w:r>
    </w:p>
    <w:p>
      <w:pPr>
        <w:spacing w:after="0" w:line="54" w:lineRule="exact"/>
        <w:rPr>
          <w:rFonts w:ascii="Arial" w:cs="Arial" w:eastAsia="Arial" w:hAnsi="Arial"/>
          <w:sz w:val="16"/>
          <w:szCs w:val="16"/>
          <w:color w:val="auto"/>
        </w:rPr>
      </w:pPr>
    </w:p>
    <w:p>
      <w:pPr>
        <w:ind w:left="440" w:right="40" w:firstLine="419"/>
        <w:spacing w:after="0" w:line="255" w:lineRule="auto"/>
        <w:tabs>
          <w:tab w:leader="none" w:pos="1118"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either of the Issuers shall cease to be a direct or indirect Subsidiary of Parent;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adoption by Parent of a plan providing for its liquidation or dissolution.</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4" w:name="page105"/>
    <w:bookmarkEnd w:id="104"/>
    <w:p>
      <w:pPr>
        <w:ind w:left="4" w:hanging="4"/>
        <w:spacing w:after="0" w:line="255"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w:t>
      </w:r>
    </w:p>
    <w:p>
      <w:pPr>
        <w:spacing w:after="0" w:line="84" w:lineRule="exact"/>
        <w:rPr>
          <w:rFonts w:ascii="Arial" w:cs="Arial" w:eastAsia="Arial" w:hAnsi="Arial"/>
          <w:sz w:val="18"/>
          <w:szCs w:val="18"/>
          <w:color w:val="auto"/>
        </w:rPr>
      </w:pPr>
    </w:p>
    <w:p>
      <w:pPr>
        <w:ind w:left="664" w:hanging="224"/>
        <w:spacing w:after="0"/>
        <w:tabs>
          <w:tab w:leader="none" w:pos="6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6(a)(2)</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 means the occurrence of both a Change of Control and a Rating Decline.</w:t>
      </w:r>
    </w:p>
    <w:p>
      <w:pPr>
        <w:spacing w:after="0" w:line="117" w:lineRule="exact"/>
        <w:rPr>
          <w:rFonts w:ascii="Arial" w:cs="Arial" w:eastAsia="Arial" w:hAnsi="Arial"/>
          <w:sz w:val="18"/>
          <w:szCs w:val="18"/>
          <w:color w:val="auto"/>
        </w:rPr>
      </w:pPr>
    </w:p>
    <w:p>
      <w:pPr>
        <w:ind w:left="4" w:right="20" w:firstLine="436"/>
        <w:spacing w:after="0" w:line="268" w:lineRule="auto"/>
        <w:tabs>
          <w:tab w:leader="none" w:pos="659"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Tangible Assets</w:t>
      </w:r>
      <w:r>
        <w:rPr>
          <w:rFonts w:ascii="Arial" w:cs="Arial" w:eastAsia="Arial" w:hAnsi="Arial"/>
          <w:sz w:val="17"/>
          <w:szCs w:val="17"/>
          <w:color w:val="auto"/>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Arial" w:cs="Arial" w:eastAsia="Arial" w:hAnsi="Arial"/>
          <w:sz w:val="17"/>
          <w:szCs w:val="17"/>
          <w:u w:val="single" w:color="auto"/>
          <w:color w:val="auto"/>
        </w:rPr>
        <w:t>Adjusted Current Liabilities</w:t>
      </w:r>
      <w:r>
        <w:rPr>
          <w:rFonts w:ascii="Arial" w:cs="Arial" w:eastAsia="Arial" w:hAnsi="Arial"/>
          <w:sz w:val="17"/>
          <w:szCs w:val="17"/>
          <w:color w:val="auto"/>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Arial" w:cs="Arial" w:eastAsia="Arial" w:hAnsi="Arial"/>
          <w:sz w:val="17"/>
          <w:szCs w:val="17"/>
          <w:u w:val="single" w:color="auto"/>
          <w:color w:val="auto"/>
        </w:rPr>
        <w:t>Intangible Assets</w:t>
      </w:r>
      <w:r>
        <w:rPr>
          <w:rFonts w:ascii="Arial" w:cs="Arial" w:eastAsia="Arial" w:hAnsi="Arial"/>
          <w:sz w:val="17"/>
          <w:szCs w:val="17"/>
          <w:color w:val="auto"/>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w:t>
      </w:r>
    </w:p>
    <w:p>
      <w:pPr>
        <w:spacing w:after="0" w:line="73" w:lineRule="exact"/>
        <w:rPr>
          <w:rFonts w:ascii="Arial" w:cs="Arial" w:eastAsia="Arial" w:hAnsi="Arial"/>
          <w:sz w:val="17"/>
          <w:szCs w:val="17"/>
          <w:color w:val="auto"/>
        </w:rPr>
      </w:pPr>
    </w:p>
    <w:p>
      <w:pPr>
        <w:ind w:left="4" w:right="480" w:firstLine="436"/>
        <w:spacing w:after="0" w:line="277" w:lineRule="auto"/>
        <w:tabs>
          <w:tab w:leader="none" w:pos="699"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(other than a Foreign Subsidiary) that is organized or existing under the laws of the United States, any state or territory thereof or the District of Columbia.</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 subsidiary of Fimalac, S.A., and any successor to its rating agency business.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05" w:name="page106"/>
    <w:bookmarkEnd w:id="105"/>
    <w:p>
      <w:pPr>
        <w:ind w:left="-20" w:right="440" w:firstLine="436"/>
        <w:spacing w:after="0" w:line="277" w:lineRule="auto"/>
        <w:tabs>
          <w:tab w:leader="none" w:pos="725"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organized under the laws of the United States of America or any state or territory thereof or the District of Columbia and any Subsidiary of such Foreign Subsidiary.</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w:t>
      </w:r>
      <w:r>
        <w:rPr>
          <w:rFonts w:ascii="Arial" w:cs="Arial" w:eastAsia="Arial" w:hAnsi="Arial"/>
          <w:sz w:val="18"/>
          <w:szCs w:val="18"/>
          <w:color w:val="auto"/>
        </w:rPr>
        <w:t>” has the meaning set forth for such term in the definition of “Treasury Rate.”</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 TCM</w:t>
      </w:r>
      <w:r>
        <w:rPr>
          <w:rFonts w:ascii="Arial" w:cs="Arial" w:eastAsia="Arial" w:hAnsi="Arial"/>
          <w:sz w:val="18"/>
          <w:szCs w:val="18"/>
          <w:color w:val="auto"/>
        </w:rPr>
        <w:t>” has the meaning set forth for such term in the definition of “Treasury Rate.”</w:t>
      </w:r>
    </w:p>
    <w:p>
      <w:pPr>
        <w:spacing w:after="0" w:line="117" w:lineRule="exact"/>
        <w:rPr>
          <w:rFonts w:ascii="Arial" w:cs="Arial" w:eastAsia="Arial" w:hAnsi="Arial"/>
          <w:sz w:val="18"/>
          <w:szCs w:val="18"/>
          <w:color w:val="auto"/>
        </w:rPr>
      </w:pPr>
    </w:p>
    <w:p>
      <w:pPr>
        <w:ind w:left="-20" w:right="100" w:firstLine="436"/>
        <w:spacing w:after="0" w:line="269" w:lineRule="auto"/>
        <w:tabs>
          <w:tab w:leader="none" w:pos="6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77" w:lineRule="exact"/>
        <w:rPr>
          <w:rFonts w:ascii="Arial" w:cs="Arial" w:eastAsia="Arial" w:hAnsi="Arial"/>
          <w:sz w:val="17"/>
          <w:szCs w:val="17"/>
          <w:color w:val="auto"/>
        </w:rPr>
      </w:pPr>
    </w:p>
    <w:p>
      <w:pPr>
        <w:ind w:left="680" w:hanging="264"/>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has the meaning set forth for such term in the definition of “Consolidated Net Tangible Assets”.</w:t>
      </w:r>
    </w:p>
    <w:p>
      <w:pPr>
        <w:spacing w:after="0" w:line="117" w:lineRule="exact"/>
        <w:rPr>
          <w:rFonts w:ascii="Arial" w:cs="Arial" w:eastAsia="Arial" w:hAnsi="Arial"/>
          <w:sz w:val="18"/>
          <w:szCs w:val="18"/>
          <w:color w:val="auto"/>
        </w:rPr>
      </w:pPr>
    </w:p>
    <w:p>
      <w:pPr>
        <w:ind w:left="-20" w:firstLine="436"/>
        <w:spacing w:after="0" w:line="263" w:lineRule="auto"/>
        <w:tabs>
          <w:tab w:leader="none" w:pos="6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BBB- (or the equivalent) by S&amp;P and BBB- (or the equivalent) by Fitch, or the equivalent investment grade credit rating from any other Rating Agency substituted for Moody’s, S&amp;P or Fitch pursuant to clause (2) of the definition of “Rating Agency.”</w:t>
      </w:r>
    </w:p>
    <w:p>
      <w:pPr>
        <w:spacing w:after="0" w:line="75" w:lineRule="exact"/>
        <w:rPr>
          <w:rFonts w:ascii="Arial" w:cs="Arial" w:eastAsia="Arial" w:hAnsi="Arial"/>
          <w:sz w:val="18"/>
          <w:szCs w:val="18"/>
          <w:color w:val="auto"/>
        </w:rPr>
      </w:pPr>
    </w:p>
    <w:p>
      <w:pPr>
        <w:ind w:left="-20" w:firstLine="436"/>
        <w:spacing w:after="0" w:line="254"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SLP Denali Co-Invest, L.P., Silver Lake Partners V DE (AIV), L.P., SL SPV-2, L.P. and their Affiliates and any funds, partnerships or other co-investment vehicles managed, advised or controlled by the foregoing or their respective Affiliates, excluding, in each case, Denali Intermediate Inc. and its Subsidiaries and any portfolio companies of any of the foregoing.</w:t>
      </w:r>
    </w:p>
    <w:p>
      <w:pPr>
        <w:spacing w:after="0" w:line="83" w:lineRule="exact"/>
        <w:rPr>
          <w:rFonts w:ascii="Arial" w:cs="Arial" w:eastAsia="Arial" w:hAnsi="Arial"/>
          <w:sz w:val="18"/>
          <w:szCs w:val="18"/>
          <w:color w:val="auto"/>
        </w:rPr>
      </w:pPr>
    </w:p>
    <w:p>
      <w:pPr>
        <w:ind w:left="640" w:hanging="224"/>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for such term in the definition of “Hedging Obligations.”</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117" w:lineRule="exact"/>
        <w:rPr>
          <w:rFonts w:ascii="Arial" w:cs="Arial" w:eastAsia="Arial" w:hAnsi="Arial"/>
          <w:sz w:val="18"/>
          <w:szCs w:val="18"/>
          <w:color w:val="auto"/>
        </w:rPr>
      </w:pPr>
    </w:p>
    <w:p>
      <w:pPr>
        <w:ind w:left="-20" w:right="140" w:firstLine="436"/>
        <w:spacing w:after="0" w:line="277" w:lineRule="auto"/>
        <w:tabs>
          <w:tab w:leader="none" w:pos="6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Obligation</w:t>
      </w:r>
      <w:r>
        <w:rPr>
          <w:rFonts w:ascii="Arial" w:cs="Arial" w:eastAsia="Arial" w:hAnsi="Arial"/>
          <w:sz w:val="18"/>
          <w:szCs w:val="18"/>
          <w:color w:val="auto"/>
        </w:rPr>
        <w:t>” means indebtedness or other Obligations substantially related to (1) the acquisition of assets not previously owned by Dell or any of its Subsidiaries or (2) the financing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106" w:name="page107"/>
    <w:bookmarkEnd w:id="106"/>
    <w:p>
      <w:pPr>
        <w:ind w:left="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w:t>
      </w:r>
    </w:p>
    <w:p>
      <w:pPr>
        <w:spacing w:after="0" w:line="41" w:lineRule="exact"/>
        <w:rPr>
          <w:sz w:val="20"/>
          <w:szCs w:val="20"/>
          <w:color w:val="auto"/>
        </w:rPr>
      </w:pPr>
    </w:p>
    <w:p>
      <w:pPr>
        <w:ind w:left="744" w:hanging="304"/>
        <w:spacing w:after="0"/>
        <w:tabs>
          <w:tab w:leader="none" w:pos="744"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Guarantee</w:t>
      </w:r>
      <w:r>
        <w:rPr>
          <w:rFonts w:ascii="Arial" w:cs="Arial" w:eastAsia="Arial" w:hAnsi="Arial"/>
          <w:sz w:val="16"/>
          <w:szCs w:val="16"/>
          <w:color w:val="auto"/>
        </w:rPr>
        <w:t>” means any Guarantor’s Security Guarantee with respect to the Issuers’ Obligations under the Indenture and the 2033 Notes.</w:t>
      </w:r>
    </w:p>
    <w:p>
      <w:pPr>
        <w:spacing w:after="0" w:line="140" w:lineRule="exact"/>
        <w:rPr>
          <w:rFonts w:ascii="Arial" w:cs="Arial" w:eastAsia="Arial" w:hAnsi="Arial"/>
          <w:sz w:val="16"/>
          <w:szCs w:val="16"/>
          <w:color w:val="auto"/>
        </w:rPr>
      </w:pPr>
    </w:p>
    <w:p>
      <w:pPr>
        <w:ind w:left="704" w:hanging="264"/>
        <w:spacing w:after="0"/>
        <w:tabs>
          <w:tab w:leader="none" w:pos="7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Call Date</w:t>
      </w:r>
      <w:r>
        <w:rPr>
          <w:rFonts w:ascii="Arial" w:cs="Arial" w:eastAsia="Arial" w:hAnsi="Arial"/>
          <w:sz w:val="18"/>
          <w:szCs w:val="18"/>
          <w:color w:val="auto"/>
        </w:rPr>
        <w:t>” has the meaning set forth for such term in Section 2(a).</w:t>
      </w:r>
    </w:p>
    <w:p>
      <w:pPr>
        <w:spacing w:after="0" w:line="117" w:lineRule="exact"/>
        <w:rPr>
          <w:rFonts w:ascii="Arial" w:cs="Arial" w:eastAsia="Arial" w:hAnsi="Arial"/>
          <w:sz w:val="18"/>
          <w:szCs w:val="18"/>
          <w:color w:val="auto"/>
        </w:rPr>
      </w:pPr>
    </w:p>
    <w:p>
      <w:pPr>
        <w:ind w:left="4" w:right="360" w:firstLine="436"/>
        <w:spacing w:after="0" w:line="342" w:lineRule="auto"/>
        <w:tabs>
          <w:tab w:leader="none" w:pos="699"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Entity</w:t>
      </w:r>
      <w:r>
        <w:rPr>
          <w:rFonts w:ascii="Arial" w:cs="Arial" w:eastAsia="Arial" w:hAnsi="Arial"/>
          <w:sz w:val="16"/>
          <w:szCs w:val="16"/>
          <w:color w:val="auto"/>
        </w:rPr>
        <w:t>” means any Person that, with respect to another Person, owns more than 50% of the total voting power of the Voting Stock entitled to vote for the election of directors of such other Person having a majority of the aggregate votes on the Board of such other Person.</w:t>
      </w:r>
    </w:p>
    <w:p>
      <w:pPr>
        <w:spacing w:after="0" w:line="15" w:lineRule="exact"/>
        <w:rPr>
          <w:rFonts w:ascii="Arial" w:cs="Arial" w:eastAsia="Arial" w:hAnsi="Arial"/>
          <w:sz w:val="16"/>
          <w:szCs w:val="16"/>
          <w:color w:val="auto"/>
        </w:rPr>
      </w:pPr>
    </w:p>
    <w:p>
      <w:pPr>
        <w:ind w:left="4" w:right="40" w:firstLine="436"/>
        <w:spacing w:after="0" w:line="284" w:lineRule="auto"/>
        <w:tabs>
          <w:tab w:leader="none" w:pos="689"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w:t>
      </w:r>
    </w:p>
    <w:p>
      <w:pPr>
        <w:spacing w:after="0" w:line="2" w:lineRule="exact"/>
        <w:rPr>
          <w:rFonts w:ascii="Arial" w:cs="Arial" w:eastAsia="Arial" w:hAnsi="Arial"/>
          <w:sz w:val="16"/>
          <w:szCs w:val="16"/>
          <w:color w:val="auto"/>
        </w:rPr>
      </w:pPr>
    </w:p>
    <w:p>
      <w:pPr>
        <w:ind w:left="4" w:hanging="4"/>
        <w:spacing w:after="0" w:line="255" w:lineRule="auto"/>
        <w:tabs>
          <w:tab w:leader="none" w:pos="2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w:t>
      </w:r>
    </w:p>
    <w:p>
      <w:pPr>
        <w:spacing w:after="0" w:line="81" w:lineRule="exact"/>
        <w:rPr>
          <w:rFonts w:ascii="Arial" w:cs="Arial" w:eastAsia="Arial" w:hAnsi="Arial"/>
          <w:sz w:val="18"/>
          <w:szCs w:val="18"/>
          <w:color w:val="auto"/>
        </w:rPr>
      </w:pPr>
    </w:p>
    <w:p>
      <w:pPr>
        <w:ind w:left="764" w:hanging="324"/>
        <w:spacing w:after="0"/>
        <w:tabs>
          <w:tab w:leader="none" w:pos="7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98"/>
        </w:numPr>
        <w:rPr>
          <w:rFonts w:ascii="Arial" w:cs="Arial" w:eastAsia="Arial" w:hAnsi="Arial"/>
          <w:sz w:val="18"/>
          <w:szCs w:val="18"/>
          <w:color w:val="auto"/>
        </w:rPr>
      </w:pPr>
      <w:r>
        <w:rPr>
          <w:rFonts w:ascii="Arial" w:cs="Arial" w:eastAsia="Arial" w:hAnsi="Arial"/>
          <w:sz w:val="18"/>
          <w:szCs w:val="18"/>
          <w:color w:val="auto"/>
        </w:rPr>
        <w:t>Liens in effect as of the Issue Date;</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98"/>
        </w:numPr>
        <w:rPr>
          <w:rFonts w:ascii="Arial" w:cs="Arial" w:eastAsia="Arial" w:hAnsi="Arial"/>
          <w:sz w:val="18"/>
          <w:szCs w:val="18"/>
          <w:color w:val="auto"/>
        </w:rPr>
      </w:pPr>
      <w:r>
        <w:rPr>
          <w:rFonts w:ascii="Arial" w:cs="Arial" w:eastAsia="Arial" w:hAnsi="Arial"/>
          <w:sz w:val="18"/>
          <w:szCs w:val="18"/>
          <w:color w:val="auto"/>
        </w:rPr>
        <w:t>Liens securing Obligations in respect of 2033 Notes outstanding on the Issue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444" w:firstLine="419"/>
        <w:spacing w:after="0" w:line="263" w:lineRule="auto"/>
        <w:tabs>
          <w:tab w:leader="none" w:pos="1122"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w:t>
      </w:r>
    </w:p>
    <w:p>
      <w:pPr>
        <w:spacing w:after="0" w:line="75" w:lineRule="exact"/>
        <w:rPr>
          <w:rFonts w:ascii="Arial" w:cs="Arial" w:eastAsia="Arial" w:hAnsi="Arial"/>
          <w:sz w:val="18"/>
          <w:szCs w:val="18"/>
          <w:color w:val="auto"/>
        </w:rPr>
      </w:pPr>
    </w:p>
    <w:p>
      <w:pPr>
        <w:ind w:left="444" w:right="40" w:firstLine="419"/>
        <w:spacing w:after="0" w:line="255" w:lineRule="auto"/>
        <w:tabs>
          <w:tab w:leader="none" w:pos="1122"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07" w:name="page108"/>
    <w:bookmarkEnd w:id="107"/>
    <w:p>
      <w:pPr>
        <w:ind w:left="4" w:right="20" w:firstLine="419"/>
        <w:spacing w:after="0" w:line="259" w:lineRule="auto"/>
        <w:tabs>
          <w:tab w:leader="none" w:pos="681"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w:t>
      </w:r>
    </w:p>
    <w:p>
      <w:pPr>
        <w:spacing w:after="0" w:line="78" w:lineRule="exact"/>
        <w:rPr>
          <w:rFonts w:ascii="Arial" w:cs="Arial" w:eastAsia="Arial" w:hAnsi="Arial"/>
          <w:sz w:val="18"/>
          <w:szCs w:val="18"/>
          <w:color w:val="auto"/>
        </w:rPr>
      </w:pPr>
    </w:p>
    <w:p>
      <w:pPr>
        <w:ind w:left="4" w:right="80" w:firstLine="419"/>
        <w:spacing w:after="0" w:line="308" w:lineRule="auto"/>
        <w:tabs>
          <w:tab w:leader="none" w:pos="68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Liens arising from Uniform Commercial Code financing statements, including precautionary financing statements, or any similar filings made in respect of Non-Financing Lease Obligations or consignments entered into by Parent or any of its Subsidiaries;</w:t>
      </w:r>
    </w:p>
    <w:p>
      <w:pPr>
        <w:spacing w:after="0" w:line="38" w:lineRule="exact"/>
        <w:rPr>
          <w:rFonts w:ascii="Arial" w:cs="Arial" w:eastAsia="Arial" w:hAnsi="Arial"/>
          <w:sz w:val="17"/>
          <w:szCs w:val="17"/>
          <w:color w:val="auto"/>
        </w:rPr>
      </w:pPr>
    </w:p>
    <w:p>
      <w:pPr>
        <w:ind w:left="684" w:hanging="261"/>
        <w:spacing w:after="0"/>
        <w:tabs>
          <w:tab w:leader="none" w:pos="68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on property or assets used to defease or to irrevocably satisfy and discharge indebtedness;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relating to future escrow arrangements securing indebtedness;</w:t>
      </w:r>
    </w:p>
    <w:p>
      <w:pPr>
        <w:spacing w:after="0" w:line="117" w:lineRule="exact"/>
        <w:rPr>
          <w:rFonts w:ascii="Arial" w:cs="Arial" w:eastAsia="Arial" w:hAnsi="Arial"/>
          <w:sz w:val="18"/>
          <w:szCs w:val="18"/>
          <w:color w:val="auto"/>
        </w:rPr>
      </w:pPr>
    </w:p>
    <w:p>
      <w:pPr>
        <w:ind w:left="4" w:right="360" w:firstLine="419"/>
        <w:spacing w:after="0" w:line="277" w:lineRule="auto"/>
        <w:tabs>
          <w:tab w:leader="none" w:pos="7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Parent or any of its Subsidiaries in connection with any letter of intent or purchase agreement;</w:t>
      </w:r>
    </w:p>
    <w:p>
      <w:pPr>
        <w:spacing w:after="0" w:line="62" w:lineRule="exact"/>
        <w:rPr>
          <w:rFonts w:ascii="Arial" w:cs="Arial" w:eastAsia="Arial" w:hAnsi="Arial"/>
          <w:sz w:val="18"/>
          <w:szCs w:val="18"/>
          <w:color w:val="auto"/>
        </w:rPr>
      </w:pPr>
    </w:p>
    <w:p>
      <w:pPr>
        <w:ind w:left="4" w:right="100" w:firstLine="419"/>
        <w:spacing w:after="0" w:line="286" w:lineRule="auto"/>
        <w:tabs>
          <w:tab w:leader="none" w:pos="7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securing indebtedness permitted to be incurred pursuant to this clause</w:t>
      </w:r>
    </w:p>
    <w:p>
      <w:pPr>
        <w:spacing w:after="0" w:line="1" w:lineRule="exact"/>
        <w:rPr>
          <w:rFonts w:ascii="Arial" w:cs="Arial" w:eastAsia="Arial" w:hAnsi="Arial"/>
          <w:sz w:val="16"/>
          <w:szCs w:val="16"/>
          <w:color w:val="auto"/>
        </w:rPr>
      </w:pPr>
    </w:p>
    <w:p>
      <w:pPr>
        <w:ind w:left="4" w:right="140" w:hanging="4"/>
        <w:spacing w:after="0" w:line="253" w:lineRule="auto"/>
        <w:tabs>
          <w:tab w:leader="none" w:pos="3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individual financings of equipment provided by one lender may be cross collateralized to other financings of equipment provided by such lender;</w:t>
      </w:r>
    </w:p>
    <w:p>
      <w:pPr>
        <w:spacing w:after="0" w:line="84" w:lineRule="exact"/>
        <w:rPr>
          <w:rFonts w:ascii="Arial" w:cs="Arial" w:eastAsia="Arial" w:hAnsi="Arial"/>
          <w:sz w:val="18"/>
          <w:szCs w:val="18"/>
          <w:color w:val="auto"/>
        </w:rPr>
      </w:pPr>
    </w:p>
    <w:p>
      <w:pPr>
        <w:ind w:left="764" w:hanging="341"/>
        <w:spacing w:after="0"/>
        <w:tabs>
          <w:tab w:leader="none" w:pos="7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Liens in favor of Parent or any of its Subsidiaries or the Trustee; and</w:t>
      </w:r>
    </w:p>
    <w:p>
      <w:pPr>
        <w:spacing w:after="0" w:line="117" w:lineRule="exact"/>
        <w:rPr>
          <w:rFonts w:ascii="Arial" w:cs="Arial" w:eastAsia="Arial" w:hAnsi="Arial"/>
          <w:sz w:val="18"/>
          <w:szCs w:val="18"/>
          <w:color w:val="auto"/>
        </w:rPr>
      </w:pPr>
    </w:p>
    <w:p>
      <w:pPr>
        <w:ind w:left="4" w:firstLine="419"/>
        <w:spacing w:after="0" w:line="273" w:lineRule="auto"/>
        <w:tabs>
          <w:tab w:leader="none" w:pos="77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provided, however, that such new Lien shall be limited to all or part of the same property that secured the original Lien (plus accessions, additions and improvements on such</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08" w:name="page109"/>
    <w:bookmarkEnd w:id="108"/>
    <w:p>
      <w:pPr>
        <w:ind w:left="44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w:t>
      </w:r>
    </w:p>
    <w:p>
      <w:pPr>
        <w:spacing w:after="0" w:line="187"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117" w:lineRule="exact"/>
        <w:rPr>
          <w:sz w:val="20"/>
          <w:szCs w:val="20"/>
          <w:color w:val="auto"/>
        </w:rPr>
      </w:pPr>
    </w:p>
    <w:p>
      <w:pPr>
        <w:ind w:left="784" w:hanging="344"/>
        <w:spacing w:after="0"/>
        <w:tabs>
          <w:tab w:leader="none" w:pos="78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Parent</w:t>
      </w:r>
      <w:r>
        <w:rPr>
          <w:rFonts w:ascii="Arial" w:cs="Arial" w:eastAsia="Arial" w:hAnsi="Arial"/>
          <w:sz w:val="16"/>
          <w:szCs w:val="16"/>
          <w:color w:val="auto"/>
        </w:rPr>
        <w:t>” means any Parent Entity that at the time it became a Parent Entity of Parent was a Permitted Holder pursuant to clause</w:t>
      </w:r>
    </w:p>
    <w:p>
      <w:pPr>
        <w:spacing w:after="0" w:line="46" w:lineRule="exact"/>
        <w:rPr>
          <w:rFonts w:ascii="Arial" w:cs="Arial" w:eastAsia="Arial" w:hAnsi="Arial"/>
          <w:sz w:val="16"/>
          <w:szCs w:val="16"/>
          <w:color w:val="auto"/>
        </w:rPr>
      </w:pPr>
    </w:p>
    <w:p>
      <w:pPr>
        <w:ind w:left="4" w:right="280" w:hanging="4"/>
        <w:spacing w:after="0" w:line="260" w:lineRule="auto"/>
        <w:tabs>
          <w:tab w:leader="none" w:pos="2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 the definition thereof and was not formed in connection with, or in contemplation of, a transaction that would otherwise constitute a Change of Control.</w:t>
      </w:r>
    </w:p>
    <w:p>
      <w:pPr>
        <w:spacing w:after="0" w:line="77" w:lineRule="exact"/>
        <w:rPr>
          <w:rFonts w:ascii="Arial" w:cs="Arial" w:eastAsia="Arial" w:hAnsi="Arial"/>
          <w:sz w:val="18"/>
          <w:szCs w:val="18"/>
          <w:color w:val="auto"/>
        </w:rPr>
      </w:pPr>
    </w:p>
    <w:p>
      <w:pPr>
        <w:ind w:left="4" w:right="180" w:firstLine="436"/>
        <w:spacing w:after="0" w:line="277" w:lineRule="auto"/>
        <w:tabs>
          <w:tab w:leader="none" w:pos="76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benefits plan of Parent or its Affiliates and any Person acting in its capacity as trustee, agent or other fiduciary or administrator of any such plan.</w:t>
      </w:r>
    </w:p>
    <w:p>
      <w:pPr>
        <w:spacing w:after="0" w:line="62" w:lineRule="exact"/>
        <w:rPr>
          <w:rFonts w:ascii="Arial" w:cs="Arial" w:eastAsia="Arial" w:hAnsi="Arial"/>
          <w:sz w:val="18"/>
          <w:szCs w:val="18"/>
          <w:color w:val="auto"/>
        </w:rPr>
      </w:pPr>
    </w:p>
    <w:p>
      <w:pPr>
        <w:ind w:left="4" w:firstLine="436"/>
        <w:spacing w:after="0" w:line="272" w:lineRule="auto"/>
        <w:tabs>
          <w:tab w:leader="none" w:pos="78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w:t>
      </w:r>
    </w:p>
    <w:p>
      <w:pPr>
        <w:spacing w:after="0" w:line="69" w:lineRule="exact"/>
        <w:rPr>
          <w:rFonts w:ascii="Arial" w:cs="Arial" w:eastAsia="Arial" w:hAnsi="Arial"/>
          <w:sz w:val="17"/>
          <w:szCs w:val="17"/>
          <w:color w:val="auto"/>
        </w:rPr>
      </w:pPr>
    </w:p>
    <w:p>
      <w:pPr>
        <w:ind w:left="4" w:right="20" w:firstLine="436"/>
        <w:spacing w:after="0" w:line="259" w:lineRule="auto"/>
        <w:tabs>
          <w:tab w:leader="none" w:pos="76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S&amp;P, Moody’s and Fitch or (2) if S&amp;P, Moody’s or Fitch or each of them shall not make a corporate rating with respect to the Issuers (or any Guarantor) or a rating on the 2033 Notes publicly available, a nationally recognized statistical rating agency or agencies, as the case may be, selected by Parent, which shall be substituted for any or all of S&amp;P, Moody’s or Fitch, as the case may be, with respect to such corporate rating or the rating of the 2033 Notes, as the case may be.</w:t>
      </w:r>
    </w:p>
    <w:p>
      <w:pPr>
        <w:spacing w:after="0" w:line="78" w:lineRule="exact"/>
        <w:rPr>
          <w:rFonts w:ascii="Arial" w:cs="Arial" w:eastAsia="Arial" w:hAnsi="Arial"/>
          <w:sz w:val="18"/>
          <w:szCs w:val="18"/>
          <w:color w:val="auto"/>
        </w:rPr>
      </w:pPr>
    </w:p>
    <w:p>
      <w:pPr>
        <w:ind w:left="4" w:right="180" w:firstLine="436"/>
        <w:spacing w:after="0" w:line="291" w:lineRule="auto"/>
        <w:tabs>
          <w:tab w:leader="none" w:pos="72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Decline</w:t>
      </w:r>
      <w:r>
        <w:rPr>
          <w:rFonts w:ascii="Arial" w:cs="Arial" w:eastAsia="Arial" w:hAnsi="Arial"/>
          <w:sz w:val="16"/>
          <w:szCs w:val="16"/>
          <w:color w:val="auto"/>
        </w:rPr>
        <w:t>” means the occurrence of a decrease in the rating of the 2033 Notes by one or more gradations by any two of three Rating Agencies (including gradations within the rating categories, as well as between categories), within 60 days after the earlier of (x) a Change of Control,</w:t>
      </w: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(y) the date of public notice of the occurrence of a Change of Control or (z) public notice of the intention of Parent to effect a Change of Control (which 60-day period shall be extended so long as the rating of the 2033 Notes is under publicly announced ratings review for possible downgrade by either of such two Rating Agencies, it being understood that a change in ratings outlook shall not extend such 60-day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Rating Decline otherwise arising by virtue of a particular reduction in rating will not be deemed to have occurred in respect of a particular Change of Control (and thus will not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09" w:name="page110"/>
    <w:bookmarkEnd w:id="109"/>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a Rating Decline shall not be deemed to have occurred so long as the 2033 Notes has an Investment Grade Rating from at least two of three Rating Agencies.</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Trustee shall not be responsible for monitoring, or charged with knowledge of, the ratings of the 2033 Notes.</w:t>
      </w:r>
    </w:p>
    <w:p>
      <w:pPr>
        <w:spacing w:after="0" w:line="117" w:lineRule="exact"/>
        <w:rPr>
          <w:sz w:val="20"/>
          <w:szCs w:val="20"/>
          <w:color w:val="auto"/>
        </w:rPr>
      </w:pPr>
    </w:p>
    <w:p>
      <w:pPr>
        <w:ind w:left="784" w:hanging="344"/>
        <w:spacing w:after="0"/>
        <w:tabs>
          <w:tab w:leader="none" w:pos="78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Remaining Life</w:t>
      </w:r>
      <w:r>
        <w:rPr>
          <w:rFonts w:ascii="Arial" w:cs="Arial" w:eastAsia="Arial" w:hAnsi="Arial"/>
          <w:sz w:val="18"/>
          <w:szCs w:val="18"/>
          <w:color w:val="auto"/>
        </w:rPr>
        <w:t>” has the meaning set forth for such term in the definition of “Treasury Rate.”</w:t>
      </w:r>
    </w:p>
    <w:p>
      <w:pPr>
        <w:spacing w:after="0" w:line="117" w:lineRule="exact"/>
        <w:rPr>
          <w:rFonts w:ascii="Arial" w:cs="Arial" w:eastAsia="Arial" w:hAnsi="Arial"/>
          <w:sz w:val="18"/>
          <w:szCs w:val="18"/>
          <w:color w:val="auto"/>
        </w:rPr>
      </w:pPr>
    </w:p>
    <w:p>
      <w:pPr>
        <w:ind w:left="784" w:hanging="344"/>
        <w:spacing w:after="0"/>
        <w:tabs>
          <w:tab w:leader="none" w:pos="784" w:val="left"/>
        </w:tabs>
        <w:numPr>
          <w:ilvl w:val="1"/>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(1) any Subsidiary of an Issuer that (a) is a Wholly-Owned Subsidiary, (b) is a Domestic Subsidiary and</w:t>
      </w:r>
    </w:p>
    <w:p>
      <w:pPr>
        <w:spacing w:after="0" w:line="34" w:lineRule="exact"/>
        <w:rPr>
          <w:rFonts w:ascii="Arial" w:cs="Arial" w:eastAsia="Arial" w:hAnsi="Arial"/>
          <w:sz w:val="17"/>
          <w:szCs w:val="17"/>
          <w:color w:val="auto"/>
        </w:rPr>
      </w:pPr>
    </w:p>
    <w:p>
      <w:pPr>
        <w:ind w:left="4" w:right="100" w:hanging="4"/>
        <w:spacing w:after="0" w:line="255" w:lineRule="auto"/>
        <w:tabs>
          <w:tab w:leader="none" w:pos="2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directly owns or directly leases any Principal Property and (2) any other Subsidiary that the Board of any Issuer may designate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“Restricted Subsidiary” shall not include Dell Financial Services L.L.C. or any other Subsidiary that is principally engaged in financing receivables, securitization transactions, factoring or other similar transactions.</w:t>
      </w:r>
    </w:p>
    <w:p>
      <w:pPr>
        <w:spacing w:after="0" w:line="81" w:lineRule="exact"/>
        <w:rPr>
          <w:rFonts w:ascii="Arial" w:cs="Arial" w:eastAsia="Arial" w:hAnsi="Arial"/>
          <w:sz w:val="18"/>
          <w:szCs w:val="18"/>
          <w:color w:val="auto"/>
        </w:rPr>
      </w:pPr>
    </w:p>
    <w:p>
      <w:pPr>
        <w:ind w:left="704" w:hanging="264"/>
        <w:spacing w:after="0"/>
        <w:tabs>
          <w:tab w:leader="none" w:pos="70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Inc. and any successor to its rating agency business.</w:t>
      </w:r>
    </w:p>
    <w:p>
      <w:pPr>
        <w:spacing w:after="0" w:line="117" w:lineRule="exact"/>
        <w:rPr>
          <w:rFonts w:ascii="Arial" w:cs="Arial" w:eastAsia="Arial" w:hAnsi="Arial"/>
          <w:sz w:val="18"/>
          <w:szCs w:val="18"/>
          <w:color w:val="auto"/>
        </w:rPr>
      </w:pPr>
    </w:p>
    <w:p>
      <w:pPr>
        <w:ind w:left="4" w:firstLine="436"/>
        <w:spacing w:after="0" w:line="293" w:lineRule="auto"/>
        <w:tabs>
          <w:tab w:leader="none" w:pos="70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w:t>
      </w:r>
    </w:p>
    <w:p>
      <w:pPr>
        <w:spacing w:after="0" w:line="56" w:lineRule="exact"/>
        <w:rPr>
          <w:rFonts w:ascii="Arial" w:cs="Arial" w:eastAsia="Arial" w:hAnsi="Arial"/>
          <w:sz w:val="16"/>
          <w:szCs w:val="16"/>
          <w:color w:val="auto"/>
        </w:rPr>
      </w:pPr>
    </w:p>
    <w:p>
      <w:pPr>
        <w:ind w:left="784" w:hanging="344"/>
        <w:spacing w:after="0"/>
        <w:tabs>
          <w:tab w:leader="none" w:pos="78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Change of Control Payment Date</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4" w:right="540" w:firstLine="436"/>
        <w:spacing w:after="0" w:line="277" w:lineRule="auto"/>
        <w:tabs>
          <w:tab w:leader="none" w:pos="70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yield determined by the Issuers in accordance with the following two paragraphs.</w:t>
      </w:r>
    </w:p>
    <w:p>
      <w:pPr>
        <w:spacing w:after="0" w:line="62" w:lineRule="exact"/>
        <w:rPr>
          <w:rFonts w:ascii="Arial" w:cs="Arial" w:eastAsia="Arial" w:hAnsi="Arial"/>
          <w:sz w:val="18"/>
          <w:szCs w:val="18"/>
          <w:color w:val="auto"/>
        </w:rPr>
      </w:pPr>
    </w:p>
    <w:p>
      <w:pPr>
        <w:ind w:left="444" w:right="180" w:firstLine="419"/>
        <w:spacing w:after="0" w:line="254" w:lineRule="auto"/>
        <w:tabs>
          <w:tab w:leader="none" w:pos="112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8"/>
          <w:szCs w:val="18"/>
          <w:u w:val="single" w:color="auto"/>
          <w:color w:val="auto"/>
        </w:rPr>
        <w:t>H.15</w:t>
      </w:r>
      <w:r>
        <w:rPr>
          <w:rFonts w:ascii="Arial" w:cs="Arial" w:eastAsia="Arial" w:hAnsi="Arial"/>
          <w:sz w:val="18"/>
          <w:szCs w:val="18"/>
          <w:color w:val="auto"/>
        </w:rPr>
        <w:t>”) under the caption “U.S. government securities—Treasury constant maturities—Nominal” (or any successor caption or heading) (“</w:t>
      </w:r>
      <w:r>
        <w:rPr>
          <w:rFonts w:ascii="Arial" w:cs="Arial" w:eastAsia="Arial" w:hAnsi="Arial"/>
          <w:sz w:val="18"/>
          <w:szCs w:val="18"/>
          <w:u w:val="single" w:color="auto"/>
          <w:color w:val="auto"/>
        </w:rPr>
        <w:t>H.15 TCM</w:t>
      </w:r>
      <w:r>
        <w:rPr>
          <w:rFonts w:ascii="Arial" w:cs="Arial" w:eastAsia="Arial" w:hAnsi="Arial"/>
          <w:sz w:val="18"/>
          <w:szCs w:val="18"/>
          <w:color w:val="auto"/>
        </w:rPr>
        <w:t>”). In determining the Treasury Rate, the Issuers shall select, as applicable: (1) the yield for the Treasury constant maturity on H.15 exactly equal to the period from the Redemption Date to the Par Call Date (the “</w:t>
      </w:r>
      <w:r>
        <w:rPr>
          <w:rFonts w:ascii="Arial" w:cs="Arial" w:eastAsia="Arial" w:hAnsi="Arial"/>
          <w:sz w:val="18"/>
          <w:szCs w:val="18"/>
          <w:u w:val="single" w:color="auto"/>
          <w:color w:val="auto"/>
        </w:rPr>
        <w:t>Remaining Life</w:t>
      </w:r>
      <w:r>
        <w:rPr>
          <w:rFonts w:ascii="Arial" w:cs="Arial" w:eastAsia="Arial" w:hAnsi="Arial"/>
          <w:sz w:val="18"/>
          <w:szCs w:val="18"/>
          <w:color w:val="auto"/>
        </w:rPr>
        <w:t>”); or (2) if there is no such</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10" w:name="page111"/>
    <w:bookmarkEnd w:id="110"/>
    <w:p>
      <w:pPr>
        <w:ind w:left="44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69" w:lineRule="exact"/>
        <w:rPr>
          <w:sz w:val="20"/>
          <w:szCs w:val="20"/>
          <w:color w:val="auto"/>
        </w:rPr>
      </w:pPr>
    </w:p>
    <w:p>
      <w:pPr>
        <w:ind w:left="440" w:firstLine="419"/>
        <w:spacing w:after="0" w:line="287" w:lineRule="auto"/>
        <w:tabs>
          <w:tab w:leader="none" w:pos="111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59" w:lineRule="exact"/>
        <w:rPr>
          <w:rFonts w:ascii="Arial" w:cs="Arial" w:eastAsia="Arial" w:hAnsi="Arial"/>
          <w:sz w:val="16"/>
          <w:szCs w:val="16"/>
          <w:color w:val="auto"/>
        </w:rPr>
      </w:pPr>
    </w:p>
    <w:p>
      <w:pPr>
        <w:ind w:right="120" w:firstLine="436"/>
        <w:spacing w:after="0" w:line="277" w:lineRule="auto"/>
        <w:tabs>
          <w:tab w:leader="none" w:pos="8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Issuers shall not, and shall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2033 Notes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or (b) the Issuers shall apply an amount equal to the net proceeds of the Attributable Indebtedness with respect to such Sale and Lease-Back Transaction within 365 days after such Sale and Lease-Back Transaction to the defeasance or retirement of any 2033 Notes or other indebtedness of the Issuers or a Restricted Subsidiary or to the purchase, construction or development of other assets or property.</w:t>
      </w:r>
    </w:p>
    <w:p>
      <w:pPr>
        <w:spacing w:after="0" w:line="86" w:lineRule="exact"/>
        <w:rPr>
          <w:rFonts w:ascii="Arial" w:cs="Arial" w:eastAsia="Arial" w:hAnsi="Arial"/>
          <w:sz w:val="18"/>
          <w:szCs w:val="18"/>
          <w:color w:val="auto"/>
        </w:rPr>
      </w:pPr>
    </w:p>
    <w:p>
      <w:pPr>
        <w:jc w:val="both"/>
        <w:ind w:right="20" w:firstLine="436"/>
        <w:spacing w:after="0" w:line="286"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Issuers and their Restricted Subsidiaries may enter into any Sale and Lease-Back Transaction which would otherwise be prohibited by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if, after giving effect thereto and at the time of determination, Aggregate Debt does not exceed at any one time outstanding the greater of (x) $4,300.0 million and (y) 15% of Consolidated Net Tangible Assets.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9"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Issuers shall not, and shall not permit any of their Restricted Subsidiaries to, directly or indirectly, create, incur or assume any Lien (except Permitted Liens) on any of their or any Restricted Subsidiary’s Principal Property (whether such Principal Property are now existing or owed or hereafter created or acquired) that secures indebtedness for borrowed money, unless the 2033 Notes are equally and ratably secured with (or, at an Issuer’s option, on a senior basis to) the indebtedness so secured.</w:t>
      </w:r>
    </w:p>
    <w:p>
      <w:pPr>
        <w:spacing w:after="0" w:line="78" w:lineRule="exact"/>
        <w:rPr>
          <w:rFonts w:ascii="Arial" w:cs="Arial" w:eastAsia="Arial" w:hAnsi="Arial"/>
          <w:sz w:val="18"/>
          <w:szCs w:val="18"/>
          <w:color w:val="auto"/>
        </w:rPr>
      </w:pPr>
    </w:p>
    <w:p>
      <w:pPr>
        <w:ind w:right="140" w:firstLine="436"/>
        <w:spacing w:after="0" w:line="279"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the Issuers and their Restricted Subsidiaries may, without equally and ratably securing the 2033 Notes, create, incur or assume any Lien which would otherwise be prohibited by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if, after giving effect thereto and at the time of determination, Aggregate Debt of the Issuers and their Restricted Subsidiaries secured by Liens on any of their respective Principal Properties does not exceed at any one time outstanding the greater of (x) $4,300.0 million and (y) 15% of Consolidated Net Tangible Assets.</w:t>
      </w:r>
    </w:p>
    <w:p>
      <w:pPr>
        <w:spacing w:after="0" w:line="63" w:lineRule="exact"/>
        <w:rPr>
          <w:rFonts w:ascii="Arial" w:cs="Arial" w:eastAsia="Arial" w:hAnsi="Arial"/>
          <w:sz w:val="17"/>
          <w:szCs w:val="17"/>
          <w:color w:val="auto"/>
        </w:rPr>
      </w:pPr>
    </w:p>
    <w:p>
      <w:pPr>
        <w:ind w:right="180" w:firstLine="436"/>
        <w:spacing w:after="0" w:line="263"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Any Lien created for the benefit of the Holders of any 2033 Notes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shall provide by its terms that such Lien shall be automatically and unconditionally released and discharged upon the release and discharge of the Lien that gave rise to the obligation to secure the 2033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7"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a Change of Control Triggering Event occurs, unless, prior to or concurrently with the time the Issuers are required to make a Change of Control Offer, the Issuers have mailed or delivered, or otherwise sent through electronic transmission, a redemption notice with respect to all the outstanding 2033 Notes pursuant to the optional redemption terms set forth in the Officer’s Certificate, supplemental indenture or resolutions of the Issuers’ Boards, as applicable, governing the 2033 Notes or pursuant to Section 11.01 of the Base Indenture, the Issuers shall make an offer to purchase all of the 2033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at a price in cash equal to 101% of the aggregate principal amount thereof (or such higher amount as the Issuers may determine (any Change of Control Offer at a higher amount, an “</w:t>
      </w:r>
      <w:r>
        <w:rPr>
          <w:rFonts w:ascii="Arial" w:cs="Arial" w:eastAsia="Arial" w:hAnsi="Arial"/>
          <w:sz w:val="16"/>
          <w:szCs w:val="16"/>
          <w:u w:val="single" w:color="auto"/>
          <w:color w:val="auto"/>
        </w:rPr>
        <w:t>Alternate Offer</w:t>
      </w:r>
      <w:r>
        <w:rPr>
          <w:rFonts w:ascii="Arial" w:cs="Arial" w:eastAsia="Arial" w:hAnsi="Arial"/>
          <w:sz w:val="16"/>
          <w:szCs w:val="16"/>
          <w:color w:val="auto"/>
        </w:rPr>
        <w:t>”)) (such price, the “</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plus accrued and unpaid interest, if any, to, but excluding the date of purchase, subject to the right of Holders of record on the relevant Record Date to receive interest due on the relevant Interest Payment Date falling on or prior to the Change of Control Payment Date. Within 30 days following any Change of Control Triggering Event, the Issuers shall send notice of such Change of Control Offer by electronic delivery or first-class mail, with a copy to the Trustee, to each Holder of the 2033 Notes to the address of such Holder appearing in the security register or otherwise in accordance with the procedures of DTC, with the following information:</w:t>
      </w:r>
    </w:p>
    <w:p>
      <w:pPr>
        <w:spacing w:after="0" w:line="63" w:lineRule="exact"/>
        <w:rPr>
          <w:rFonts w:ascii="Arial" w:cs="Arial" w:eastAsia="Arial" w:hAnsi="Arial"/>
          <w:sz w:val="16"/>
          <w:szCs w:val="16"/>
          <w:color w:val="auto"/>
        </w:rPr>
      </w:pPr>
    </w:p>
    <w:p>
      <w:pPr>
        <w:ind w:left="440" w:right="500" w:firstLine="419"/>
        <w:spacing w:after="0" w:line="277" w:lineRule="auto"/>
        <w:tabs>
          <w:tab w:leader="none" w:pos="111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that all 2033 Notes properly tendered pursuant to such Change of Control Offer will be accepted for payment by the Issuers;</w:t>
      </w:r>
    </w:p>
    <w:p>
      <w:pPr>
        <w:spacing w:after="0" w:line="62" w:lineRule="exact"/>
        <w:rPr>
          <w:rFonts w:ascii="Arial" w:cs="Arial" w:eastAsia="Arial" w:hAnsi="Arial"/>
          <w:sz w:val="18"/>
          <w:szCs w:val="18"/>
          <w:color w:val="auto"/>
        </w:rPr>
      </w:pPr>
    </w:p>
    <w:p>
      <w:pPr>
        <w:ind w:left="440" w:right="40" w:firstLine="419"/>
        <w:spacing w:after="0" w:line="259" w:lineRule="auto"/>
        <w:tabs>
          <w:tab w:leader="none" w:pos="111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20 Business Days nor later than 60 days from the date such notice is sent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Change of Control Payment Date may be delayed, in the Issuers’ discretion, until such time (including more than 60 days after the date such notice is sent) as any or all such conditions referred to in clause (7) below shall be satisfied or waived;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2" w:name="page113"/>
    <w:bookmarkEnd w:id="112"/>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any 2033 Note not properly tendered will remain outstanding and continue to accrue interest;</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plus accrued and unpaid interest on all properly tendered 2033 Notes, all 2033 Notes accepted for payment pursuant to the Change of Control Offer will cease to accrue interest on the Change of Control Payment Date;</w:t>
      </w:r>
    </w:p>
    <w:p>
      <w:pPr>
        <w:spacing w:after="0" w:line="75" w:lineRule="exact"/>
        <w:rPr>
          <w:rFonts w:ascii="Arial" w:cs="Arial" w:eastAsia="Arial" w:hAnsi="Arial"/>
          <w:sz w:val="18"/>
          <w:szCs w:val="18"/>
          <w:color w:val="auto"/>
        </w:rPr>
      </w:pPr>
    </w:p>
    <w:p>
      <w:pPr>
        <w:ind w:left="440" w:right="120" w:firstLine="419"/>
        <w:spacing w:after="0" w:line="279" w:lineRule="auto"/>
        <w:tabs>
          <w:tab w:leader="none" w:pos="111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that Holders electing to have any 2033 Notes purchased pursuant to a Change of Control Offer will be required to surrender such 2033 Notes, with the form entitled “Option of Holder to Elect Purchase” on the reverse of such 2033 Notes completed or otherwise in accordance with the procedures of DTC, to the Paying Agent specified in the notice at the address specified in the notice prior to the close of business on the third (3rd) Business Day preceding the Change of Control Payment Date;</w:t>
      </w:r>
    </w:p>
    <w:p>
      <w:pPr>
        <w:spacing w:after="0" w:line="63" w:lineRule="exact"/>
        <w:rPr>
          <w:rFonts w:ascii="Arial" w:cs="Arial" w:eastAsia="Arial" w:hAnsi="Arial"/>
          <w:sz w:val="17"/>
          <w:szCs w:val="17"/>
          <w:color w:val="auto"/>
        </w:rPr>
      </w:pPr>
    </w:p>
    <w:p>
      <w:pPr>
        <w:jc w:val="both"/>
        <w:ind w:left="440" w:firstLine="419"/>
        <w:spacing w:after="0" w:line="259" w:lineRule="auto"/>
        <w:tabs>
          <w:tab w:leader="none" w:pos="11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if less than all of such Holder’s 2033 Notes are tendered for purchase, such Holder will be issued new 2033 Notes (or, in the case of Global Securities, such 2033 Notes shall be reduced by such amount of Securities that the Holder has tendered) and such new 2033 Notes will be equal in aggregate principal amount to the unpurchased portion of the 2033 Notes surrendered (the unpurchased portion of the 2033 Notes must be equal to $2,000 or an integral multiple of $1,000 in excess thereof);</w:t>
      </w:r>
    </w:p>
    <w:p>
      <w:pPr>
        <w:spacing w:after="0" w:line="78" w:lineRule="exact"/>
        <w:rPr>
          <w:rFonts w:ascii="Arial" w:cs="Arial" w:eastAsia="Arial" w:hAnsi="Arial"/>
          <w:sz w:val="18"/>
          <w:szCs w:val="18"/>
          <w:color w:val="auto"/>
        </w:rPr>
      </w:pPr>
    </w:p>
    <w:p>
      <w:pPr>
        <w:ind w:left="440" w:right="100" w:firstLine="419"/>
        <w:spacing w:after="0" w:line="254" w:lineRule="auto"/>
        <w:tabs>
          <w:tab w:leader="none" w:pos="11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such notice is sent prior to the occurrence of a Change of Control Triggering Event, stating that the Change of Control Offer is conditional on the occurrence of such Change of Control Triggering Event or such other conditions specified therein and shall describe each such condition, and, if applicable, shall state that, in the Issuers’ discretion (including more than 60 days after the notice is mailed or delivered), the Change of Control Payment Date may be delayed until such time as any or all such conditions shall be satisfied or waived,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w:t>
      </w:r>
    </w:p>
    <w:p>
      <w:pPr>
        <w:spacing w:after="0" w:line="86" w:lineRule="exact"/>
        <w:rPr>
          <w:rFonts w:ascii="Arial" w:cs="Arial" w:eastAsia="Arial" w:hAnsi="Arial"/>
          <w:sz w:val="18"/>
          <w:szCs w:val="18"/>
          <w:color w:val="auto"/>
        </w:rPr>
      </w:pPr>
    </w:p>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other instructions, as determined by the Issuers, consistent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that a Holder must follow.</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While the 2033 Notes are in global form and the Issuers make an offer to purchase all of the 2033 Notes pursuant to the Change of Control Offer, a Holder of such 2033 Notes may exercise its option to elect for the purchase of the 2033 Notes through the facilities of DTC, subject to its rules and regulations.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The Issuers shall comply with the requirements of Rule 14e-1 under the Exchange Act and any other securities laws and regulations thereunder to the extent such laws or regulations are applicable in connection with the repurchase of 2033 Notes pursuant to a Change of Control Offer (including, for the avoidance of doubt, an Alternate Offer). To the extent that the provisions of any securities laws or regulations conflict with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Issuers shall comply with the applicable securities laws and regulations and shall not be deemed to have breached its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by virtue thereof.</w:t>
      </w:r>
    </w:p>
    <w:p>
      <w:pPr>
        <w:spacing w:after="0" w:line="80" w:lineRule="exact"/>
        <w:rPr>
          <w:sz w:val="20"/>
          <w:szCs w:val="20"/>
          <w:color w:val="auto"/>
        </w:rPr>
      </w:pPr>
    </w:p>
    <w:p>
      <w:pPr>
        <w:ind w:left="5360" w:right="3860" w:hanging="4924"/>
        <w:spacing w:after="0" w:line="449" w:lineRule="auto"/>
        <w:tabs>
          <w:tab w:leader="none" w:pos="6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the Change of Control Payment Date, the Issuers shall, to the extent permitted by law, -13-</w:t>
      </w:r>
    </w:p>
    <w:p>
      <w:pPr>
        <w:sectPr>
          <w:pgSz w:w="11900" w:h="16838" w:orient="portrait"/>
          <w:cols w:equalWidth="0" w:num="1">
            <w:col w:w="11000"/>
          </w:cols>
          <w:pgMar w:left="440" w:top="274" w:right="459" w:bottom="1440" w:gutter="0" w:footer="0" w:header="0"/>
        </w:sectPr>
      </w:pPr>
    </w:p>
    <w:bookmarkStart w:id="113" w:name="page114"/>
    <w:bookmarkEnd w:id="113"/>
    <w:p>
      <w:pPr>
        <w:ind w:left="1120" w:hanging="261"/>
        <w:spacing w:after="0"/>
        <w:tabs>
          <w:tab w:leader="none" w:pos="11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 for payment all 2033 Notes issued by them or portions thereof properly tendered pursuant to the Change of Control Offer,</w:t>
      </w:r>
    </w:p>
    <w:p>
      <w:pPr>
        <w:spacing w:after="0" w:line="128" w:lineRule="exact"/>
        <w:rPr>
          <w:rFonts w:ascii="Arial" w:cs="Arial" w:eastAsia="Arial" w:hAnsi="Arial"/>
          <w:sz w:val="17"/>
          <w:szCs w:val="17"/>
          <w:color w:val="auto"/>
        </w:rPr>
      </w:pPr>
    </w:p>
    <w:p>
      <w:pPr>
        <w:ind w:left="440" w:right="36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2033 Notes or portions thereof so tendered, plus accrued and unpaid interest thereon, and</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2033 Notes so accepted together with an Officer’s Certificate to the Trustee stating that such 2033 Notes or portions thereof have been tendered to and purchased by the Issuers.</w:t>
      </w:r>
    </w:p>
    <w:p>
      <w:pPr>
        <w:spacing w:after="0" w:line="62" w:lineRule="exact"/>
        <w:rPr>
          <w:rFonts w:ascii="Arial" w:cs="Arial" w:eastAsia="Arial" w:hAnsi="Arial"/>
          <w:sz w:val="18"/>
          <w:szCs w:val="18"/>
          <w:color w:val="auto"/>
        </w:rPr>
      </w:pPr>
    </w:p>
    <w:p>
      <w:pPr>
        <w:ind w:right="140" w:firstLine="436"/>
        <w:spacing w:after="0" w:line="293" w:lineRule="auto"/>
        <w:tabs>
          <w:tab w:leader="none" w:pos="68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Issuers shall not be required to make a Change of Control Offer if a third party makes the Change of Control Offer (including, for the avoidance of doubt, an Alternate Offer) in the manner, at the times and otherwise in compliance with the requirements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applicable to a Change of Control Offer made by the Issuers and purchases all 2033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w:t>
      </w:r>
    </w:p>
    <w:p>
      <w:pPr>
        <w:spacing w:after="0" w:line="56"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If Holders of not less than 90% in aggregate principal amount of the outstanding 2033 Notes validly tender and do not withdraw such 2033 Notes in a Change of Control Offer and the Issuers, or any third party making a Change of Control Offer in lieu of the Issuers as set forth in clause (c)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purchases all of the 2033 Notes that have been validly tendered and not withdrawn by such Holders, the Issuers or such third party shall have the right, upon not less than 10 nor more than 60 days’ prior notice, given not more than 30 days following such purchase pursuant to the Change of Control Offer as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to redeem (with respect to the Issuers) or purchase (with respect to a third party) all 2033 Notes that remain outstanding following such purchase on a date (the “</w:t>
      </w:r>
      <w:r>
        <w:rPr>
          <w:rFonts w:ascii="Arial" w:cs="Arial" w:eastAsia="Arial" w:hAnsi="Arial"/>
          <w:sz w:val="17"/>
          <w:szCs w:val="17"/>
          <w:u w:val="single" w:color="auto"/>
          <w:color w:val="auto"/>
        </w:rPr>
        <w:t>Second Change of Control Payment Date</w:t>
      </w:r>
      <w:r>
        <w:rPr>
          <w:rFonts w:ascii="Arial" w:cs="Arial" w:eastAsia="Arial" w:hAnsi="Arial"/>
          <w:sz w:val="17"/>
          <w:szCs w:val="17"/>
          <w:color w:val="auto"/>
        </w:rPr>
        <w:t>”) at a price in cash equal to the Change of Control Payment (excluding any early tender premium or similar premium and any accrued and unpaid interest to any Holder in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2033 Notes on the relevant record date to receive interest due on the relevant interest payment date falling on or prior to the Second Change of Control Payment Date.</w:t>
      </w:r>
    </w:p>
    <w:p>
      <w:pPr>
        <w:spacing w:after="0" w:line="73" w:lineRule="exact"/>
        <w:rPr>
          <w:rFonts w:ascii="Arial" w:cs="Arial" w:eastAsia="Arial" w:hAnsi="Arial"/>
          <w:sz w:val="17"/>
          <w:szCs w:val="17"/>
          <w:color w:val="auto"/>
        </w:rPr>
      </w:pPr>
    </w:p>
    <w:p>
      <w:pPr>
        <w:ind w:right="540" w:firstLine="436"/>
        <w:spacing w:after="0" w:line="277" w:lineRule="auto"/>
        <w:tabs>
          <w:tab w:leader="none" w:pos="6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Other than as specifically provided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any purchase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made pursuant to the provisions of Sections 3.02, 3.05 and 3.06 of the Base Indenture.</w:t>
      </w:r>
    </w:p>
    <w:p>
      <w:pPr>
        <w:spacing w:after="0" w:line="62" w:lineRule="exact"/>
        <w:rPr>
          <w:rFonts w:ascii="Arial" w:cs="Arial" w:eastAsia="Arial" w:hAnsi="Arial"/>
          <w:sz w:val="18"/>
          <w:szCs w:val="18"/>
          <w:color w:val="auto"/>
        </w:rPr>
      </w:pPr>
    </w:p>
    <w:p>
      <w:pPr>
        <w:ind w:firstLine="436"/>
        <w:spacing w:after="0" w:line="263" w:lineRule="auto"/>
        <w:tabs>
          <w:tab w:leader="none" w:pos="6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relating to the Issuers’ obligation to make a Change of Control Offer upon a Change of Control Triggering Event may be waived or modified at any time with the written consent of the Holders of a majority in aggregate principal amount of the 2033 Notes then outstanding.</w:t>
      </w:r>
    </w:p>
    <w:p>
      <w:pPr>
        <w:spacing w:after="0" w:line="75" w:lineRule="exact"/>
        <w:rPr>
          <w:rFonts w:ascii="Arial" w:cs="Arial" w:eastAsia="Arial" w:hAnsi="Arial"/>
          <w:sz w:val="18"/>
          <w:szCs w:val="18"/>
          <w:color w:val="auto"/>
        </w:rPr>
      </w:pPr>
    </w:p>
    <w:p>
      <w:pPr>
        <w:ind w:firstLine="436"/>
        <w:spacing w:after="0" w:line="254"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Change of Control Offer (including, for the avoidance of doubt, an Alternate Offer) may be made at the same time as consents are solicited with respect to an amendment, supplement or waiver of the Indenture, the 2033 Notes and/or the Note Guarantees so long as the tender of 2033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their sole discretion, so long as the Change of Control Payment is at least equal to 101% of the aggregate principal amount of the 2033 Notes being repurchased, plus accrued and unpaid interest thereon.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4" w:name="page115"/>
    <w:bookmarkEnd w:id="114"/>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2033 NOTES SUPPLEMENTAL INDENTURE WILL BE GOVERNED BY AND CONSTRUED IN ACCORDANCE WITH THE LAWS OF THE STATE OF NEW YORK.</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In the event of a conflict between the terms and conditions of the Base Indenture and the terms and conditions of this 2033 Notes Supplemental Indenture, then the terms and conditions of this 2033 Notes Supplemental Indenture shall prevail;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and to the extent that any provision of this 2033 Notes Supplemental Indenture limits, qualifies or conflicts with another provision which is required to be included herein or in the Base Indenture by the Trust Indenture Act, such required provision shall control.</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sign any number of copies of this 2033 Notes Supplemental Indenture. Each signed copy shall be an original, but all of them together represent the same agreement. The words “execution,” “signed,” “signature,” “delivery,” and words of like import in or relating to this 2033 Notes Supplemental Indenture or any document to be signed in connection with this 2033 Notes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Trustee Not Responsible for Recitals or Issuance of 2033 Notes</w:t>
      </w:r>
      <w:r>
        <w:rPr>
          <w:rFonts w:ascii="Arial" w:cs="Arial" w:eastAsia="Arial" w:hAnsi="Arial"/>
          <w:sz w:val="18"/>
          <w:szCs w:val="18"/>
          <w:color w:val="auto"/>
        </w:rPr>
        <w:t>. The recitals contained herein shall be taken as the statements of the Issuers, and the Trustee assumes no responsibility for their correctness. The Trustee makes no representations as to the validity or sufficiency of this 2033 Notes Supplemental Indenture or of the 2033 Notes. The Trustee shall not be accountable for the use or application by the Issuers of 2033 Notes or the proceeds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DELL INTERNATIONAL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Garcia</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Assistant Secretary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100"/>
          </w:cols>
          <w:pgMar w:left="880" w:top="274" w:right="9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DELL TECHNOLOGIES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Garcia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Christopher Garcia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 Corporate</w:t>
            </w:r>
          </w:p>
        </w:tc>
      </w:tr>
      <w:tr>
        <w:trPr>
          <w:trHeight w:val="216"/>
        </w:trPr>
        <w:tc>
          <w:tcPr>
            <w:tcW w:w="6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Securities and Finance Counsel</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DENALI INTERMEDIATE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Garcia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Christopher Garcia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DELL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Garcia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Christopher Garcia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377"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17" w:name="page118"/>
    <w:bookmarkEnd w:id="11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TRUST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w:t>
      </w:r>
      <w:r>
        <w:rPr>
          <w:rFonts w:ascii="Arial" w:cs="Arial" w:eastAsia="Arial" w:hAnsi="Arial"/>
          <w:sz w:val="16"/>
          <w:szCs w:val="16"/>
          <w:color w:val="auto"/>
        </w:rPr>
        <w:t>]</w:t>
      </w:r>
    </w:p>
    <w:p>
      <w:pPr>
        <w:sectPr>
          <w:pgSz w:w="11900" w:h="16838" w:orient="portrait"/>
          <w:cols w:equalWidth="0" w:num="1">
            <w:col w:w="9200"/>
          </w:cols>
          <w:pgMar w:left="1440" w:top="274" w:right="1259" w:bottom="1440" w:gutter="0" w:footer="0" w:header="0"/>
        </w:sectPr>
      </w:pPr>
    </w:p>
    <w:bookmarkStart w:id="118" w:name="page119"/>
    <w:bookmarkEnd w:id="118"/>
    <w:p>
      <w:pPr>
        <w:ind w:left="10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20"/>
          </w:cols>
          <w:pgMar w:left="440" w:top="274"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24703DBL4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US24703DBL47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 up to</w:t>
      </w:r>
    </w:p>
    <w:p>
      <w:pPr>
        <w:spacing w:after="0" w:line="9" w:lineRule="exact"/>
        <w:rPr>
          <w:sz w:val="20"/>
          <w:szCs w:val="20"/>
          <w:color w:val="auto"/>
        </w:rPr>
      </w:pPr>
    </w:p>
    <w:p>
      <w:pPr>
        <w:ind w:left="4920"/>
        <w:spacing w:after="0"/>
        <w:tabs>
          <w:tab w:leader="none" w:pos="6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-19050</wp:posOffset>
            </wp:positionV>
            <wp:extent cx="6000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5.750% Senior Notes due 2033</w:t>
      </w:r>
    </w:p>
    <w:p>
      <w:pPr>
        <w:spacing w:after="0" w:line="238" w:lineRule="exact"/>
        <w:rPr>
          <w:sz w:val="20"/>
          <w:szCs w:val="20"/>
          <w:color w:val="auto"/>
        </w:rPr>
      </w:pPr>
    </w:p>
    <w:p>
      <w:pPr>
        <w:spacing w:after="0"/>
        <w:tabs>
          <w:tab w:leader="none" w:pos="10060" w:val="left"/>
          <w:tab w:leader="none" w:pos="109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-10160</wp:posOffset>
            </wp:positionV>
            <wp:extent cx="342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6497320</wp:posOffset>
            </wp:positionH>
            <wp:positionV relativeFrom="paragraph">
              <wp:posOffset>-10160</wp:posOffset>
            </wp:positionV>
            <wp:extent cx="4572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DELL INTERNATIONAL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EMC CORPORATION</w:t>
      </w:r>
    </w:p>
    <w:p>
      <w:pPr>
        <w:spacing w:after="0" w:line="21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promise to pay to CEDE &amp; CO. or registered assigns, the principal sum set forth on the Schedule of Exchanges of Interests in the Global Security attached hereto on February 1, 2033.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 and August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15 and July 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120" w:name="page121"/>
    <w:bookmarkEnd w:id="1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HEREOF, the Issuers have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DELL INTERNATIONAL L.L.C.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4"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 as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 20[•]</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600"/>
          </w:cols>
          <w:pgMar w:left="440" w:top="274" w:right="8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5.750% Senior Notes due 2033</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Capitalized terms used herein shall have the meanings assigned to them in the Base Indenture referred to below unless otherwise indicated.</w:t>
      </w:r>
    </w:p>
    <w:p>
      <w:pPr>
        <w:spacing w:after="0" w:line="140" w:lineRule="exact"/>
        <w:rPr>
          <w:sz w:val="20"/>
          <w:szCs w:val="20"/>
          <w:color w:val="auto"/>
        </w:rPr>
      </w:pPr>
    </w:p>
    <w:p>
      <w:pPr>
        <w:ind w:left="-20" w:right="40" w:firstLine="987"/>
        <w:spacing w:after="0" w:line="269" w:lineRule="auto"/>
        <w:tabs>
          <w:tab w:leader="none" w:pos="115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INTEREST. Dell International L.L.C., a Delaware limited liability company (“</w:t>
      </w:r>
      <w:r>
        <w:rPr>
          <w:rFonts w:ascii="Arial" w:cs="Arial" w:eastAsia="Arial" w:hAnsi="Arial"/>
          <w:sz w:val="17"/>
          <w:szCs w:val="17"/>
          <w:u w:val="single" w:color="auto"/>
          <w:color w:val="auto"/>
        </w:rPr>
        <w:t>Dell International</w:t>
      </w:r>
      <w:r>
        <w:rPr>
          <w:rFonts w:ascii="Arial" w:cs="Arial" w:eastAsia="Arial" w:hAnsi="Arial"/>
          <w:sz w:val="17"/>
          <w:szCs w:val="17"/>
          <w:color w:val="auto"/>
        </w:rPr>
        <w:t>”), and EMC Corporation, a Massachusetts corporation (“</w:t>
      </w:r>
      <w:r>
        <w:rPr>
          <w:rFonts w:ascii="Arial" w:cs="Arial" w:eastAsia="Arial" w:hAnsi="Arial"/>
          <w:sz w:val="17"/>
          <w:szCs w:val="17"/>
          <w:u w:val="single" w:color="auto"/>
          <w:color w:val="auto"/>
        </w:rPr>
        <w:t>EMC</w:t>
      </w:r>
      <w:r>
        <w:rPr>
          <w:rFonts w:ascii="Arial" w:cs="Arial" w:eastAsia="Arial" w:hAnsi="Arial"/>
          <w:sz w:val="17"/>
          <w:szCs w:val="17"/>
          <w:color w:val="auto"/>
        </w:rPr>
        <w:t>” and, together with Dell International, the “</w:t>
      </w:r>
      <w:r>
        <w:rPr>
          <w:rFonts w:ascii="Arial" w:cs="Arial" w:eastAsia="Arial" w:hAnsi="Arial"/>
          <w:sz w:val="17"/>
          <w:szCs w:val="17"/>
          <w:u w:val="single" w:color="auto"/>
          <w:color w:val="auto"/>
        </w:rPr>
        <w:t>Issuers</w:t>
      </w:r>
      <w:r>
        <w:rPr>
          <w:rFonts w:ascii="Arial" w:cs="Arial" w:eastAsia="Arial" w:hAnsi="Arial"/>
          <w:sz w:val="17"/>
          <w:szCs w:val="17"/>
          <w:color w:val="auto"/>
        </w:rPr>
        <w:t>”), promise to pay interest on the principal amount of this 2033 Note at 5.750% per annum, from January 24, 2023 until Maturity. The Issuers shall pay interest semi-annually in arrears on February 1 and August 1 of each year, or if any such day is not a Business Day, on the next succeeding Business Day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Interest on the 2033 Notes shall accrue from the most recent date to which interest has been paid or, if no interest has been paid, from January 24,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Interest Payment Date shall be August 1, 2023. The Issuers shall pay interest (including post-petition interest in any proceeding under any Bankruptcy Law) on overdue principal and premium, if any, from time to time on demand at the interest rate on the 2033 Notes to the extent lawful; the Issuers shall pay interest (including post-petition interest in any proceeding under any Bankruptcy Law) on overdue installments of interest, if any, from time to time on demand at the interest rate on the 2033 Notes. Interest shall be computed on the basis of a 360-day year comprised of twelve 30-day months. The interest rate on the 2033 Notes will in no event be higher than the maximum rate permitted by New York law as the same may be modified by United States law of general application. This 2033 Note is one of the series designated on the face hereof (individually, a “</w:t>
      </w:r>
      <w:r>
        <w:rPr>
          <w:rFonts w:ascii="Arial" w:cs="Arial" w:eastAsia="Arial" w:hAnsi="Arial"/>
          <w:sz w:val="17"/>
          <w:szCs w:val="17"/>
          <w:u w:val="single" w:color="auto"/>
          <w:color w:val="auto"/>
        </w:rPr>
        <w:t>2033 Note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2033 Notes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0" w:right="20" w:firstLine="987"/>
        <w:spacing w:after="0" w:line="291" w:lineRule="auto"/>
        <w:tabs>
          <w:tab w:leader="none" w:pos="115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METHOD OF PAYMENT. The Issuers will pay interest on the 2033 Notes to the Persons who are registered Holders of the 2033 Notes at the close of business (if applicable) on the January 15 or July 15 (whether or not a Business Day), as the case may be, immediately preceding the Interest Payment Date, even if such Securities are canceled after such record date and on or before such Interest Payment Date, except as provided in Section 2.12 of the Base Indenture with respect to defaulted interest. Payment of interest may be made by check mailed to the Holders of the 2033 Notes at their addresses set forth in the register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payments of principal of and interest and premium, if any, with respect to the 2033 Notes represented by one or more Global Securities will be made in accordance with DTC’s applicable procedures. Such payment shall be in such coin or currency of the United States of America as at the time of payment is legal tender for payment of public and private debts.</w:t>
      </w:r>
    </w:p>
    <w:p>
      <w:pPr>
        <w:spacing w:after="0" w:line="58" w:lineRule="exact"/>
        <w:rPr>
          <w:rFonts w:ascii="Arial" w:cs="Arial" w:eastAsia="Arial" w:hAnsi="Arial"/>
          <w:sz w:val="16"/>
          <w:szCs w:val="16"/>
          <w:color w:val="auto"/>
        </w:rPr>
      </w:pPr>
    </w:p>
    <w:p>
      <w:pPr>
        <w:ind w:left="-20" w:right="100" w:firstLine="987"/>
        <w:spacing w:after="0" w:line="263" w:lineRule="auto"/>
        <w:tabs>
          <w:tab w:leader="none" w:pos="115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PAYING AGENT AND REGISTRAR. Initially, The Bank of New York Mellon Trust Company, N.A., the Trustee under the Indenture, will act as Paying Agent and Registrar. The Issuers may change any Paying Agent or Registrar without notice to the Holders. Parent or any of its Subsidiaries may act in any such capacity.</w:t>
      </w:r>
    </w:p>
    <w:p>
      <w:pPr>
        <w:spacing w:after="0" w:line="75" w:lineRule="exact"/>
        <w:rPr>
          <w:rFonts w:ascii="Arial" w:cs="Arial" w:eastAsia="Arial" w:hAnsi="Arial"/>
          <w:sz w:val="18"/>
          <w:szCs w:val="18"/>
          <w:color w:val="auto"/>
        </w:rPr>
      </w:pPr>
    </w:p>
    <w:p>
      <w:pPr>
        <w:ind w:left="-20" w:firstLine="987"/>
        <w:spacing w:after="0" w:line="271" w:lineRule="auto"/>
        <w:tabs>
          <w:tab w:leader="none" w:pos="115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INDENTURE. The Issuers issued the 2033 Notes under the Base Indenture, dated as of January 24, 2023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among the Issuers, the Guarantors and the Trustee, as supplemented by the 2033 Notes Supplemental Indenture No. 1, dated as of January 24, 2023 (the “</w:t>
      </w:r>
      <w:r>
        <w:rPr>
          <w:rFonts w:ascii="Arial" w:cs="Arial" w:eastAsia="Arial" w:hAnsi="Arial"/>
          <w:sz w:val="17"/>
          <w:szCs w:val="17"/>
          <w:u w:val="single" w:color="auto"/>
          <w:color w:val="auto"/>
        </w:rPr>
        <w:t>2033</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 Supplemental Indenture No. 1</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Issuers, the Guarantors and the Trustee. This 2033 Note is one of a duly authorized issue of securities of the Issuers designated as their 5.750% Senior Notes due 2033. The Issuers shall be entitled to issue Additional Securities constituting Securities pursuant to Section 2.01 of the Base Indenture and Section 1(b) of the 2033 Notes Supplemental Indenture No. 1. The terms of the 2033 Notes include those stated in the Indenture. The 2033 Notes are subject to all such terms, and Holders of the 2033 Notes are referred to the Indenture for a statement of such terms. To the extent any provision of this 2033 Note conflicts with the express provisions of the Indenture, the provisions of the Indenture shall govern and be controlling.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60" w:top="274" w:right="459" w:bottom="1440" w:gutter="0" w:footer="0" w:header="0"/>
        </w:sectPr>
      </w:pPr>
    </w:p>
    <w:bookmarkStart w:id="123" w:name="page124"/>
    <w:bookmarkEnd w:id="123"/>
    <w:p>
      <w:pPr>
        <w:ind w:left="-60" w:right="40" w:firstLine="987"/>
        <w:spacing w:after="0" w:line="263" w:lineRule="auto"/>
        <w:tabs>
          <w:tab w:leader="none" w:pos="11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AND REPURCHASE. The 2033 Notes are subject to optional redemption, and may be the subject of a Change of Control Offer or an Alternate Offer, as further described in the 2033 Notes Supplemental Indenture No. 1. The Issuers shall not be required to make any mandatory redemption or sinking fund payments with respect to the 2033 Notes.</w:t>
      </w:r>
    </w:p>
    <w:p>
      <w:pPr>
        <w:spacing w:after="0" w:line="75" w:lineRule="exact"/>
        <w:rPr>
          <w:rFonts w:ascii="Arial" w:cs="Arial" w:eastAsia="Arial" w:hAnsi="Arial"/>
          <w:sz w:val="18"/>
          <w:szCs w:val="18"/>
          <w:color w:val="auto"/>
        </w:rPr>
      </w:pPr>
    </w:p>
    <w:p>
      <w:pPr>
        <w:ind w:left="-60" w:right="20" w:firstLine="987"/>
        <w:spacing w:after="0" w:line="291" w:lineRule="auto"/>
        <w:tabs>
          <w:tab w:leader="none" w:pos="11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DENOMINATIONS, TRANSFER, EXCHANGE. The 2033 Notes are in registered form without coupons in denominations of $2,000 and integral multiples of $1,000 in excess thereof. The transfer of Securities may be registered and Securities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Security or portion of a Security selected for redemption or tendered (and not withdrawn) for repurchase in connection with a Change of Control Offer, an Alternate Offer or other tender offer, in whole or in part, except for the unredeemed portion of any Security being redeemed in part. Also, the Issuers need not exchange or register the transfer of any Securities for a period of 15 days before a selection of Securities to be redeemed.</w:t>
      </w:r>
    </w:p>
    <w:p>
      <w:pPr>
        <w:spacing w:after="0" w:line="58" w:lineRule="exact"/>
        <w:rPr>
          <w:rFonts w:ascii="Arial" w:cs="Arial" w:eastAsia="Arial" w:hAnsi="Arial"/>
          <w:sz w:val="16"/>
          <w:szCs w:val="16"/>
          <w:color w:val="auto"/>
        </w:rPr>
      </w:pPr>
    </w:p>
    <w:p>
      <w:pPr>
        <w:ind w:left="1100" w:hanging="173"/>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DEEMED OWNERS. The registered Holder of a Security may be treated as its owner for all purposes.</w:t>
      </w:r>
    </w:p>
    <w:p>
      <w:pPr>
        <w:spacing w:after="0" w:line="117" w:lineRule="exact"/>
        <w:rPr>
          <w:rFonts w:ascii="Arial" w:cs="Arial" w:eastAsia="Arial" w:hAnsi="Arial"/>
          <w:sz w:val="18"/>
          <w:szCs w:val="18"/>
          <w:color w:val="auto"/>
        </w:rPr>
      </w:pPr>
    </w:p>
    <w:p>
      <w:pPr>
        <w:ind w:left="-60" w:right="220" w:firstLine="987"/>
        <w:spacing w:after="0" w:line="277" w:lineRule="auto"/>
        <w:tabs>
          <w:tab w:leader="none" w:pos="11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2033 Notes or the related Note Guarantees may be amended or supplemented as provided in the Indenture.</w:t>
      </w:r>
    </w:p>
    <w:p>
      <w:pPr>
        <w:spacing w:after="0" w:line="62" w:lineRule="exact"/>
        <w:rPr>
          <w:rFonts w:ascii="Arial" w:cs="Arial" w:eastAsia="Arial" w:hAnsi="Arial"/>
          <w:sz w:val="18"/>
          <w:szCs w:val="18"/>
          <w:color w:val="auto"/>
        </w:rPr>
      </w:pPr>
    </w:p>
    <w:p>
      <w:pPr>
        <w:jc w:val="both"/>
        <w:ind w:left="-60" w:right="320" w:firstLine="987"/>
        <w:spacing w:after="0" w:line="263" w:lineRule="auto"/>
        <w:tabs>
          <w:tab w:leader="none" w:pos="11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2033 Notes are defined in Section 6.01 of the Base Indenture. Upon the occurrence of an Event of Default relating to the 2033 Notes, the rights and obligations of the Issuers, the Guarantors, the Trustee and the Holders of the 2033 Notes shall be as set forth in the applicable provisions of the Indenture.</w:t>
      </w:r>
    </w:p>
    <w:p>
      <w:pPr>
        <w:spacing w:after="0" w:line="75" w:lineRule="exact"/>
        <w:rPr>
          <w:rFonts w:ascii="Arial" w:cs="Arial" w:eastAsia="Arial" w:hAnsi="Arial"/>
          <w:sz w:val="18"/>
          <w:szCs w:val="18"/>
          <w:color w:val="auto"/>
        </w:rPr>
      </w:pPr>
    </w:p>
    <w:p>
      <w:pPr>
        <w:ind w:left="-60" w:firstLine="987"/>
        <w:spacing w:after="0" w:line="277" w:lineRule="auto"/>
        <w:tabs>
          <w:tab w:leader="none" w:pos="12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AUTHENTICATION. This 2033 Note shall not be entitled to any benefit under the Indenture or be valid or obligatory for any purpose until authenticated by the manual or electronic signature of the Trustee.</w:t>
      </w:r>
    </w:p>
    <w:p>
      <w:pPr>
        <w:spacing w:after="0" w:line="62" w:lineRule="exact"/>
        <w:rPr>
          <w:rFonts w:ascii="Arial" w:cs="Arial" w:eastAsia="Arial" w:hAnsi="Arial"/>
          <w:sz w:val="18"/>
          <w:szCs w:val="18"/>
          <w:color w:val="auto"/>
        </w:rPr>
      </w:pPr>
    </w:p>
    <w:p>
      <w:pPr>
        <w:ind w:left="-60" w:right="400" w:firstLine="987"/>
        <w:spacing w:after="0" w:line="277" w:lineRule="auto"/>
        <w:tabs>
          <w:tab w:leader="none" w:pos="11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2033 NOTES AND THE NOTE GUARANTEES.</w:t>
      </w:r>
    </w:p>
    <w:p>
      <w:pPr>
        <w:spacing w:after="0" w:line="62" w:lineRule="exact"/>
        <w:rPr>
          <w:rFonts w:ascii="Arial" w:cs="Arial" w:eastAsia="Arial" w:hAnsi="Arial"/>
          <w:sz w:val="18"/>
          <w:szCs w:val="18"/>
          <w:color w:val="auto"/>
        </w:rPr>
      </w:pPr>
    </w:p>
    <w:p>
      <w:pPr>
        <w:ind w:left="-60" w:right="80" w:firstLine="987"/>
        <w:spacing w:after="0" w:line="257" w:lineRule="auto"/>
        <w:tabs>
          <w:tab w:leader="none" w:pos="12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CUSIP AND ISIN NUMBERS. Pursuant to a recommendation promulgated by the Committee on Uniform Security Identification Procedures, the Issuers have caused CUSIP and ISIN numbers and/or similar numbers to be printed on the 2033 Notes and the Trustee may use CUSIP and ISIN numbers and/or similar numbers in notices of redemption as a convenience to Holders of the 2033 Notes. No representation is made as to the accuracy of such numbers either as printed on the 2033 Notes or as contained in any notice of redemption and reliance may be placed only on the other identification numbers placed thereon.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00"/>
          </w:cols>
          <w:pgMar w:left="500" w:top="274" w:right="499" w:bottom="1440" w:gutter="0" w:footer="0" w:header="0"/>
        </w:sectPr>
      </w:pPr>
    </w:p>
    <w:bookmarkStart w:id="124" w:name="page125"/>
    <w:bookmarkEnd w:id="12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will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Issuers at the following address: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Dell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No.: (512) 283-0544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Christopher Garcia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Christopher.A.Garcia@dell.com</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580"/>
          </w:cols>
          <w:pgMar w:left="440" w:top="274" w:right="879" w:bottom="1440" w:gutter="0" w:footer="0" w:header="0"/>
        </w:sectPr>
      </w:pPr>
    </w:p>
    <w:bookmarkStart w:id="125" w:name="page126"/>
    <w:bookmarkEnd w:id="125"/>
    <w:p>
      <w:pPr>
        <w:jc w:val="center"/>
        <w:ind w:right="-1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To assign this 2033 Note, fill in the form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2033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-10160</wp:posOffset>
            </wp:positionV>
            <wp:extent cx="38557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9709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5" w:lineRule="exact"/>
        <w:rPr>
          <w:sz w:val="20"/>
          <w:szCs w:val="20"/>
          <w:color w:val="auto"/>
        </w:rPr>
      </w:pPr>
    </w:p>
    <w:p>
      <w:pPr>
        <w:ind w:left="580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572135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768985</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6980" w:type="dxa"/>
            <w:vAlign w:val="bottom"/>
          </w:tcPr>
          <w:p>
            <w:pPr>
              <w:ind w:left="1860"/>
              <w:spacing w:after="0"/>
              <w:rPr>
                <w:sz w:val="20"/>
                <w:szCs w:val="20"/>
                <w:color w:val="auto"/>
              </w:rPr>
            </w:pPr>
            <w:r>
              <w:rPr>
                <w:rFonts w:ascii="Arial" w:cs="Arial" w:eastAsia="Arial" w:hAnsi="Arial"/>
                <w:sz w:val="18"/>
                <w:szCs w:val="18"/>
                <w:color w:val="auto"/>
              </w:rPr>
              <w:t>(Print or type assignee’s name, address and zip code)</w:t>
            </w:r>
          </w:p>
        </w:tc>
        <w:tc>
          <w:tcPr>
            <w:tcW w:w="2120" w:type="dxa"/>
            <w:vAlign w:val="bottom"/>
          </w:tcPr>
          <w:p>
            <w:pPr>
              <w:spacing w:after="0"/>
              <w:rPr>
                <w:sz w:val="20"/>
                <w:szCs w:val="20"/>
                <w:color w:val="auto"/>
              </w:rPr>
            </w:pPr>
          </w:p>
        </w:tc>
      </w:tr>
      <w:tr>
        <w:trPr>
          <w:trHeight w:val="392"/>
        </w:trPr>
        <w:tc>
          <w:tcPr>
            <w:tcW w:w="1740" w:type="dxa"/>
            <w:vAlign w:val="bottom"/>
          </w:tcPr>
          <w:p>
            <w:pPr>
              <w:spacing w:after="0"/>
              <w:rPr>
                <w:sz w:val="20"/>
                <w:szCs w:val="20"/>
                <w:color w:val="auto"/>
              </w:rPr>
            </w:pPr>
            <w:r>
              <w:rPr>
                <w:rFonts w:ascii="Arial" w:cs="Arial" w:eastAsia="Arial" w:hAnsi="Arial"/>
                <w:sz w:val="18"/>
                <w:szCs w:val="18"/>
                <w:color w:val="auto"/>
                <w:w w:val="92"/>
              </w:rPr>
              <w:t>and irrevocably appoint</w:t>
            </w:r>
          </w:p>
        </w:tc>
        <w:tc>
          <w:tcPr>
            <w:tcW w:w="6980" w:type="dxa"/>
            <w:vAlign w:val="bottom"/>
            <w:tcBorders>
              <w:bottom w:val="single" w:sz="8" w:color="auto"/>
            </w:tcBorders>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0"/>
              </w:rPr>
              <w:t>to transfer this 2033 Note on</w:t>
            </w:r>
          </w:p>
        </w:tc>
      </w:tr>
      <w:tr>
        <w:trPr>
          <w:trHeight w:val="236"/>
        </w:trPr>
        <w:tc>
          <w:tcPr>
            <w:tcW w:w="8720" w:type="dxa"/>
            <w:vAlign w:val="bottom"/>
            <w:gridSpan w:val="2"/>
          </w:tcPr>
          <w:p>
            <w:pPr>
              <w:spacing w:after="0"/>
              <w:rPr>
                <w:sz w:val="20"/>
                <w:szCs w:val="20"/>
                <w:color w:val="auto"/>
              </w:rPr>
            </w:pPr>
            <w:r>
              <w:rPr>
                <w:rFonts w:ascii="Arial" w:cs="Arial" w:eastAsia="Arial" w:hAnsi="Arial"/>
                <w:sz w:val="18"/>
                <w:szCs w:val="18"/>
                <w:color w:val="auto"/>
              </w:rPr>
              <w:t>the books of the Issuers. The agent may substitute another to act for him.</w:t>
            </w:r>
          </w:p>
        </w:tc>
        <w:tc>
          <w:tcPr>
            <w:tcW w:w="2120" w:type="dxa"/>
            <w:vAlign w:val="bottom"/>
          </w:tcPr>
          <w:p>
            <w:pPr>
              <w:spacing w:after="0"/>
              <w:rPr>
                <w:sz w:val="20"/>
                <w:szCs w:val="20"/>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Date: _____________________</w:t>
            </w:r>
          </w:p>
        </w:tc>
        <w:tc>
          <w:tcPr>
            <w:tcW w:w="2120" w:type="dxa"/>
            <w:vAlign w:val="bottom"/>
          </w:tcPr>
          <w:p>
            <w:pPr>
              <w:spacing w:after="0"/>
              <w:rPr>
                <w:sz w:val="24"/>
                <w:szCs w:val="24"/>
                <w:color w:val="auto"/>
              </w:rPr>
            </w:pPr>
          </w:p>
        </w:tc>
      </w:tr>
    </w:tbl>
    <w:p>
      <w:pPr>
        <w:spacing w:after="0" w:line="229" w:lineRule="exact"/>
        <w:rPr>
          <w:sz w:val="20"/>
          <w:szCs w:val="20"/>
          <w:color w:val="auto"/>
        </w:rPr>
      </w:pPr>
    </w:p>
    <w:p>
      <w:pPr>
        <w:ind w:left="5084" w:hanging="1124"/>
        <w:spacing w:after="0"/>
        <w:tabs>
          <w:tab w:leader="none" w:pos="508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Your Signature:</w:t>
      </w:r>
    </w:p>
    <w:p>
      <w:pPr>
        <w:spacing w:after="0" w:line="36" w:lineRule="exact"/>
        <w:rPr>
          <w:rFonts w:ascii="Arial" w:cs="Arial" w:eastAsia="Arial" w:hAnsi="Arial"/>
          <w:sz w:val="18"/>
          <w:szCs w:val="18"/>
          <w:color w:val="auto"/>
        </w:rPr>
      </w:pPr>
    </w:p>
    <w:p>
      <w:pPr>
        <w:ind w:left="5084"/>
        <w:spacing w:after="0"/>
        <w:rPr>
          <w:rFonts w:ascii="Arial" w:cs="Arial" w:eastAsia="Arial" w:hAnsi="Arial"/>
          <w:sz w:val="18"/>
          <w:szCs w:val="18"/>
          <w:color w:val="auto"/>
        </w:rPr>
      </w:pPr>
      <w:r>
        <w:rPr>
          <w:rFonts w:ascii="Arial" w:cs="Arial" w:eastAsia="Arial" w:hAnsi="Arial"/>
          <w:sz w:val="18"/>
          <w:szCs w:val="18"/>
          <w:color w:val="auto"/>
        </w:rPr>
        <w:t>(Sign exactly as your name appears on the face of this 2033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-139065</wp:posOffset>
            </wp:positionV>
            <wp:extent cx="29317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 __________________________________</w:t>
      </w:r>
    </w:p>
    <w:p>
      <w:pPr>
        <w:spacing w:after="0" w:line="131" w:lineRule="exact"/>
        <w:rPr>
          <w:sz w:val="20"/>
          <w:szCs w:val="20"/>
          <w:color w:val="auto"/>
        </w:rPr>
      </w:pPr>
    </w:p>
    <w:p>
      <w:pPr>
        <w:ind w:left="5364" w:right="1480" w:hanging="5364"/>
        <w:spacing w:after="0" w:line="449" w:lineRule="auto"/>
        <w:tabs>
          <w:tab w:leader="none" w:pos="4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844"/>
          </w:cols>
          <w:pgMar w:left="436" w:top="274" w:right="619" w:bottom="1440" w:gutter="0" w:footer="0" w:header="0"/>
        </w:sectPr>
      </w:pPr>
    </w:p>
    <w:bookmarkStart w:id="126" w:name="page127"/>
    <w:bookmarkEnd w:id="126"/>
    <w:p>
      <w:pPr>
        <w:jc w:val="center"/>
        <w:ind w:right="-3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If you want to elect to have this 2033 Note purchased by the Issuers pursuant to Section 6 of the 2033 Notes Supplemental Indenture No. 1, check the appropriate box below:</w:t>
      </w:r>
    </w:p>
    <w:p>
      <w:pPr>
        <w:spacing w:after="0" w:line="170" w:lineRule="exact"/>
        <w:rPr>
          <w:sz w:val="20"/>
          <w:szCs w:val="20"/>
          <w:color w:val="auto"/>
        </w:rPr>
      </w:pPr>
    </w:p>
    <w:p>
      <w:pPr>
        <w:ind w:left="5244" w:hanging="246"/>
        <w:spacing w:after="0"/>
        <w:tabs>
          <w:tab w:leader="none" w:pos="52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Section 6</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If you want to elect to have only part of this 2033 Note purchased by the Issuers pursuant to Section 6 of the 2033 Notes Supplemental Indenture No. 1, state the amount you elect to have purchased:</w:t>
      </w:r>
    </w:p>
    <w:p>
      <w:pPr>
        <w:spacing w:after="0" w:line="170"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_____________________</w:t>
      </w:r>
    </w:p>
    <w:p>
      <w:pPr>
        <w:spacing w:after="0" w:line="252" w:lineRule="exact"/>
        <w:rPr>
          <w:sz w:val="20"/>
          <w:szCs w:val="20"/>
          <w:color w:val="auto"/>
        </w:rPr>
      </w:pPr>
    </w:p>
    <w:p>
      <w:pPr>
        <w:ind w:left="5084" w:hanging="1124"/>
        <w:spacing w:after="0"/>
        <w:tabs>
          <w:tab w:leader="none" w:pos="50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Your Signature:</w:t>
      </w:r>
    </w:p>
    <w:p>
      <w:pPr>
        <w:spacing w:after="0" w:line="36" w:lineRule="exact"/>
        <w:rPr>
          <w:rFonts w:ascii="Arial" w:cs="Arial" w:eastAsia="Arial" w:hAnsi="Arial"/>
          <w:sz w:val="18"/>
          <w:szCs w:val="18"/>
          <w:color w:val="auto"/>
        </w:rPr>
      </w:pPr>
    </w:p>
    <w:p>
      <w:pPr>
        <w:ind w:left="5084"/>
        <w:spacing w:after="0"/>
        <w:rPr>
          <w:rFonts w:ascii="Arial" w:cs="Arial" w:eastAsia="Arial" w:hAnsi="Arial"/>
          <w:sz w:val="18"/>
          <w:szCs w:val="18"/>
          <w:color w:val="auto"/>
        </w:rPr>
      </w:pPr>
      <w:r>
        <w:rPr>
          <w:rFonts w:ascii="Arial" w:cs="Arial" w:eastAsia="Arial" w:hAnsi="Arial"/>
          <w:sz w:val="18"/>
          <w:szCs w:val="18"/>
          <w:color w:val="auto"/>
        </w:rPr>
        <w:t>(Sign exactly as your name appears on the face of this 2033 Note)</w:t>
      </w:r>
    </w:p>
    <w:p>
      <w:pPr>
        <w:spacing w:after="0" w:line="117" w:lineRule="exact"/>
        <w:rPr>
          <w:rFonts w:ascii="Arial" w:cs="Arial" w:eastAsia="Arial" w:hAnsi="Arial"/>
          <w:sz w:val="18"/>
          <w:szCs w:val="18"/>
          <w:color w:val="auto"/>
        </w:rPr>
      </w:pPr>
    </w:p>
    <w:p>
      <w:pPr>
        <w:ind w:left="5084" w:hanging="1124"/>
        <w:spacing w:after="0"/>
        <w:tabs>
          <w:tab w:leader="none" w:pos="50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-344805</wp:posOffset>
            </wp:positionV>
            <wp:extent cx="29317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 __________________________________</w:t>
      </w:r>
    </w:p>
    <w:p>
      <w:pPr>
        <w:spacing w:after="0" w:line="131" w:lineRule="exact"/>
        <w:rPr>
          <w:sz w:val="20"/>
          <w:szCs w:val="20"/>
          <w:color w:val="auto"/>
        </w:rPr>
      </w:pPr>
    </w:p>
    <w:p>
      <w:pPr>
        <w:ind w:left="5364" w:right="1320" w:hanging="5364"/>
        <w:spacing w:after="0" w:line="449" w:lineRule="auto"/>
        <w:tabs>
          <w:tab w:leader="none" w:pos="4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684"/>
          </w:cols>
          <w:pgMar w:left="436" w:top="274" w:right="779" w:bottom="1440" w:gutter="0" w:footer="0" w:header="0"/>
        </w:sectPr>
      </w:pPr>
    </w:p>
    <w:bookmarkStart w:id="127" w:name="page128"/>
    <w:bookmarkEnd w:id="12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SECURITY*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initial outstanding principal amount of this Global Security is $[__________]. The following exchanges of a part of this Global Security for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an interest in another Global Security or for a Definitive Security, or exchanges of a part of another Global or Definitive Security for an interest in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Global Security, have been made:</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120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120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this Global</w:t>
            </w:r>
          </w:p>
        </w:tc>
        <w:tc>
          <w:tcPr>
            <w:tcW w:w="120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8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Amount of increase</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Security</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w:t>
            </w:r>
          </w:p>
        </w:tc>
        <w:tc>
          <w:tcPr>
            <w:tcW w:w="28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in Principal</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 officer</w:t>
            </w:r>
          </w:p>
        </w:tc>
      </w:tr>
      <w:tr>
        <w:trPr>
          <w:trHeight w:val="148"/>
        </w:trPr>
        <w:tc>
          <w:tcPr>
            <w:tcW w:w="580" w:type="dxa"/>
            <w:vAlign w:val="bottom"/>
          </w:tcPr>
          <w:p>
            <w:pPr>
              <w:spacing w:after="0" w:line="149" w:lineRule="exact"/>
              <w:rPr>
                <w:sz w:val="20"/>
                <w:szCs w:val="20"/>
                <w:color w:val="auto"/>
              </w:rPr>
            </w:pPr>
            <w:r>
              <w:rPr>
                <w:rFonts w:ascii="Arial" w:cs="Arial" w:eastAsia="Arial" w:hAnsi="Arial"/>
                <w:sz w:val="14"/>
                <w:szCs w:val="14"/>
                <w:color w:val="auto"/>
              </w:rPr>
              <w:t>Date of</w:t>
            </w:r>
          </w:p>
        </w:tc>
        <w:tc>
          <w:tcPr>
            <w:tcW w:w="260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 Principal</w:t>
            </w:r>
          </w:p>
        </w:tc>
        <w:tc>
          <w:tcPr>
            <w:tcW w:w="28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Amount of this</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decrease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74"/>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Exchange</w:t>
            </w:r>
          </w:p>
        </w:tc>
        <w:tc>
          <w:tcPr>
            <w:tcW w:w="26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Global Security</w:t>
            </w:r>
          </w:p>
        </w:tc>
        <w:tc>
          <w:tcPr>
            <w:tcW w:w="3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increase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Note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324" w:right="4980" w:hanging="5324"/>
        <w:spacing w:after="0" w:line="535" w:lineRule="auto"/>
        <w:tabs>
          <w:tab w:leader="none" w:pos="43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This schedule should be included only if the Security is issued in global form. A-10</w:t>
      </w:r>
    </w:p>
    <w:p>
      <w:pPr>
        <w:sectPr>
          <w:pgSz w:w="11900" w:h="16838" w:orient="portrait"/>
          <w:cols w:equalWidth="0" w:num="1">
            <w:col w:w="11024"/>
          </w:cols>
          <w:pgMar w:left="436"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Simpson Thacher &amp; Bartlett </w:t>
      </w:r>
      <w:r>
        <w:rPr>
          <w:rFonts w:ascii="Arial" w:cs="Arial" w:eastAsia="Arial" w:hAnsi="Arial"/>
          <w:sz w:val="14"/>
          <w:szCs w:val="14"/>
          <w:b w:val="1"/>
          <w:bCs w:val="1"/>
          <w:color w:val="auto"/>
        </w:rPr>
        <w:t>LLP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4"/>
          <w:szCs w:val="14"/>
          <w:color w:val="auto"/>
        </w:rPr>
        <w:t>LEXINGTON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7"/>
          <w:szCs w:val="17"/>
          <w:color w:val="auto"/>
        </w:rPr>
        <w:t>,</w:t>
      </w:r>
      <w:r>
        <w:rPr>
          <w:rFonts w:ascii="Arial" w:cs="Arial" w:eastAsia="Arial" w:hAnsi="Arial"/>
          <w:sz w:val="15"/>
          <w:szCs w:val="15"/>
          <w:color w:val="auto"/>
        </w:rPr>
        <w:t xml:space="preserve"> NY </w:t>
      </w:r>
      <w:r>
        <w:rPr>
          <w:rFonts w:ascii="Arial" w:cs="Arial" w:eastAsia="Arial" w:hAnsi="Arial"/>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TELEPHONE</w:t>
      </w:r>
      <w:r>
        <w:rPr>
          <w:rFonts w:ascii="Arial" w:cs="Arial" w:eastAsia="Arial" w:hAnsi="Arial"/>
          <w:sz w:val="17"/>
          <w:szCs w:val="17"/>
          <w:color w:val="auto"/>
        </w:rPr>
        <w:t>: +1-212-455-2000</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FACSIMILE</w:t>
      </w:r>
      <w:r>
        <w:rPr>
          <w:rFonts w:ascii="Arial" w:cs="Arial" w:eastAsia="Arial" w:hAnsi="Arial"/>
          <w:sz w:val="17"/>
          <w:szCs w:val="17"/>
          <w:color w:val="auto"/>
        </w:rPr>
        <w:t>: +1-212-455-2502</w:t>
      </w:r>
    </w:p>
    <w:p>
      <w:pPr>
        <w:spacing w:after="0" w:line="249"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Denali Intermediate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 South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Hopkinton, Massachusetts 01748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Dell International L.L.C., a Delaware limited liability company (“Dell International”), and EMC Corporation,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Massachusetts corporation (“EMC” and, together with Dell International, the “Issuers”), and the guarantors listed in Schedule I to this opinion letter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“Guarantors”) in connection with the Registration Statement on Form S-3 (File No. 333-269159) (the “Registration Statement”)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Issuers and the Guarantors with the Securities and Exchange Commission (the “Commission”) under the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issuance by the Issuers of $1,000,000,000 aggregate principal amount of 5.250% Senior Notes due 2028 (the “2028 Notes”)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$1,000,000,000 aggregate principal amount of 5.750% Senior Notes due 2033 (the “2033 Notes,” and together with the 2028 Notes, the “Notes”)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issuance by the Guarantors of Guarantees (as defined below) with respect to the Securities.</w:t>
      </w:r>
    </w:p>
    <w:p>
      <w:pPr>
        <w:sectPr>
          <w:pgSz w:w="11900" w:h="16838" w:orient="portrait"/>
          <w:cols w:equalWidth="0" w:num="1">
            <w:col w:w="11020"/>
          </w:cols>
          <w:pgMar w:left="440" w:top="121" w:right="4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Technologies Inc.</w:t>
            </w:r>
          </w:p>
        </w:tc>
        <w:tc>
          <w:tcPr>
            <w:tcW w:w="52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International L.L.C.</w:t>
            </w:r>
          </w:p>
        </w:tc>
        <w:tc>
          <w:tcPr>
            <w:tcW w:w="5240" w:type="dxa"/>
            <w:vAlign w:val="bottom"/>
          </w:tcPr>
          <w:p>
            <w:pPr>
              <w:spacing w:after="0"/>
              <w:rPr>
                <w:sz w:val="18"/>
                <w:szCs w:val="18"/>
                <w:color w:val="auto"/>
              </w:rPr>
            </w:pPr>
          </w:p>
        </w:tc>
      </w:tr>
      <w:tr>
        <w:trPr>
          <w:trHeight w:val="244"/>
        </w:trPr>
        <w:tc>
          <w:tcPr>
            <w:tcW w:w="5780" w:type="dxa"/>
            <w:vAlign w:val="bottom"/>
          </w:tcPr>
          <w:p>
            <w:pPr>
              <w:spacing w:after="0"/>
              <w:rPr>
                <w:sz w:val="20"/>
                <w:szCs w:val="20"/>
                <w:color w:val="auto"/>
              </w:rPr>
            </w:pPr>
            <w:r>
              <w:rPr>
                <w:rFonts w:ascii="Arial" w:cs="Arial" w:eastAsia="Arial" w:hAnsi="Arial"/>
                <w:sz w:val="18"/>
                <w:szCs w:val="18"/>
                <w:color w:val="auto"/>
              </w:rPr>
              <w:t>EMC Corporation, et al.</w:t>
            </w:r>
          </w:p>
        </w:tc>
        <w:tc>
          <w:tcPr>
            <w:tcW w:w="5240" w:type="dxa"/>
            <w:vAlign w:val="bottom"/>
          </w:tcPr>
          <w:p>
            <w:pPr>
              <w:ind w:left="4000"/>
              <w:spacing w:after="0"/>
              <w:rPr>
                <w:sz w:val="20"/>
                <w:szCs w:val="20"/>
                <w:color w:val="auto"/>
              </w:rPr>
            </w:pPr>
            <w:r>
              <w:rPr>
                <w:rFonts w:ascii="Arial" w:cs="Arial" w:eastAsia="Arial" w:hAnsi="Arial"/>
                <w:sz w:val="18"/>
                <w:szCs w:val="18"/>
                <w:color w:val="auto"/>
                <w:w w:val="87"/>
              </w:rPr>
              <w:t>January 24,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firstLine="440"/>
        <w:spacing w:after="0" w:line="288" w:lineRule="auto"/>
        <w:rPr>
          <w:sz w:val="20"/>
          <w:szCs w:val="20"/>
          <w:color w:val="auto"/>
        </w:rPr>
      </w:pPr>
      <w:r>
        <w:rPr>
          <w:rFonts w:ascii="Arial" w:cs="Arial" w:eastAsia="Arial" w:hAnsi="Arial"/>
          <w:sz w:val="16"/>
          <w:szCs w:val="16"/>
          <w:color w:val="auto"/>
        </w:rPr>
        <w:t>We have examined the Registration Statement; the Underwriting Agreement, dated January 9, 2023 (the “Underwriting Agreement”), among the Issuers, the Guarantors and the several underwriters named therein, pursuant to which such underwriters have agreed to purchase the Notes issued by the Issuers and unconditionally guaranteed by the Guarantors; the Indenture, dated as of January 24, 2023 (the “Base Indenture”), among the Issuers, the Guarantors and The Bank of New York Mellon Trust Company, N.A., as trustee (the “Trustee”), and as supplemented by the 2028 Supplemental Indenture No. 1, dated as of January 24, 2023 relating to the 2028 Notes and the 2033 Supplemental Indenture No. 1, dated as of January 24, 2023 relating to the 2033 Notes (collectively, the “Notes Supplemental Indentures” and, together with the Base Indenture, the “Indenture”); duplicates of the global notes representing the Notes; and the guarantees whose terms are set forth in the Indenture (the “Guarantees”).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Issuers and the Guarantors and have made such other investigations as we have deemed relevant and necessary in connection with the opinions hereinafter set forth.</w:t>
      </w:r>
    </w:p>
    <w:p>
      <w:pPr>
        <w:spacing w:after="0" w:line="16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Technologies Inc.</w:t>
            </w:r>
          </w:p>
        </w:tc>
        <w:tc>
          <w:tcPr>
            <w:tcW w:w="52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International L.L.C.</w:t>
            </w:r>
          </w:p>
        </w:tc>
        <w:tc>
          <w:tcPr>
            <w:tcW w:w="5240" w:type="dxa"/>
            <w:vAlign w:val="bottom"/>
          </w:tcPr>
          <w:p>
            <w:pPr>
              <w:spacing w:after="0"/>
              <w:rPr>
                <w:sz w:val="18"/>
                <w:szCs w:val="18"/>
                <w:color w:val="auto"/>
              </w:rPr>
            </w:pPr>
          </w:p>
        </w:tc>
      </w:tr>
      <w:tr>
        <w:trPr>
          <w:trHeight w:val="244"/>
        </w:trPr>
        <w:tc>
          <w:tcPr>
            <w:tcW w:w="5780" w:type="dxa"/>
            <w:vAlign w:val="bottom"/>
          </w:tcPr>
          <w:p>
            <w:pPr>
              <w:spacing w:after="0"/>
              <w:rPr>
                <w:sz w:val="20"/>
                <w:szCs w:val="20"/>
                <w:color w:val="auto"/>
              </w:rPr>
            </w:pPr>
            <w:r>
              <w:rPr>
                <w:rFonts w:ascii="Arial" w:cs="Arial" w:eastAsia="Arial" w:hAnsi="Arial"/>
                <w:sz w:val="18"/>
                <w:szCs w:val="18"/>
                <w:color w:val="auto"/>
              </w:rPr>
              <w:t>EMC Corporation, et al.</w:t>
            </w:r>
          </w:p>
        </w:tc>
        <w:tc>
          <w:tcPr>
            <w:tcW w:w="5240" w:type="dxa"/>
            <w:vAlign w:val="bottom"/>
          </w:tcPr>
          <w:p>
            <w:pPr>
              <w:ind w:left="4000"/>
              <w:spacing w:after="0"/>
              <w:rPr>
                <w:sz w:val="20"/>
                <w:szCs w:val="20"/>
                <w:color w:val="auto"/>
              </w:rPr>
            </w:pPr>
            <w:r>
              <w:rPr>
                <w:rFonts w:ascii="Arial" w:cs="Arial" w:eastAsia="Arial" w:hAnsi="Arial"/>
                <w:sz w:val="18"/>
                <w:szCs w:val="18"/>
                <w:color w:val="auto"/>
                <w:w w:val="87"/>
              </w:rPr>
              <w:t>January 24, 2023</w:t>
            </w:r>
          </w:p>
        </w:tc>
      </w:tr>
    </w:tbl>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firstLine="440"/>
        <w:spacing w:after="0" w:line="290" w:lineRule="auto"/>
        <w:rPr>
          <w:sz w:val="20"/>
          <w:szCs w:val="20"/>
          <w:color w:val="auto"/>
        </w:rPr>
      </w:pPr>
      <w:r>
        <w:rPr>
          <w:rFonts w:ascii="Arial" w:cs="Arial" w:eastAsia="Arial" w:hAnsi="Arial"/>
          <w:sz w:val="16"/>
          <w:szCs w:val="16"/>
          <w:color w:val="auto"/>
        </w:rPr>
        <w:t>In rendering the opinions set forth below, we have assumed further that (1) EMC is validly existing and in good standing under the law of the jurisdiction in which it is organized and has duly authorized, executed, issued and delivered the Underwriting Agreement, the Indenture and the Notes in accordance with its organizational documents and the law of the jurisdiction in which it is organized, (2) the execution, issuance, delivery and performance by EMC of the Underwriting Agreement, the Indenture and the Notes do not constitute a breach or violation of its organizational documents or violate the law of the jurisdiction in which it is organized or any other jurisdiction (except that no such assumption is made with respect to the law of the State of New York, the Delaware General Corporation Law and the Delaware Limited Liability Company Act and (3) the execution, issuance, delivery and performance by each of the Issuers and the Guarantors of the Underwriting Agreement, the Indenture, the Notes and its Guarantee as applicable, do not constitute a breach or default under any agreement or instrument which is binding upon any of the Issuers or Guarantors.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117" w:lineRule="exact"/>
        <w:rPr>
          <w:sz w:val="20"/>
          <w:szCs w:val="20"/>
          <w:color w:val="auto"/>
        </w:rPr>
      </w:pPr>
    </w:p>
    <w:p>
      <w:pPr>
        <w:ind w:left="440" w:right="20" w:firstLine="419"/>
        <w:spacing w:after="0" w:line="263" w:lineRule="auto"/>
        <w:tabs>
          <w:tab w:leader="none" w:pos="10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Assuming due authentication thereof by the Trustee and upon payment and delivery in accordance with the provisions of the Underwriting Agreement, the Notes will constitute valid and legally binding obligations of the Issuers enforceable against the Issuers in accordance with their terms.</w:t>
      </w:r>
    </w:p>
    <w:p>
      <w:pPr>
        <w:spacing w:after="0" w:line="75" w:lineRule="exact"/>
        <w:rPr>
          <w:rFonts w:ascii="Arial" w:cs="Arial" w:eastAsia="Arial" w:hAnsi="Arial"/>
          <w:sz w:val="18"/>
          <w:szCs w:val="18"/>
          <w:color w:val="auto"/>
        </w:rPr>
      </w:pPr>
    </w:p>
    <w:p>
      <w:pPr>
        <w:ind w:left="440" w:right="720" w:firstLine="419"/>
        <w:spacing w:after="0" w:line="263" w:lineRule="auto"/>
        <w:tabs>
          <w:tab w:leader="none" w:pos="104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Assuming due authentication of the Notes by the Trustee and upon payment for and delivery of the Notes in accordance with the Underwriting Agreement, the Guarantees will constitute valid and legally binding obligations of the Guarantors enforceable against the Guarantors in accordance with their terms.</w:t>
      </w:r>
    </w:p>
    <w:p>
      <w:pPr>
        <w:spacing w:after="0" w:line="76" w:lineRule="exact"/>
        <w:rPr>
          <w:sz w:val="20"/>
          <w:szCs w:val="20"/>
          <w:color w:val="auto"/>
        </w:rPr>
      </w:pPr>
    </w:p>
    <w:p>
      <w:pPr>
        <w:jc w:val="both"/>
        <w:ind w:right="120" w:firstLine="440"/>
        <w:spacing w:after="0" w:line="279" w:lineRule="auto"/>
        <w:rPr>
          <w:sz w:val="20"/>
          <w:szCs w:val="20"/>
          <w:color w:val="auto"/>
        </w:rPr>
      </w:pPr>
      <w:r>
        <w:rPr>
          <w:rFonts w:ascii="Arial" w:cs="Arial" w:eastAsia="Arial" w:hAnsi="Arial"/>
          <w:sz w:val="17"/>
          <w:szCs w:val="17"/>
          <w:color w:val="auto"/>
        </w:rPr>
        <w:t>Our opinions set forth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Section 13.15 of the Base Indenture relating to the severability of provisions of the Base Indenture.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Technologies Inc.</w:t>
            </w:r>
          </w:p>
        </w:tc>
        <w:tc>
          <w:tcPr>
            <w:tcW w:w="52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Dell International L.L.C.</w:t>
            </w:r>
          </w:p>
        </w:tc>
        <w:tc>
          <w:tcPr>
            <w:tcW w:w="5240" w:type="dxa"/>
            <w:vAlign w:val="bottom"/>
          </w:tcPr>
          <w:p>
            <w:pPr>
              <w:spacing w:after="0"/>
              <w:rPr>
                <w:sz w:val="18"/>
                <w:szCs w:val="18"/>
                <w:color w:val="auto"/>
              </w:rPr>
            </w:pPr>
          </w:p>
        </w:tc>
      </w:tr>
      <w:tr>
        <w:trPr>
          <w:trHeight w:val="244"/>
        </w:trPr>
        <w:tc>
          <w:tcPr>
            <w:tcW w:w="5780" w:type="dxa"/>
            <w:vAlign w:val="bottom"/>
          </w:tcPr>
          <w:p>
            <w:pPr>
              <w:spacing w:after="0"/>
              <w:rPr>
                <w:sz w:val="20"/>
                <w:szCs w:val="20"/>
                <w:color w:val="auto"/>
              </w:rPr>
            </w:pPr>
            <w:r>
              <w:rPr>
                <w:rFonts w:ascii="Arial" w:cs="Arial" w:eastAsia="Arial" w:hAnsi="Arial"/>
                <w:sz w:val="18"/>
                <w:szCs w:val="18"/>
                <w:color w:val="auto"/>
              </w:rPr>
              <w:t>EMC Corporation, et al.</w:t>
            </w:r>
          </w:p>
        </w:tc>
        <w:tc>
          <w:tcPr>
            <w:tcW w:w="5240" w:type="dxa"/>
            <w:vAlign w:val="bottom"/>
          </w:tcPr>
          <w:p>
            <w:pPr>
              <w:ind w:left="4000"/>
              <w:spacing w:after="0"/>
              <w:rPr>
                <w:sz w:val="20"/>
                <w:szCs w:val="20"/>
                <w:color w:val="auto"/>
              </w:rPr>
            </w:pPr>
            <w:r>
              <w:rPr>
                <w:rFonts w:ascii="Arial" w:cs="Arial" w:eastAsia="Arial" w:hAnsi="Arial"/>
                <w:sz w:val="18"/>
                <w:szCs w:val="18"/>
                <w:color w:val="auto"/>
                <w:w w:val="87"/>
              </w:rPr>
              <w:t>January 24,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60" w:firstLine="440"/>
        <w:spacing w:after="0" w:line="342" w:lineRule="auto"/>
        <w:rPr>
          <w:sz w:val="20"/>
          <w:szCs w:val="20"/>
          <w:color w:val="auto"/>
        </w:rPr>
      </w:pPr>
      <w:r>
        <w:rPr>
          <w:rFonts w:ascii="Arial" w:cs="Arial" w:eastAsia="Arial" w:hAnsi="Arial"/>
          <w:sz w:val="16"/>
          <w:szCs w:val="16"/>
          <w:color w:val="auto"/>
        </w:rPr>
        <w:t>In connection with Section 13.08 of the Indenture whereby the parties submit to the jurisdiction of the courts of the United States of America located in The City of New York, we note the limitations of 28 U.S.C. Sections 1331 and 1332 on subject matter jurisdiction of the U.S. federal courts.</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do not express any opinion herein concerning any law other than the law of the State of New York, the Delaware General Corporation Law and the Delaware Limited Liability Company Act. We expressly disclaim coverage of any other Delaware law, except judicial decisions interpreting the Delaware General Corporation Law and the Delaware Limited Liability Company Act, as applicable.</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Current Report on Form 8-K of Dell Technologies Inc. filed with the Commission in connection with the offer and sale of the Notes by the Issuers and to the use of our name under the caption “Validity of Securities” in the prospectus included in the Registration Statement.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SIMPSON THACHER &amp; BARTLETT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2" w:name="page133"/>
    <w:bookmarkEnd w:id="13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DELAWARE GUARANTORS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Dell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Denali Intermediate Inc.</w:t>
      </w:r>
    </w:p>
    <w:p>
      <w:pPr>
        <w:sectPr>
          <w:pgSz w:w="11900" w:h="16838" w:orient="portrait"/>
          <w:cols w:equalWidth="0" w:num="1">
            <w:col w:w="10019"/>
          </w:cols>
          <w:pgMar w:left="440" w:top="27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25700" cy="402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500"/>
        <w:spacing w:after="0" w:line="277" w:lineRule="auto"/>
        <w:rPr>
          <w:sz w:val="20"/>
          <w:szCs w:val="20"/>
          <w:color w:val="auto"/>
        </w:rPr>
      </w:pPr>
      <w:r>
        <w:rPr>
          <w:rFonts w:ascii="Arial" w:cs="Arial" w:eastAsia="Arial" w:hAnsi="Arial"/>
          <w:sz w:val="18"/>
          <w:szCs w:val="18"/>
          <w:color w:val="auto"/>
        </w:rPr>
        <w:t>10 St. James Avenue | Boston, MA 02116 | T 617.523.2700 | F 617.523.6850 Holland &amp; Knight LLP | www.hklaw.com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 South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Hopkinton, MA 01748</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Dell International L.L.C., and EMC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$1,000,000,000 5.250% Senior Notes due 2028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$1,000,000,000 5.750% Senior Notes due 2033</w:t>
      </w:r>
    </w:p>
    <w:p>
      <w:pPr>
        <w:spacing w:after="0" w:line="200" w:lineRule="exact"/>
        <w:rPr>
          <w:sz w:val="20"/>
          <w:szCs w:val="20"/>
          <w:color w:val="auto"/>
        </w:rPr>
      </w:pPr>
    </w:p>
    <w:p>
      <w:pPr>
        <w:sectPr>
          <w:pgSz w:w="11900" w:h="16838" w:orient="portrait"/>
          <w:cols w:equalWidth="0" w:num="2">
            <w:col w:w="680" w:space="280"/>
            <w:col w:w="1006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We have acted as special counsel with respect to the laws of the Commonwealth of Massachusetts to EMC Corporation,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together with Dell International L.L.C., a Delaware limited liability company, the “</w:t>
      </w:r>
      <w:r>
        <w:rPr>
          <w:rFonts w:ascii="Arial" w:cs="Arial" w:eastAsia="Arial" w:hAnsi="Arial"/>
          <w:sz w:val="18"/>
          <w:szCs w:val="18"/>
          <w:b w:val="1"/>
          <w:bCs w:val="1"/>
          <w:color w:val="auto"/>
        </w:rPr>
        <w:t>Issuers</w:t>
      </w:r>
      <w:r>
        <w:rPr>
          <w:rFonts w:ascii="Arial" w:cs="Arial" w:eastAsia="Arial" w:hAnsi="Arial"/>
          <w:sz w:val="18"/>
          <w:szCs w:val="18"/>
          <w:color w:val="auto"/>
        </w:rPr>
        <w:t>”), in connection with the Registration Statement on Form S-3 (File No. 333-269159) (the “Registration Statement”) filed by the Issuers and Dell Inc. (“</w:t>
      </w:r>
      <w:r>
        <w:rPr>
          <w:rFonts w:ascii="Arial" w:cs="Arial" w:eastAsia="Arial" w:hAnsi="Arial"/>
          <w:sz w:val="18"/>
          <w:szCs w:val="18"/>
          <w:b w:val="1"/>
          <w:bCs w:val="1"/>
          <w:color w:val="auto"/>
        </w:rPr>
        <w:t>Dell</w:t>
      </w:r>
      <w:r>
        <w:rPr>
          <w:rFonts w:ascii="Arial" w:cs="Arial" w:eastAsia="Arial" w:hAnsi="Arial"/>
          <w:sz w:val="18"/>
          <w:szCs w:val="18"/>
          <w:color w:val="auto"/>
        </w:rPr>
        <w:t>”), Dell Technologies Inc. (“</w:t>
      </w:r>
      <w:r>
        <w:rPr>
          <w:rFonts w:ascii="Arial" w:cs="Arial" w:eastAsia="Arial" w:hAnsi="Arial"/>
          <w:sz w:val="18"/>
          <w:szCs w:val="18"/>
          <w:b w:val="1"/>
          <w:bCs w:val="1"/>
          <w:color w:val="auto"/>
        </w:rPr>
        <w:t>DTI</w:t>
      </w:r>
      <w:r>
        <w:rPr>
          <w:rFonts w:ascii="Arial" w:cs="Arial" w:eastAsia="Arial" w:hAnsi="Arial"/>
          <w:sz w:val="18"/>
          <w:szCs w:val="18"/>
          <w:color w:val="auto"/>
        </w:rPr>
        <w:t>”), and Denali Intermediate Inc. (“</w:t>
      </w:r>
      <w:r>
        <w:rPr>
          <w:rFonts w:ascii="Arial" w:cs="Arial" w:eastAsia="Arial" w:hAnsi="Arial"/>
          <w:sz w:val="18"/>
          <w:szCs w:val="18"/>
          <w:b w:val="1"/>
          <w:bCs w:val="1"/>
          <w:color w:val="auto"/>
        </w:rPr>
        <w:t>DII</w:t>
      </w:r>
      <w:r>
        <w:rPr>
          <w:rFonts w:ascii="Arial" w:cs="Arial" w:eastAsia="Arial" w:hAnsi="Arial"/>
          <w:sz w:val="18"/>
          <w:szCs w:val="18"/>
          <w:color w:val="auto"/>
        </w:rPr>
        <w:t>” and collectively with Dell and DTI, the “</w:t>
      </w:r>
      <w:r>
        <w:rPr>
          <w:rFonts w:ascii="Arial" w:cs="Arial" w:eastAsia="Arial" w:hAnsi="Arial"/>
          <w:sz w:val="18"/>
          <w:szCs w:val="18"/>
          <w:b w:val="1"/>
          <w:bCs w:val="1"/>
          <w:color w:val="auto"/>
        </w:rPr>
        <w:t>Guarantors</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relating to the issuance by the Issuers of $1,000,000,000 aggregate principal amount of 5.250% Senior Notes due 2028 (the “</w:t>
      </w:r>
      <w:r>
        <w:rPr>
          <w:rFonts w:ascii="Arial" w:cs="Arial" w:eastAsia="Arial" w:hAnsi="Arial"/>
          <w:sz w:val="18"/>
          <w:szCs w:val="18"/>
          <w:b w:val="1"/>
          <w:bCs w:val="1"/>
          <w:color w:val="auto"/>
        </w:rPr>
        <w:t>2028 Notes</w:t>
      </w:r>
      <w:r>
        <w:rPr>
          <w:rFonts w:ascii="Arial" w:cs="Arial" w:eastAsia="Arial" w:hAnsi="Arial"/>
          <w:sz w:val="18"/>
          <w:szCs w:val="18"/>
          <w:color w:val="auto"/>
        </w:rPr>
        <w:t>”) and $1,000,000,000 aggregate principal amount of 5.750% Senior Notes due 2033 (the “</w:t>
      </w:r>
      <w:r>
        <w:rPr>
          <w:rFonts w:ascii="Arial" w:cs="Arial" w:eastAsia="Arial" w:hAnsi="Arial"/>
          <w:sz w:val="18"/>
          <w:szCs w:val="18"/>
          <w:b w:val="1"/>
          <w:bCs w:val="1"/>
          <w:color w:val="auto"/>
        </w:rPr>
        <w:t>2033 Notes</w:t>
      </w:r>
      <w:r>
        <w:rPr>
          <w:rFonts w:ascii="Arial" w:cs="Arial" w:eastAsia="Arial" w:hAnsi="Arial"/>
          <w:sz w:val="18"/>
          <w:szCs w:val="18"/>
          <w:color w:val="auto"/>
        </w:rPr>
        <w:t>,” and together with the 2028 Notes, the “</w:t>
      </w:r>
      <w:r>
        <w:rPr>
          <w:rFonts w:ascii="Arial" w:cs="Arial" w:eastAsia="Arial" w:hAnsi="Arial"/>
          <w:sz w:val="18"/>
          <w:szCs w:val="18"/>
          <w:b w:val="1"/>
          <w:bCs w:val="1"/>
          <w:color w:val="auto"/>
        </w:rPr>
        <w:t>Notes</w:t>
      </w:r>
      <w:r>
        <w:rPr>
          <w:rFonts w:ascii="Arial" w:cs="Arial" w:eastAsia="Arial" w:hAnsi="Arial"/>
          <w:sz w:val="18"/>
          <w:szCs w:val="18"/>
          <w:color w:val="auto"/>
        </w:rPr>
        <w:t>”) and the issuance by the Guarantors of guarantees (the “</w:t>
      </w:r>
      <w:r>
        <w:rPr>
          <w:rFonts w:ascii="Arial" w:cs="Arial" w:eastAsia="Arial" w:hAnsi="Arial"/>
          <w:sz w:val="18"/>
          <w:szCs w:val="18"/>
          <w:b w:val="1"/>
          <w:bCs w:val="1"/>
          <w:color w:val="auto"/>
        </w:rPr>
        <w:t>Guarantees</w:t>
      </w:r>
      <w:r>
        <w:rPr>
          <w:rFonts w:ascii="Arial" w:cs="Arial" w:eastAsia="Arial" w:hAnsi="Arial"/>
          <w:sz w:val="18"/>
          <w:szCs w:val="18"/>
          <w:color w:val="auto"/>
        </w:rPr>
        <w:t>”) with respect to the Notes.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ind w:left="1360" w:hanging="373"/>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1" w:lineRule="exact"/>
        <w:rPr>
          <w:rFonts w:ascii="Arial" w:cs="Arial" w:eastAsia="Arial" w:hAnsi="Arial"/>
          <w:sz w:val="18"/>
          <w:szCs w:val="18"/>
          <w:color w:val="auto"/>
        </w:rPr>
      </w:pPr>
    </w:p>
    <w:p>
      <w:pPr>
        <w:jc w:val="both"/>
        <w:ind w:right="260" w:firstLine="987"/>
        <w:spacing w:after="0" w:line="266"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Underwriting Agreement, dated January 9, 2023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Issuers, the Guarantors and the several underwriters named therein, pursuant to which such underwriters have agreed to purchase the Notes issued by the Issuers and unconditionally guaranteed by the Guarantors;</w:t>
      </w:r>
    </w:p>
    <w:p>
      <w:pPr>
        <w:spacing w:after="0" w:line="175" w:lineRule="exact"/>
        <w:rPr>
          <w:rFonts w:ascii="Arial" w:cs="Arial" w:eastAsia="Arial" w:hAnsi="Arial"/>
          <w:sz w:val="18"/>
          <w:szCs w:val="18"/>
          <w:color w:val="auto"/>
        </w:rPr>
      </w:pPr>
    </w:p>
    <w:p>
      <w:pPr>
        <w:ind w:right="60" w:firstLine="987"/>
        <w:spacing w:after="0" w:line="281" w:lineRule="auto"/>
        <w:tabs>
          <w:tab w:leader="none" w:pos="137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Indenture, dated as of January 24, 2023 (the “</w:t>
      </w:r>
      <w:r>
        <w:rPr>
          <w:rFonts w:ascii="Arial" w:cs="Arial" w:eastAsia="Arial" w:hAnsi="Arial"/>
          <w:sz w:val="17"/>
          <w:szCs w:val="17"/>
          <w:b w:val="1"/>
          <w:bCs w:val="1"/>
          <w:color w:val="auto"/>
        </w:rPr>
        <w:t>Base Indenture</w:t>
      </w:r>
      <w:r>
        <w:rPr>
          <w:rFonts w:ascii="Arial" w:cs="Arial" w:eastAsia="Arial" w:hAnsi="Arial"/>
          <w:sz w:val="17"/>
          <w:szCs w:val="17"/>
          <w:color w:val="auto"/>
        </w:rPr>
        <w:t>”), among the Issuers, the Guarantors and The Bank of New York Mellon Trust Company, N.A.,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as supplemented by the 2028 Notes Supplemental Indenture No. 1, dated as of January 24, 2023 relating to the 2028 Notes and the 2033 Notes Supplemental Indenture No. 1, dated as of January 24, 2023 relating to the 2033 Notes (collectively, the “</w:t>
      </w:r>
      <w:r>
        <w:rPr>
          <w:rFonts w:ascii="Arial" w:cs="Arial" w:eastAsia="Arial" w:hAnsi="Arial"/>
          <w:sz w:val="17"/>
          <w:szCs w:val="17"/>
          <w:b w:val="1"/>
          <w:bCs w:val="1"/>
          <w:color w:val="auto"/>
        </w:rPr>
        <w:t>Notes Supplemental Indentures</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380" w:hanging="393"/>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duplicates of the global notes representing the Notes;</w:t>
      </w:r>
    </w:p>
    <w:p>
      <w:pPr>
        <w:spacing w:after="0" w:line="225" w:lineRule="exact"/>
        <w:rPr>
          <w:rFonts w:ascii="Arial" w:cs="Arial" w:eastAsia="Arial" w:hAnsi="Arial"/>
          <w:sz w:val="18"/>
          <w:szCs w:val="18"/>
          <w:color w:val="auto"/>
        </w:rPr>
      </w:pPr>
    </w:p>
    <w:p>
      <w:pPr>
        <w:ind w:right="20" w:firstLine="987"/>
        <w:spacing w:after="0" w:line="277" w:lineRule="auto"/>
        <w:tabs>
          <w:tab w:leader="none" w:pos="13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executed copy of a certificate for the Company of Christopher Garcia, Assistant Secretary of the Company, dated January 24, 2023 (the “</w:t>
      </w:r>
      <w:r>
        <w:rPr>
          <w:rFonts w:ascii="Arial" w:cs="Arial" w:eastAsia="Arial" w:hAnsi="Arial"/>
          <w:sz w:val="18"/>
          <w:szCs w:val="18"/>
          <w:b w:val="1"/>
          <w:bCs w:val="1"/>
          <w:color w:val="auto"/>
        </w:rPr>
        <w:t>Assistant Secretary’s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987"/>
        <w:spacing w:after="0" w:line="263" w:lineRule="auto"/>
        <w:tabs>
          <w:tab w:leader="none" w:pos="13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copy of the Company’s Restated Articles of Organization, as amended through the date hereof, certified by the Secretary of the Commonwealth of the Commonwealth of Massachusetts (the “</w:t>
      </w:r>
      <w:r>
        <w:rPr>
          <w:rFonts w:ascii="Arial" w:cs="Arial" w:eastAsia="Arial" w:hAnsi="Arial"/>
          <w:sz w:val="18"/>
          <w:szCs w:val="18"/>
          <w:b w:val="1"/>
          <w:bCs w:val="1"/>
          <w:color w:val="auto"/>
        </w:rPr>
        <w:t>Secretary of the Commonwealth</w:t>
      </w:r>
      <w:r>
        <w:rPr>
          <w:rFonts w:ascii="Arial" w:cs="Arial" w:eastAsia="Arial" w:hAnsi="Arial"/>
          <w:sz w:val="18"/>
          <w:szCs w:val="18"/>
          <w:color w:val="auto"/>
        </w:rPr>
        <w:t>”) as of January 4, 2023, and certified pursuant to the Secretary’s Certificate (the “</w:t>
      </w:r>
      <w:r>
        <w:rPr>
          <w:rFonts w:ascii="Arial" w:cs="Arial" w:eastAsia="Arial" w:hAnsi="Arial"/>
          <w:sz w:val="18"/>
          <w:szCs w:val="18"/>
          <w:b w:val="1"/>
          <w:bCs w:val="1"/>
          <w:color w:val="auto"/>
        </w:rPr>
        <w:t>Certified Charter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copy of the Company’s bylaws, as amended and in effect as of the date hereof and certified pursuant to the Secretary’s Certificate;</w:t>
      </w:r>
    </w:p>
    <w:p>
      <w:pPr>
        <w:spacing w:after="0" w:line="248" w:lineRule="exact"/>
        <w:rPr>
          <w:rFonts w:ascii="Arial" w:cs="Arial" w:eastAsia="Arial" w:hAnsi="Arial"/>
          <w:sz w:val="16"/>
          <w:szCs w:val="16"/>
          <w:color w:val="auto"/>
        </w:rPr>
      </w:pPr>
    </w:p>
    <w:p>
      <w:pPr>
        <w:ind w:right="380" w:firstLine="987"/>
        <w:spacing w:after="0" w:line="277"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copies of certain resolutions of the Board of Directors of the Company, adopted on January 6, 2023 (in respect of the Notes to be issued pursuant to the Indenture), certified pursuant to the Secretary’s Certificate; and</w:t>
      </w:r>
    </w:p>
    <w:p>
      <w:pPr>
        <w:spacing w:after="0" w:line="170" w:lineRule="exact"/>
        <w:rPr>
          <w:rFonts w:ascii="Arial" w:cs="Arial" w:eastAsia="Arial" w:hAnsi="Arial"/>
          <w:sz w:val="18"/>
          <w:szCs w:val="18"/>
          <w:color w:val="auto"/>
        </w:rPr>
      </w:pPr>
    </w:p>
    <w:p>
      <w:pPr>
        <w:ind w:right="700" w:firstLine="987"/>
        <w:spacing w:after="0" w:line="308" w:lineRule="auto"/>
        <w:tabs>
          <w:tab w:leader="none" w:pos="13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copy of a certificate, dated January 24, 2023 from the Secretary of the Commonwealth with respect to the Company’s legal existence and good standing with the office of the Secretary of the Commonwealth (the “</w:t>
      </w:r>
      <w:r>
        <w:rPr>
          <w:rFonts w:ascii="Arial" w:cs="Arial" w:eastAsia="Arial" w:hAnsi="Arial"/>
          <w:sz w:val="17"/>
          <w:szCs w:val="17"/>
          <w:b w:val="1"/>
          <w:bCs w:val="1"/>
          <w:color w:val="auto"/>
        </w:rPr>
        <w:t>Massachusetts Certificate</w:t>
      </w:r>
      <w:r>
        <w:rPr>
          <w:rFonts w:ascii="Arial" w:cs="Arial" w:eastAsia="Arial" w:hAnsi="Arial"/>
          <w:sz w:val="17"/>
          <w:szCs w:val="17"/>
          <w:color w:val="auto"/>
        </w:rPr>
        <w:t>”).</w:t>
      </w:r>
    </w:p>
    <w:p>
      <w:pPr>
        <w:spacing w:after="0" w:line="146"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11020"/>
          </w:cols>
          <w:pgMar w:left="440" w:top="121" w:right="439" w:bottom="1440" w:gutter="0" w:footer="0" w:header="0"/>
          <w:type w:val="continuous"/>
        </w:sectPr>
      </w:pPr>
    </w:p>
    <w:bookmarkStart w:id="134" w:name="page135"/>
    <w:bookmarkEnd w:id="134"/>
    <w:p>
      <w:pPr>
        <w:ind w:right="1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those in the Secretary’s Certificate, and have assumed that such matters remain true and correct through the date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express any opinion with respect to the laws of any jurisdiction other than the Massachusetts Business Corporation Act (the “</w:t>
      </w:r>
      <w:r>
        <w:rPr>
          <w:rFonts w:ascii="Arial" w:cs="Arial" w:eastAsia="Arial" w:hAnsi="Arial"/>
          <w:sz w:val="16"/>
          <w:szCs w:val="16"/>
          <w:b w:val="1"/>
          <w:bCs w:val="1"/>
          <w:color w:val="auto"/>
        </w:rPr>
        <w:t>MBCA</w:t>
      </w:r>
      <w:r>
        <w:rPr>
          <w:rFonts w:ascii="Arial" w:cs="Arial" w:eastAsia="Arial" w:hAnsi="Arial"/>
          <w:sz w:val="16"/>
          <w:szCs w:val="16"/>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360" w:firstLine="436"/>
        <w:spacing w:after="0" w:line="277" w:lineRule="auto"/>
        <w:tabs>
          <w:tab w:leader="none" w:pos="7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solely on our review of (i) the Certified Charter and Secretary’s Certificate and (ii) the Massachusetts Certificate, the Company has legal existence under the MBCA and is in good standing with the office of the Secretary of the Commonwealth.</w:t>
      </w:r>
    </w:p>
    <w:p>
      <w:pPr>
        <w:spacing w:after="0" w:line="170" w:lineRule="exact"/>
        <w:rPr>
          <w:rFonts w:ascii="Arial" w:cs="Arial" w:eastAsia="Arial" w:hAnsi="Arial"/>
          <w:sz w:val="18"/>
          <w:szCs w:val="18"/>
          <w:color w:val="auto"/>
        </w:rPr>
      </w:pPr>
    </w:p>
    <w:p>
      <w:pPr>
        <w:ind w:left="740" w:hanging="304"/>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the corporate power to execute and deliver the Indenture and to execute, deliver and issue the Notes.</w:t>
      </w:r>
    </w:p>
    <w:p>
      <w:pPr>
        <w:spacing w:after="0" w:line="225" w:lineRule="exact"/>
        <w:rPr>
          <w:rFonts w:ascii="Arial" w:cs="Arial" w:eastAsia="Arial" w:hAnsi="Arial"/>
          <w:sz w:val="18"/>
          <w:szCs w:val="18"/>
          <w:color w:val="auto"/>
        </w:rPr>
      </w:pPr>
    </w:p>
    <w:p>
      <w:pPr>
        <w:ind w:right="200" w:firstLine="436"/>
        <w:spacing w:after="0" w:line="277" w:lineRule="auto"/>
        <w:tabs>
          <w:tab w:leader="none" w:pos="7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execution and delivery of the Indenture and the execution, delivery and issuance of the Notes has been duly authorized by all necessary corporate action on the part of the Company under the MBCA.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160" w:firstLine="987"/>
        <w:spacing w:after="0" w:line="311" w:lineRule="auto"/>
        <w:tabs>
          <w:tab w:leader="none" w:pos="137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by general principles of equity (regardless of whether enforcement is sought in equity or at law);</w:t>
      </w:r>
    </w:p>
    <w:p>
      <w:pPr>
        <w:spacing w:after="0" w:line="148" w:lineRule="exact"/>
        <w:rPr>
          <w:rFonts w:ascii="Arial" w:cs="Arial" w:eastAsia="Arial" w:hAnsi="Arial"/>
          <w:sz w:val="16"/>
          <w:szCs w:val="16"/>
          <w:color w:val="auto"/>
        </w:rPr>
      </w:pPr>
    </w:p>
    <w:p>
      <w:pPr>
        <w:ind w:right="100" w:firstLine="987"/>
        <w:spacing w:after="0" w:line="259" w:lineRule="auto"/>
        <w:tabs>
          <w:tab w:leader="none" w:pos="13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to the extent expressly stated in the opinions contained herein, we do not express any opinion with respect to the effect on the opinions stated herein of (i) the compliance or non-compliance of any party to any of the Underwriting Agreement, the Indenture, the Notes or the Guarantees (collectively,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 with any laws, rules or regulations applicable to such party or (ii) the legal status or legal capacity of any party to any of the Transaction Documents;</w:t>
      </w:r>
    </w:p>
    <w:p>
      <w:pPr>
        <w:spacing w:after="0" w:line="186" w:lineRule="exact"/>
        <w:rPr>
          <w:rFonts w:ascii="Arial" w:cs="Arial" w:eastAsia="Arial" w:hAnsi="Arial"/>
          <w:sz w:val="18"/>
          <w:szCs w:val="18"/>
          <w:color w:val="auto"/>
        </w:rPr>
      </w:pPr>
    </w:p>
    <w:p>
      <w:pPr>
        <w:jc w:val="both"/>
        <w:ind w:right="360" w:firstLine="987"/>
        <w:spacing w:after="0" w:line="286" w:lineRule="auto"/>
        <w:tabs>
          <w:tab w:leader="none" w:pos="137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65" w:lineRule="exact"/>
        <w:rPr>
          <w:rFonts w:ascii="Arial" w:cs="Arial" w:eastAsia="Arial" w:hAnsi="Arial"/>
          <w:sz w:val="17"/>
          <w:szCs w:val="17"/>
          <w:color w:val="auto"/>
        </w:rPr>
      </w:pPr>
    </w:p>
    <w:p>
      <w:pPr>
        <w:ind w:right="320" w:firstLine="987"/>
        <w:spacing w:after="0" w:line="263" w:lineRule="auto"/>
        <w:tabs>
          <w:tab w:leader="none" w:pos="13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securities, antifraud, consumer credit, debt collection, privacy, derivatives or commodities laws, rules or regulations, Regulations T, U or X of the Board of Governors of the Federal Reserve System or laws, rules or regulations relating to national security;</w:t>
      </w:r>
    </w:p>
    <w:p>
      <w:pPr>
        <w:spacing w:after="0" w:line="183" w:lineRule="exact"/>
        <w:rPr>
          <w:rFonts w:ascii="Arial" w:cs="Arial" w:eastAsia="Arial" w:hAnsi="Arial"/>
          <w:sz w:val="18"/>
          <w:szCs w:val="18"/>
          <w:color w:val="auto"/>
        </w:rPr>
      </w:pPr>
    </w:p>
    <w:p>
      <w:pPr>
        <w:ind w:right="540" w:firstLine="987"/>
        <w:spacing w:after="0" w:line="277" w:lineRule="auto"/>
        <w:tabs>
          <w:tab w:leader="none" w:pos="13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have assumed that each of the Transaction Documents will constitute the valid and binding obligation of each party to such Transaction Documents, enforceable against such party in accordance with its terms; and</w:t>
      </w:r>
    </w:p>
    <w:p>
      <w:pPr>
        <w:spacing w:after="0" w:line="170" w:lineRule="exact"/>
        <w:rPr>
          <w:rFonts w:ascii="Arial" w:cs="Arial" w:eastAsia="Arial" w:hAnsi="Arial"/>
          <w:sz w:val="18"/>
          <w:szCs w:val="18"/>
          <w:color w:val="auto"/>
        </w:rPr>
      </w:pPr>
    </w:p>
    <w:p>
      <w:pPr>
        <w:ind w:firstLine="987"/>
        <w:spacing w:after="0" w:line="263" w:lineRule="auto"/>
        <w:tabs>
          <w:tab w:leader="none" w:pos="13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opinions stated herein are limited to the agreements and documents specifically identified in the opinions contained herein without regard to any agreement or other document referenced in such agreement or document (including agreements or other documents incorporated by reference or attached or annexed thereto).</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We hereby consent to the filing of this opinion letter as Exhibit 5.2 to the Current Report on Form 8-K of Dell Technologies Inc. filed with the Commission in connection with the offer and sale of the Notes by the Issuers and to the use of our name under the caption “Validity of Securities” in the prospectus included in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Holland &amp; Knight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HOLLAND &amp; KNIGHT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2"/>
    </w:lvl>
    <w:lvl w:ilvl="1">
      <w:lvlJc w:val="left"/>
      <w:lvlText w:val="(%2)"/>
      <w:numFmt w:val="lowerLetter"/>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1)"/>
      <w:numFmt w:val="lowerLetter"/>
      <w:start w:val="7"/>
    </w:lvl>
  </w:abstractNum>
  <w:abstractNum w:abstractNumId="7">
    <w:nsid w:val="1F48EAA1"/>
    <w:multiLevelType w:val="hybridMultilevel"/>
    <w:lvl w:ilvl="0">
      <w:lvlJc w:val="left"/>
      <w:lvlText w:val="(%1)"/>
      <w:numFmt w:val="lowerLetter"/>
      <w:start w:val="1"/>
    </w:lvl>
  </w:abstractNum>
  <w:abstractNum w:abstractNumId="8">
    <w:nsid w:val="1381823A"/>
    <w:multiLevelType w:val="hybridMultilevel"/>
    <w:lvl w:ilvl="0">
      <w:lvlJc w:val="left"/>
      <w:lvlText w:val="(%1)"/>
      <w:numFmt w:val="lowerLetter"/>
      <w:start w:val="6"/>
    </w:lvl>
  </w:abstractNum>
  <w:abstractNum w:abstractNumId="9">
    <w:nsid w:val="5DB70AE5"/>
    <w:multiLevelType w:val="hybridMultilevel"/>
    <w:lvl w:ilvl="0">
      <w:lvlJc w:val="left"/>
      <w:lvlText w:val="(%1)"/>
      <w:numFmt w:val="lowerLetter"/>
      <w:start w:val="1"/>
    </w:lvl>
  </w:abstractNum>
  <w:abstractNum w:abstractNumId="10">
    <w:nsid w:val="100F8FCA"/>
    <w:multiLevelType w:val="hybridMultilevel"/>
    <w:lvl w:ilvl="0">
      <w:lvlJc w:val="left"/>
      <w:lvlText w:val="(%1)"/>
      <w:numFmt w:val="lowerLetter"/>
      <w:start w:val="2"/>
    </w:lvl>
    <w:lvl w:ilvl="1">
      <w:lvlJc w:val="left"/>
      <w:lvlText w:val="(%2)"/>
      <w:numFmt w:val="decimal"/>
      <w:start w:val="1"/>
    </w:lvl>
  </w:abstractNum>
  <w:abstractNum w:abstractNumId="11">
    <w:nsid w:val="6590700B"/>
    <w:multiLevelType w:val="hybridMultilevel"/>
    <w:lvl w:ilvl="0">
      <w:lvlJc w:val="left"/>
      <w:lvlText w:val="(%1)"/>
      <w:numFmt w:val="decimal"/>
      <w:start w:val="9"/>
    </w:lvl>
  </w:abstractNum>
  <w:abstractNum w:abstractNumId="12">
    <w:nsid w:val="15014ACB"/>
    <w:multiLevelType w:val="hybridMultilevel"/>
    <w:lvl w:ilvl="0">
      <w:lvlJc w:val="left"/>
      <w:lvlText w:val="(%1)"/>
      <w:numFmt w:val="decimal"/>
      <w:start w:val="19"/>
    </w:lvl>
  </w:abstractNum>
  <w:abstractNum w:abstractNumId="13">
    <w:nsid w:val="5F5E7FD0"/>
    <w:multiLevelType w:val="hybridMultilevel"/>
    <w:lvl w:ilvl="0">
      <w:lvlJc w:val="left"/>
      <w:lvlText w:val="(%1)"/>
      <w:numFmt w:val="lowerLetter"/>
      <w:start w:val="3"/>
    </w:lvl>
  </w:abstractNum>
  <w:abstractNum w:abstractNumId="14">
    <w:nsid w:val="98A3148"/>
    <w:multiLevelType w:val="hybridMultilevel"/>
    <w:lvl w:ilvl="0">
      <w:lvlJc w:val="left"/>
      <w:lvlText w:val="(%1)"/>
      <w:numFmt w:val="lowerLetter"/>
      <w:start w:val="4"/>
    </w:lvl>
  </w:abstractNum>
  <w:abstractNum w:abstractNumId="15">
    <w:nsid w:val="799D0247"/>
    <w:multiLevelType w:val="hybridMultilevel"/>
    <w:lvl w:ilvl="0">
      <w:lvlJc w:val="left"/>
      <w:lvlText w:val="(%1)"/>
      <w:numFmt w:val="lowerLetter"/>
      <w:start w:val="1"/>
    </w:lvl>
  </w:abstractNum>
  <w:abstractNum w:abstractNumId="16">
    <w:nsid w:val="6B94764"/>
    <w:multiLevelType w:val="hybridMultilevel"/>
    <w:lvl w:ilvl="0">
      <w:lvlJc w:val="left"/>
      <w:lvlText w:val="(%1)"/>
      <w:numFmt w:val="lowerLetter"/>
      <w:start w:val="4"/>
    </w:lvl>
    <w:lvl w:ilvl="1">
      <w:lvlJc w:val="left"/>
      <w:lvlText w:val="(%2)"/>
      <w:numFmt w:val="decimal"/>
      <w:start w:val="1"/>
    </w:lvl>
  </w:abstractNum>
  <w:abstractNum w:abstractNumId="17">
    <w:nsid w:val="42C296BD"/>
    <w:multiLevelType w:val="hybridMultilevel"/>
    <w:lvl w:ilvl="0">
      <w:lvlJc w:val="left"/>
      <w:lvlText w:val="%1"/>
      <w:numFmt w:val="lowerLetter"/>
      <w:start w:val="1"/>
    </w:lvl>
    <w:lvl w:ilvl="1">
      <w:lvlJc w:val="left"/>
      <w:lvlText w:val="(%2)"/>
      <w:numFmt w:val="lowerLetter"/>
      <w:start w:val="1"/>
    </w:lvl>
  </w:abstractNum>
  <w:abstractNum w:abstractNumId="18">
    <w:nsid w:val="168E121F"/>
    <w:multiLevelType w:val="hybridMultilevel"/>
    <w:lvl w:ilvl="0">
      <w:lvlJc w:val="left"/>
      <w:lvlText w:val="(%1)"/>
      <w:numFmt w:val="lowerLetter"/>
      <w:start w:val="24"/>
    </w:lvl>
    <w:lvl w:ilvl="1">
      <w:lvlJc w:val="left"/>
      <w:lvlText w:val="(%2)"/>
      <w:numFmt w:val="lowerLetter"/>
      <w:start w:val="2"/>
    </w:lvl>
  </w:abstractNum>
  <w:abstractNum w:abstractNumId="19">
    <w:nsid w:val="1EBA5D23"/>
    <w:multiLevelType w:val="hybridMultilevel"/>
    <w:lvl w:ilvl="0">
      <w:lvlJc w:val="left"/>
      <w:lvlText w:val="(%1)"/>
      <w:numFmt w:val="lowerLetter"/>
      <w:start w:val="3"/>
    </w:lvl>
  </w:abstractNum>
  <w:abstractNum w:abstractNumId="20">
    <w:nsid w:val="661E3F1E"/>
    <w:multiLevelType w:val="hybridMultilevel"/>
    <w:lvl w:ilvl="0">
      <w:lvlJc w:val="left"/>
      <w:lvlText w:val="(%1)"/>
      <w:numFmt w:val="lowerLetter"/>
      <w:start w:val="4"/>
    </w:lvl>
    <w:lvl w:ilvl="1">
      <w:lvlJc w:val="left"/>
      <w:lvlText w:val="(%2)"/>
      <w:numFmt w:val="lowerRoman"/>
      <w:start w:val="1"/>
    </w:lvl>
  </w:abstractNum>
  <w:abstractNum w:abstractNumId="21">
    <w:nsid w:val="5DC79EA8"/>
    <w:multiLevelType w:val="hybridMultilevel"/>
    <w:lvl w:ilvl="0">
      <w:lvlJc w:val="left"/>
      <w:lvlText w:val="(%1)"/>
      <w:numFmt w:val="lowerRoman"/>
      <w:start w:val="9"/>
    </w:lvl>
  </w:abstractNum>
  <w:abstractNum w:abstractNumId="22">
    <w:nsid w:val="540A471C"/>
    <w:multiLevelType w:val="hybridMultilevel"/>
    <w:lvl w:ilvl="0">
      <w:lvlJc w:val="left"/>
      <w:lvlText w:val="(%1)"/>
      <w:numFmt w:val="lowerLetter"/>
      <w:start w:val="1"/>
    </w:lvl>
  </w:abstractNum>
  <w:abstractNum w:abstractNumId="23">
    <w:nsid w:val="7BD3EE7B"/>
    <w:multiLevelType w:val="hybridMultilevel"/>
    <w:lvl w:ilvl="0">
      <w:lvlJc w:val="left"/>
      <w:lvlText w:val="(%1)"/>
      <w:numFmt w:val="lowerLetter"/>
      <w:start w:val="4"/>
    </w:lvl>
  </w:abstractNum>
  <w:abstractNum w:abstractNumId="24">
    <w:nsid w:val="51D9C564"/>
    <w:multiLevelType w:val="hybridMultilevel"/>
    <w:lvl w:ilvl="0">
      <w:lvlJc w:val="left"/>
      <w:lvlText w:val="(%1)"/>
      <w:numFmt w:val="lowerLetter"/>
      <w:start w:val="1"/>
    </w:lvl>
  </w:abstractNum>
  <w:abstractNum w:abstractNumId="25">
    <w:nsid w:val="613EFDC5"/>
    <w:multiLevelType w:val="hybridMultilevel"/>
    <w:lvl w:ilvl="0">
      <w:lvlJc w:val="left"/>
      <w:lvlText w:val="(%1)"/>
      <w:numFmt w:val="lowerLetter"/>
      <w:start w:val="1"/>
    </w:lvl>
  </w:abstractNum>
  <w:abstractNum w:abstractNumId="26">
    <w:nsid w:val="BF72B14"/>
    <w:multiLevelType w:val="hybridMultilevel"/>
    <w:lvl w:ilvl="0">
      <w:lvlJc w:val="left"/>
      <w:lvlText w:val="(%1)"/>
      <w:numFmt w:val="lowerLetter"/>
      <w:start w:val="1"/>
    </w:lvl>
  </w:abstractNum>
  <w:abstractNum w:abstractNumId="27">
    <w:nsid w:val="11447B73"/>
    <w:multiLevelType w:val="hybridMultilevel"/>
    <w:lvl w:ilvl="0">
      <w:lvlJc w:val="left"/>
      <w:lvlText w:val="%1"/>
      <w:numFmt w:val="lowerLetter"/>
      <w:start w:val="1"/>
    </w:lvl>
    <w:lvl w:ilvl="1">
      <w:lvlJc w:val="left"/>
      <w:lvlText w:val="(%2)"/>
      <w:numFmt w:val="decimal"/>
      <w:start w:val="1"/>
    </w:lvl>
  </w:abstractNum>
  <w:abstractNum w:abstractNumId="28">
    <w:nsid w:val="42963E5A"/>
    <w:multiLevelType w:val="hybridMultilevel"/>
    <w:lvl w:ilvl="0">
      <w:lvlJc w:val="left"/>
      <w:lvlText w:val="(%1)"/>
      <w:numFmt w:val="lowerLetter"/>
      <w:start w:val="2"/>
    </w:lvl>
    <w:lvl w:ilvl="1">
      <w:lvlJc w:val="left"/>
      <w:lvlText w:val="(%2)"/>
      <w:numFmt w:val="decimal"/>
      <w:start w:val="1"/>
    </w:lvl>
  </w:abstractNum>
  <w:abstractNum w:abstractNumId="29">
    <w:nsid w:val="A0382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8F2B15E"/>
    <w:multiLevelType w:val="hybridMultilevel"/>
    <w:lvl w:ilvl="0">
      <w:lvlJc w:val="left"/>
      <w:lvlText w:val="(%1)"/>
      <w:numFmt w:val="lowerRoman"/>
      <w:start w:val="2"/>
    </w:lvl>
  </w:abstractNum>
  <w:abstractNum w:abstractNumId="31">
    <w:nsid w:val="1A32234B"/>
    <w:multiLevelType w:val="hybridMultilevel"/>
    <w:lvl w:ilvl="0">
      <w:lvlJc w:val="left"/>
      <w:lvlText w:val="(%1)"/>
      <w:numFmt w:val="lowerLetter"/>
      <w:start w:val="2"/>
    </w:lvl>
    <w:lvl w:ilvl="1">
      <w:lvlJc w:val="left"/>
      <w:lvlText w:val="(%2)"/>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2"/>
    </w:lvl>
  </w:abstractNum>
  <w:abstractNum w:abstractNumId="34">
    <w:nsid w:val="4962813B"/>
    <w:multiLevelType w:val="hybridMultilevel"/>
    <w:lvl w:ilvl="0">
      <w:lvlJc w:val="left"/>
      <w:lvlText w:val="(%1)"/>
      <w:numFmt w:val="lowerRoman"/>
      <w:start w:val="1"/>
    </w:lvl>
  </w:abstractNum>
  <w:abstractNum w:abstractNumId="35">
    <w:nsid w:val="60B6DF70"/>
    <w:multiLevelType w:val="hybridMultilevel"/>
    <w:lvl w:ilvl="0">
      <w:lvlJc w:val="left"/>
      <w:lvlText w:val="(%1)"/>
      <w:numFmt w:val="lowerRoman"/>
      <w:start w:val="2"/>
    </w:lvl>
  </w:abstractNum>
  <w:abstractNum w:abstractNumId="36">
    <w:nsid w:val="6A5EE64"/>
    <w:multiLevelType w:val="hybridMultilevel"/>
    <w:lvl w:ilvl="0">
      <w:lvlJc w:val="left"/>
      <w:lvlText w:val="(%1)"/>
      <w:numFmt w:val="lowerLetter"/>
      <w:start w:val="1"/>
    </w:lvl>
    <w:lvl w:ilvl="1">
      <w:lvlJc w:val="left"/>
      <w:lvlText w:val="(%2)"/>
      <w:numFmt w:val="lowerRoman"/>
      <w:start w:val="1"/>
    </w:lvl>
  </w:abstractNum>
  <w:abstractNum w:abstractNumId="37">
    <w:nsid w:val="14330624"/>
    <w:multiLevelType w:val="hybridMultilevel"/>
    <w:lvl w:ilvl="0">
      <w:lvlJc w:val="left"/>
      <w:lvlText w:val="(%1)"/>
      <w:numFmt w:val="lowerLetter"/>
      <w:start w:val="3"/>
    </w:lvl>
    <w:lvl w:ilvl="1">
      <w:lvlJc w:val="left"/>
      <w:lvlText w:val="(%2)"/>
      <w:numFmt w:val="lowerRoman"/>
      <w:start w:val="1"/>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1)"/>
      <w:numFmt w:val="lowerLetter"/>
      <w:start w:val="4"/>
    </w:lvl>
  </w:abstractNum>
  <w:abstractNum w:abstractNumId="40">
    <w:nsid w:val="71EA1109"/>
    <w:multiLevelType w:val="hybridMultilevel"/>
    <w:lvl w:ilvl="0">
      <w:lvlJc w:val="left"/>
      <w:lvlText w:val="(%1)"/>
      <w:numFmt w:val="lowerLetter"/>
      <w:start w:val="1"/>
    </w:lvl>
  </w:abstractNum>
  <w:abstractNum w:abstractNumId="41">
    <w:nsid w:val="100F59DC"/>
    <w:multiLevelType w:val="hybridMultilevel"/>
    <w:lvl w:ilvl="0">
      <w:lvlJc w:val="left"/>
      <w:lvlText w:val="(%1)"/>
      <w:numFmt w:val="lowerLetter"/>
      <w:start w:val="1"/>
    </w:lvl>
  </w:abstractNum>
  <w:abstractNum w:abstractNumId="42">
    <w:nsid w:val="7FB7E0AA"/>
    <w:multiLevelType w:val="hybridMultilevel"/>
    <w:lvl w:ilvl="0">
      <w:lvlJc w:val="left"/>
      <w:lvlText w:val="(%1)"/>
      <w:numFmt w:val="decimal"/>
      <w:start w:val="1"/>
    </w:lvl>
    <w:lvl w:ilvl="1">
      <w:lvlJc w:val="left"/>
      <w:lvlText w:val="(%2)"/>
      <w:numFmt w:val="lowerLetter"/>
      <w:start w:val="1"/>
    </w:lvl>
  </w:abstractNum>
  <w:abstractNum w:abstractNumId="43">
    <w:nsid w:val="6EB5BD4"/>
    <w:multiLevelType w:val="hybridMultilevel"/>
    <w:lvl w:ilvl="0">
      <w:lvlJc w:val="left"/>
      <w:lvlText w:val="(%1)"/>
      <w:numFmt w:val="decimal"/>
      <w:start w:val="3"/>
    </w:lvl>
  </w:abstractNum>
  <w:abstractNum w:abstractNumId="44">
    <w:nsid w:val="6F6DD9AC"/>
    <w:multiLevelType w:val="hybridMultilevel"/>
    <w:lvl w:ilvl="0">
      <w:lvlJc w:val="left"/>
      <w:lvlText w:val="(%1)"/>
      <w:numFmt w:val="decimal"/>
      <w:start w:val="5"/>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6"/>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6"/>
    </w:lvl>
  </w:abstractNum>
  <w:abstractNum w:abstractNumId="49">
    <w:nsid w:val="1716703B"/>
    <w:multiLevelType w:val="hybridMultilevel"/>
    <w:lvl w:ilvl="0">
      <w:lvlJc w:val="left"/>
      <w:lvlText w:val="(%1)"/>
      <w:numFmt w:val="lowerLetter"/>
      <w:start w:val="1"/>
    </w:lvl>
  </w:abstractNum>
  <w:abstractNum w:abstractNumId="50">
    <w:nsid w:val="14E17E33"/>
    <w:multiLevelType w:val="hybridMultilevel"/>
    <w:lvl w:ilvl="0">
      <w:lvlJc w:val="left"/>
      <w:lvlText w:val="(%1)"/>
      <w:numFmt w:val="decimal"/>
      <w:start w:val="1"/>
    </w:lvl>
    <w:lvl w:ilvl="1">
      <w:lvlJc w:val="left"/>
      <w:lvlText w:val="(%2)"/>
      <w:numFmt w:val="upperLetter"/>
      <w:start w:val="2"/>
    </w:lvl>
  </w:abstractNum>
  <w:abstractNum w:abstractNumId="51">
    <w:nsid w:val="3222E7CD"/>
    <w:multiLevelType w:val="hybridMultilevel"/>
    <w:lvl w:ilvl="0">
      <w:lvlJc w:val="left"/>
      <w:lvlText w:val="(%1)"/>
      <w:numFmt w:val="lowerRoman"/>
      <w:start w:val="1"/>
    </w:lvl>
  </w:abstractNum>
  <w:abstractNum w:abstractNumId="52">
    <w:nsid w:val="74DE0EE3"/>
    <w:multiLevelType w:val="hybridMultilevel"/>
    <w:lvl w:ilvl="0">
      <w:lvlJc w:val="left"/>
      <w:lvlText w:val="(%1)"/>
      <w:numFmt w:val="decimal"/>
      <w:start w:val="3"/>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1)"/>
      <w:numFmt w:val="decimal"/>
      <w:start w:val="6"/>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5"/>
    </w:lvl>
  </w:abstractNum>
  <w:abstractNum w:abstractNumId="59">
    <w:nsid w:val="CC1016F"/>
    <w:multiLevelType w:val="hybridMultilevel"/>
    <w:lvl w:ilvl="0">
      <w:lvlJc w:val="left"/>
      <w:lvlText w:val="(%1)"/>
      <w:numFmt w:val="lowerLetter"/>
      <w:start w:val="1"/>
    </w:lvl>
    <w:lvl w:ilvl="1">
      <w:lvlJc w:val="left"/>
      <w:lvlText w:val="(%2)"/>
      <w:numFmt w:val="lowerRoman"/>
      <w:start w:val="1"/>
    </w:lvl>
  </w:abstractNum>
  <w:abstractNum w:abstractNumId="60">
    <w:nsid w:val="43F18422"/>
    <w:multiLevelType w:val="hybridMultilevel"/>
    <w:lvl w:ilvl="0">
      <w:lvlJc w:val="left"/>
      <w:lvlText w:val="(%1)"/>
      <w:numFmt w:val="lowerLetter"/>
      <w:start w:val="2"/>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5"/>
    </w:lvl>
    <w:lvl w:ilvl="1">
      <w:lvlJc w:val="left"/>
      <w:lvlText w:val="(%2)"/>
      <w:numFmt w:val="decimal"/>
      <w:start w:val="1"/>
    </w:lvl>
  </w:abstractNum>
  <w:abstractNum w:abstractNumId="63">
    <w:nsid w:val="7F01579B"/>
    <w:multiLevelType w:val="hybridMultilevel"/>
    <w:lvl w:ilvl="0">
      <w:lvlJc w:val="left"/>
      <w:lvlText w:val="(%1)"/>
      <w:numFmt w:val="lowerLetter"/>
      <w:start w:val="35"/>
    </w:lvl>
    <w:lvl w:ilvl="1">
      <w:lvlJc w:val="left"/>
      <w:lvlText w:val="(%2)"/>
      <w:numFmt w:val="lowerLetter"/>
      <w:start w:val="6"/>
    </w:lvl>
  </w:abstractNum>
  <w:abstractNum w:abstractNumId="64">
    <w:nsid w:val="49DA307D"/>
    <w:multiLevelType w:val="hybridMultilevel"/>
    <w:lvl w:ilvl="0">
      <w:lvlJc w:val="left"/>
      <w:lvlText w:val="(%1)"/>
      <w:numFmt w:val="lowerLetter"/>
      <w:start w:val="13"/>
    </w:lvl>
  </w:abstractNum>
  <w:abstractNum w:abstractNumId="65">
    <w:nsid w:val="7055A5F5"/>
    <w:multiLevelType w:val="hybridMultilevel"/>
    <w:lvl w:ilvl="0">
      <w:lvlJc w:val="left"/>
      <w:lvlText w:val="%1"/>
      <w:numFmt w:val="decimal"/>
      <w:start w:val="1"/>
    </w:lvl>
    <w:lvl w:ilvl="1">
      <w:lvlJc w:val="left"/>
      <w:lvlText w:val="(%2)"/>
      <w:numFmt w:val="lowerLetter"/>
      <w:start w:val="22"/>
    </w:lvl>
    <w:lvl w:ilvl="2">
      <w:lvlJc w:val="left"/>
      <w:lvlText w:val="%3"/>
      <w:numFmt w:val="decimal"/>
      <w:start w:val="1"/>
    </w:lvl>
  </w:abstractNum>
  <w:abstractNum w:abstractNumId="66">
    <w:nsid w:val="5FB8370B"/>
    <w:multiLevelType w:val="hybridMultilevel"/>
    <w:lvl w:ilvl="0">
      <w:lvlJc w:val="left"/>
      <w:lvlText w:val="(%1)"/>
      <w:numFmt w:val="decimal"/>
      <w:start w:val="2"/>
    </w:lvl>
    <w:lvl w:ilvl="1">
      <w:lvlJc w:val="left"/>
      <w:lvlText w:val="(%2)"/>
      <w:numFmt w:val="lowerLetter"/>
      <w:start w:val="27"/>
    </w:lvl>
    <w:lvl w:ilvl="2">
      <w:lvlJc w:val="left"/>
      <w:lvlText w:val="(%3)"/>
      <w:numFmt w:val="decimal"/>
      <w:start w:val="1"/>
    </w:lvl>
  </w:abstractNum>
  <w:abstractNum w:abstractNumId="67">
    <w:nsid w:val="50801EE1"/>
    <w:multiLevelType w:val="hybridMultilevel"/>
    <w:lvl w:ilvl="0">
      <w:lvlJc w:val="left"/>
      <w:lvlText w:val="%1"/>
      <w:numFmt w:val="decimal"/>
      <w:start w:val="1"/>
    </w:lvl>
    <w:lvl w:ilvl="1">
      <w:lvlJc w:val="left"/>
      <w:lvlText w:val="(%2)"/>
      <w:numFmt w:val="decimal"/>
      <w:start w:val="5"/>
    </w:lvl>
  </w:abstractNum>
  <w:abstractNum w:abstractNumId="68">
    <w:nsid w:val="488AC1A"/>
    <w:multiLevelType w:val="hybridMultilevel"/>
    <w:lvl w:ilvl="0">
      <w:lvlJc w:val="left"/>
      <w:lvlText w:val="(%1)"/>
      <w:numFmt w:val="decimal"/>
      <w:start w:val="12"/>
    </w:lvl>
    <w:lvl w:ilvl="1">
      <w:lvlJc w:val="left"/>
      <w:lvlText w:val="(%2)"/>
      <w:numFmt w:val="decimal"/>
      <w:start w:val="13"/>
    </w:lvl>
  </w:abstractNum>
  <w:abstractNum w:abstractNumId="69">
    <w:nsid w:val="5FB8011C"/>
    <w:multiLevelType w:val="hybridMultilevel"/>
    <w:lvl w:ilvl="0">
      <w:lvlJc w:val="left"/>
      <w:lvlText w:val="%1"/>
      <w:numFmt w:val="decimal"/>
      <w:start w:val="1"/>
    </w:lvl>
    <w:lvl w:ilvl="1">
      <w:lvlJc w:val="left"/>
      <w:lvlText w:val="(%2)"/>
      <w:numFmt w:val="lowerLetter"/>
      <w:start w:val="28"/>
    </w:lvl>
  </w:abstractNum>
  <w:abstractNum w:abstractNumId="70">
    <w:nsid w:val="6AA78F7F"/>
    <w:multiLevelType w:val="hybridMultilevel"/>
    <w:lvl w:ilvl="0">
      <w:lvlJc w:val="left"/>
      <w:lvlText w:val="(%1)"/>
      <w:numFmt w:val="decimal"/>
      <w:start w:val="1"/>
    </w:lvl>
    <w:lvl w:ilvl="1">
      <w:lvlJc w:val="left"/>
      <w:lvlText w:val="(%2)"/>
      <w:numFmt w:val="lowerLetter"/>
      <w:start w:val="29"/>
    </w:lvl>
  </w:abstractNum>
  <w:abstractNum w:abstractNumId="71">
    <w:nsid w:val="7672BD23"/>
    <w:multiLevelType w:val="hybridMultilevel"/>
    <w:lvl w:ilvl="0">
      <w:lvlJc w:val="left"/>
      <w:lvlText w:val="%1"/>
      <w:numFmt w:val="lowerLetter"/>
      <w:start w:val="1"/>
    </w:lvl>
    <w:lvl w:ilvl="1">
      <w:lvlJc w:val="left"/>
      <w:lvlText w:val="(%2)"/>
      <w:numFmt w:val="lowerLetter"/>
      <w:start w:val="33"/>
    </w:lvl>
    <w:lvl w:ilvl="2">
      <w:lvlJc w:val="left"/>
      <w:lvlText w:val="%3"/>
      <w:numFmt w:val="decimal"/>
      <w:start w:val="1"/>
    </w:lvl>
  </w:abstractNum>
  <w:abstractNum w:abstractNumId="72">
    <w:nsid w:val="6FC75AF8"/>
    <w:multiLevelType w:val="hybridMultilevel"/>
    <w:lvl w:ilvl="0">
      <w:lvlJc w:val="left"/>
      <w:lvlText w:val="(%1)"/>
      <w:numFmt w:val="lowerLetter"/>
      <w:start w:val="3"/>
    </w:lvl>
    <w:lvl w:ilvl="1">
      <w:lvlJc w:val="left"/>
      <w:lvlText w:val="(%2)"/>
      <w:numFmt w:val="lowerLetter"/>
      <w:start w:val="35"/>
    </w:lvl>
    <w:lvl w:ilvl="2">
      <w:lvlJc w:val="left"/>
      <w:lvlText w:val="(%3)"/>
      <w:numFmt w:val="decimal"/>
      <w:start w:val="1"/>
    </w:lvl>
  </w:abstractNum>
  <w:abstractNum w:abstractNumId="73">
    <w:nsid w:val="6A5F7029"/>
    <w:multiLevelType w:val="hybridMultilevel"/>
    <w:lvl w:ilvl="0">
      <w:lvlJc w:val="left"/>
      <w:lvlText w:val="%1"/>
      <w:numFmt w:val="lowerLetter"/>
      <w:start w:val="1"/>
    </w:lvl>
    <w:lvl w:ilvl="1">
      <w:lvlJc w:val="left"/>
      <w:lvlText w:val="(%2)"/>
      <w:numFmt w:val="decimal"/>
      <w:start w:val="2"/>
    </w:lvl>
  </w:abstractNum>
  <w:abstractNum w:abstractNumId="74">
    <w:nsid w:val="7D5E18F8"/>
    <w:multiLevelType w:val="hybridMultilevel"/>
    <w:lvl w:ilvl="0">
      <w:lvlJc w:val="left"/>
      <w:lvlText w:val="(%1)"/>
      <w:numFmt w:val="lowerLetter"/>
      <w:start w:val="39"/>
    </w:lvl>
    <w:lvl w:ilvl="1">
      <w:lvlJc w:val="left"/>
      <w:lvlText w:val="%2"/>
      <w:numFmt w:val="decimal"/>
      <w:start w:val="1"/>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lowerLetter"/>
      <w:start w:val="1"/>
    </w:lvl>
    <w:lvl w:ilvl="1">
      <w:lvlJc w:val="left"/>
      <w:lvlText w:val="(%2)"/>
      <w:numFmt w:val="decimal"/>
      <w:start w:val="1"/>
    </w:lvl>
  </w:abstractNum>
  <w:abstractNum w:abstractNumId="78">
    <w:nsid w:val="555C55B5"/>
    <w:multiLevelType w:val="hybridMultilevel"/>
    <w:lvl w:ilvl="0">
      <w:lvlJc w:val="left"/>
      <w:lvlText w:val="(%1)"/>
      <w:numFmt w:val="decimal"/>
      <w:start w:val="3"/>
    </w:lvl>
  </w:abstractNum>
  <w:abstractNum w:abstractNumId="79">
    <w:nsid w:val="3FA62ACA"/>
    <w:multiLevelType w:val="hybridMultilevel"/>
    <w:lvl w:ilvl="0">
      <w:lvlJc w:val="left"/>
      <w:lvlText w:val="(%1)"/>
      <w:numFmt w:val="lowerLetter"/>
      <w:start w:val="2"/>
    </w:lvl>
  </w:abstractNum>
  <w:abstractNum w:abstractNumId="80">
    <w:nsid w:val="14FCE74E"/>
    <w:multiLevelType w:val="hybridMultilevel"/>
    <w:lvl w:ilvl="0">
      <w:lvlJc w:val="left"/>
      <w:lvlText w:val="%1"/>
      <w:numFmt w:val="lowerLetter"/>
      <w:start w:val="1"/>
    </w:lvl>
    <w:lvl w:ilvl="1">
      <w:lvlJc w:val="left"/>
      <w:lvlText w:val="(%2)"/>
      <w:numFmt w:val="decimal"/>
      <w:start w:val="1"/>
    </w:lvl>
  </w:abstractNum>
  <w:abstractNum w:abstractNumId="81">
    <w:nsid w:val="6A3DD3E8"/>
    <w:multiLevelType w:val="hybridMultilevel"/>
    <w:lvl w:ilvl="0">
      <w:lvlJc w:val="left"/>
      <w:lvlText w:val="(%1)"/>
      <w:numFmt w:val="lowerLetter"/>
      <w:start w:val="3"/>
    </w:lvl>
    <w:lvl w:ilvl="1">
      <w:lvlJc w:val="left"/>
      <w:lvlText w:val="%2"/>
      <w:numFmt w:val="decimal"/>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1."/>
      <w:numFmt w:val="decimal"/>
      <w:start w:val="5"/>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5"/>
    </w:lvl>
  </w:abstractNum>
  <w:abstractNum w:abstractNumId="90">
    <w:nsid w:val="2A155DBC"/>
    <w:multiLevelType w:val="hybridMultilevel"/>
    <w:lvl w:ilvl="0">
      <w:lvlJc w:val="left"/>
      <w:lvlText w:val="(%1)"/>
      <w:numFmt w:val="lowerLetter"/>
      <w:start w:val="1"/>
    </w:lvl>
    <w:lvl w:ilvl="1">
      <w:lvlJc w:val="left"/>
      <w:lvlText w:val="(%2)"/>
      <w:numFmt w:val="lowerRoman"/>
      <w:start w:val="1"/>
    </w:lvl>
  </w:abstractNum>
  <w:abstractNum w:abstractNumId="91">
    <w:nsid w:val="1D9F6E5F"/>
    <w:multiLevelType w:val="hybridMultilevel"/>
    <w:lvl w:ilvl="0">
      <w:lvlJc w:val="left"/>
      <w:lvlText w:val="(%1)"/>
      <w:numFmt w:val="lowerLetter"/>
      <w:start w:val="2"/>
    </w:lvl>
  </w:abstractNum>
  <w:abstractNum w:abstractNumId="92">
    <w:nsid w:val="97E1B4E"/>
    <w:multiLevelType w:val="hybridMultilevel"/>
    <w:lvl w:ilvl="0">
      <w:lvlJc w:val="left"/>
      <w:lvlText w:val="(%1)"/>
      <w:numFmt w:val="lowerLetter"/>
      <w:start w:val="1"/>
    </w:lvl>
  </w:abstractNum>
  <w:abstractNum w:abstractNumId="93">
    <w:nsid w:val="51088277"/>
    <w:multiLevelType w:val="hybridMultilevel"/>
    <w:lvl w:ilvl="0">
      <w:lvlJc w:val="left"/>
      <w:lvlText w:val="(%1)"/>
      <w:numFmt w:val="lowerLetter"/>
      <w:start w:val="5"/>
    </w:lvl>
    <w:lvl w:ilvl="1">
      <w:lvlJc w:val="left"/>
      <w:lvlText w:val="(%2)"/>
      <w:numFmt w:val="decimal"/>
      <w:start w:val="1"/>
    </w:lvl>
  </w:abstractNum>
  <w:abstractNum w:abstractNumId="94">
    <w:nsid w:val="1CA0C5FA"/>
    <w:multiLevelType w:val="hybridMultilevel"/>
    <w:lvl w:ilvl="0">
      <w:lvlJc w:val="left"/>
      <w:lvlText w:val="(%1)"/>
      <w:numFmt w:val="lowerLetter"/>
      <w:start w:val="35"/>
    </w:lvl>
    <w:lvl w:ilvl="1">
      <w:lvlJc w:val="left"/>
      <w:lvlText w:val="(%2)"/>
      <w:numFmt w:val="lowerLetter"/>
      <w:start w:val="6"/>
    </w:lvl>
  </w:abstractNum>
  <w:abstractNum w:abstractNumId="95">
    <w:nsid w:val="53584BCB"/>
    <w:multiLevelType w:val="hybridMultilevel"/>
    <w:lvl w:ilvl="0">
      <w:lvlJc w:val="left"/>
      <w:lvlText w:val="(%1)"/>
      <w:numFmt w:val="lowerLetter"/>
      <w:start w:val="13"/>
    </w:lvl>
  </w:abstractNum>
  <w:abstractNum w:abstractNumId="96">
    <w:nsid w:val="415E286C"/>
    <w:multiLevelType w:val="hybridMultilevel"/>
    <w:lvl w:ilvl="0">
      <w:lvlJc w:val="left"/>
      <w:lvlText w:val="%1"/>
      <w:numFmt w:val="decimal"/>
      <w:start w:val="1"/>
    </w:lvl>
    <w:lvl w:ilvl="1">
      <w:lvlJc w:val="left"/>
      <w:lvlText w:val="(%2)"/>
      <w:numFmt w:val="lowerLetter"/>
      <w:start w:val="23"/>
    </w:lvl>
    <w:lvl w:ilvl="2">
      <w:lvlJc w:val="left"/>
      <w:lvlText w:val="%3"/>
      <w:numFmt w:val="decimal"/>
      <w:start w:val="1"/>
    </w:lvl>
  </w:abstractNum>
  <w:abstractNum w:abstractNumId="97">
    <w:nsid w:val="7C58FD05"/>
    <w:multiLevelType w:val="hybridMultilevel"/>
    <w:lvl w:ilvl="0">
      <w:lvlJc w:val="left"/>
      <w:lvlText w:val="(%1)"/>
      <w:numFmt w:val="decimal"/>
      <w:start w:val="2"/>
    </w:lvl>
    <w:lvl w:ilvl="1">
      <w:lvlJc w:val="left"/>
      <w:lvlText w:val="(%2)"/>
      <w:numFmt w:val="lowerLetter"/>
      <w:start w:val="27"/>
    </w:lvl>
    <w:lvl w:ilvl="2">
      <w:lvlJc w:val="left"/>
      <w:lvlText w:val="(%3)"/>
      <w:numFmt w:val="decimal"/>
      <w:start w:val="1"/>
    </w:lvl>
  </w:abstractNum>
  <w:abstractNum w:abstractNumId="98">
    <w:nsid w:val="23D86AAC"/>
    <w:multiLevelType w:val="hybridMultilevel"/>
    <w:lvl w:ilvl="0">
      <w:lvlJc w:val="left"/>
      <w:lvlText w:val="(%1)"/>
      <w:numFmt w:val="decimal"/>
      <w:start w:val="3"/>
    </w:lvl>
  </w:abstractNum>
  <w:abstractNum w:abstractNumId="99">
    <w:nsid w:val="45E6D486"/>
    <w:multiLevelType w:val="hybridMultilevel"/>
    <w:lvl w:ilvl="0">
      <w:lvlJc w:val="left"/>
      <w:lvlText w:val="%1"/>
      <w:numFmt w:val="decimal"/>
      <w:start w:val="1"/>
    </w:lvl>
    <w:lvl w:ilvl="1">
      <w:lvlJc w:val="left"/>
      <w:lvlText w:val="(%2)"/>
      <w:numFmt w:val="decimal"/>
      <w:start w:val="5"/>
    </w:lvl>
  </w:abstractNum>
  <w:abstractNum w:abstractNumId="100">
    <w:nsid w:val="5C10FE21"/>
    <w:multiLevelType w:val="hybridMultilevel"/>
    <w:lvl w:ilvl="0">
      <w:lvlJc w:val="left"/>
      <w:lvlText w:val="(%1)"/>
      <w:numFmt w:val="decimal"/>
      <w:start w:val="12"/>
    </w:lvl>
    <w:lvl w:ilvl="1">
      <w:lvlJc w:val="left"/>
      <w:lvlText w:val="(%2)"/>
      <w:numFmt w:val="decimal"/>
      <w:start w:val="13"/>
    </w:lvl>
  </w:abstractNum>
  <w:abstractNum w:abstractNumId="101">
    <w:nsid w:val="E7FFA2B"/>
    <w:multiLevelType w:val="hybridMultilevel"/>
    <w:lvl w:ilvl="0">
      <w:lvlJc w:val="left"/>
      <w:lvlText w:val="%1"/>
      <w:numFmt w:val="decimal"/>
      <w:start w:val="1"/>
    </w:lvl>
    <w:lvl w:ilvl="1">
      <w:lvlJc w:val="left"/>
      <w:lvlText w:val="(%2)"/>
      <w:numFmt w:val="lowerLetter"/>
      <w:start w:val="28"/>
    </w:lvl>
  </w:abstractNum>
  <w:abstractNum w:abstractNumId="102">
    <w:nsid w:val="3C5991AA"/>
    <w:multiLevelType w:val="hybridMultilevel"/>
    <w:lvl w:ilvl="0">
      <w:lvlJc w:val="left"/>
      <w:lvlText w:val="(%1)"/>
      <w:numFmt w:val="decimal"/>
      <w:start w:val="1"/>
    </w:lvl>
    <w:lvl w:ilvl="1">
      <w:lvlJc w:val="left"/>
      <w:lvlText w:val="(%2)"/>
      <w:numFmt w:val="lowerLetter"/>
      <w:start w:val="29"/>
    </w:lvl>
  </w:abstractNum>
  <w:abstractNum w:abstractNumId="103">
    <w:nsid w:val="4BD8591A"/>
    <w:multiLevelType w:val="hybridMultilevel"/>
    <w:lvl w:ilvl="0">
      <w:lvlJc w:val="left"/>
      <w:lvlText w:val="%1"/>
      <w:numFmt w:val="lowerLetter"/>
      <w:start w:val="1"/>
    </w:lvl>
    <w:lvl w:ilvl="1">
      <w:lvlJc w:val="left"/>
      <w:lvlText w:val="(%2)"/>
      <w:numFmt w:val="lowerLetter"/>
      <w:start w:val="33"/>
    </w:lvl>
    <w:lvl w:ilvl="2">
      <w:lvlJc w:val="left"/>
      <w:lvlText w:val="%3"/>
      <w:numFmt w:val="decimal"/>
      <w:start w:val="1"/>
    </w:lvl>
  </w:abstractNum>
  <w:abstractNum w:abstractNumId="104">
    <w:nsid w:val="78DF6A55"/>
    <w:multiLevelType w:val="hybridMultilevel"/>
    <w:lvl w:ilvl="0">
      <w:lvlJc w:val="left"/>
      <w:lvlText w:val="(%1)"/>
      <w:numFmt w:val="lowerLetter"/>
      <w:start w:val="3"/>
    </w:lvl>
    <w:lvl w:ilvl="1">
      <w:lvlJc w:val="left"/>
      <w:lvlText w:val="(%2)"/>
      <w:numFmt w:val="lowerLetter"/>
      <w:start w:val="35"/>
    </w:lvl>
    <w:lvl w:ilvl="2">
      <w:lvlJc w:val="left"/>
      <w:lvlText w:val="(%3)"/>
      <w:numFmt w:val="decimal"/>
      <w:start w:val="1"/>
    </w:lvl>
  </w:abstractNum>
  <w:abstractNum w:abstractNumId="105">
    <w:nsid w:val="39B7AAA2"/>
    <w:multiLevelType w:val="hybridMultilevel"/>
    <w:lvl w:ilvl="0">
      <w:lvlJc w:val="left"/>
      <w:lvlText w:val="%1"/>
      <w:numFmt w:val="lowerLetter"/>
      <w:start w:val="1"/>
    </w:lvl>
    <w:lvl w:ilvl="1">
      <w:lvlJc w:val="left"/>
      <w:lvlText w:val="(%2)"/>
      <w:numFmt w:val="decimal"/>
      <w:start w:val="2"/>
    </w:lvl>
  </w:abstractNum>
  <w:abstractNum w:abstractNumId="106">
    <w:nsid w:val="2B0D8DBE"/>
    <w:multiLevelType w:val="hybridMultilevel"/>
    <w:lvl w:ilvl="0">
      <w:lvlJc w:val="left"/>
      <w:lvlText w:val="(%1)"/>
      <w:numFmt w:val="lowerLetter"/>
      <w:start w:val="39"/>
    </w:lvl>
    <w:lvl w:ilvl="1">
      <w:lvlJc w:val="left"/>
      <w:lvlText w:val="%2"/>
      <w:numFmt w:val="decimal"/>
      <w:start w:val="1"/>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1"/>
    </w:lvl>
    <w:lvl w:ilvl="1">
      <w:lvlJc w:val="left"/>
      <w:lvlText w:val="(%2)"/>
      <w:numFmt w:val="decimal"/>
      <w:start w:val="1"/>
    </w:lvl>
  </w:abstractNum>
  <w:abstractNum w:abstractNumId="110">
    <w:nsid w:val="2C27173B"/>
    <w:multiLevelType w:val="hybridMultilevel"/>
    <w:lvl w:ilvl="0">
      <w:lvlJc w:val="left"/>
      <w:lvlText w:val="(%1)"/>
      <w:numFmt w:val="decimal"/>
      <w:start w:val="3"/>
    </w:lvl>
  </w:abstractNum>
  <w:abstractNum w:abstractNumId="111">
    <w:nsid w:val="4C9B0904"/>
    <w:multiLevelType w:val="hybridMultilevel"/>
    <w:lvl w:ilvl="0">
      <w:lvlJc w:val="left"/>
      <w:lvlText w:val="(%1)"/>
      <w:numFmt w:val="lowerLetter"/>
      <w:start w:val="2"/>
    </w:lvl>
  </w:abstractNum>
  <w:abstractNum w:abstractNumId="112">
    <w:nsid w:val="6AA7B75C"/>
    <w:multiLevelType w:val="hybridMultilevel"/>
    <w:lvl w:ilvl="0">
      <w:lvlJc w:val="left"/>
      <w:lvlText w:val="%1"/>
      <w:numFmt w:val="lowerLetter"/>
      <w:start w:val="1"/>
    </w:lvl>
    <w:lvl w:ilvl="1">
      <w:lvlJc w:val="left"/>
      <w:lvlText w:val="(%2)"/>
      <w:numFmt w:val="decimal"/>
      <w:start w:val="1"/>
    </w:lvl>
  </w:abstractNum>
  <w:abstractNum w:abstractNumId="113">
    <w:nsid w:val="1DF029D3"/>
    <w:multiLevelType w:val="hybridMultilevel"/>
    <w:lvl w:ilvl="0">
      <w:lvlJc w:val="left"/>
      <w:lvlText w:val="(%1)"/>
      <w:numFmt w:val="lowerLetter"/>
      <w:start w:val="3"/>
    </w:lvl>
    <w:lvl w:ilvl="1">
      <w:lvlJc w:val="left"/>
      <w:lvlText w:val="%2"/>
      <w:numFmt w:val="decimal"/>
      <w:start w:val="1"/>
    </w:lvl>
  </w:abstractNum>
  <w:abstractNum w:abstractNumId="114">
    <w:nsid w:val="5675FF36"/>
    <w:multiLevelType w:val="hybridMultilevel"/>
    <w:lvl w:ilvl="0">
      <w:lvlJc w:val="left"/>
      <w:lvlText w:val="%1."/>
      <w:numFmt w:val="decimal"/>
      <w:start w:val="1"/>
    </w:lvl>
  </w:abstractNum>
  <w:abstractNum w:abstractNumId="115">
    <w:nsid w:val="3DD15094"/>
    <w:multiLevelType w:val="hybridMultilevel"/>
    <w:lvl w:ilvl="0">
      <w:lvlJc w:val="left"/>
      <w:lvlText w:val="%1."/>
      <w:numFmt w:val="decimal"/>
      <w:start w:val="5"/>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decimal"/>
      <w:start w:val="2"/>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2023-01-24T15:42:40Z</dcterms:created>
  <dcterms:modified xsi:type="dcterms:W3CDTF">2023-01-24T15:42:40Z</dcterms:modified>
</cp:coreProperties>
</file>