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Technology Investors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8"/>
        <w:gridCol w:w="926"/>
        <w:gridCol w:w="796"/>
        <w:gridCol w:w="674"/>
        <w:gridCol w:w="281"/>
        <w:gridCol w:w="804"/>
        <w:gridCol w:w="413"/>
        <w:gridCol w:w="901"/>
        <w:gridCol w:w="1246"/>
        <w:gridCol w:w="960"/>
        <w:gridCol w:w="13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420.21</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420.99</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421.96</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422.96</w:t>
            </w:r>
            <w:r>
              <w:rPr>
                <w:rFonts w:ascii="Times;serif" w:hAnsi="Times;serif"/>
                <w:color w:val="008000"/>
                <w:position w:val="7"/>
                <w:sz w:val="16"/>
                <w:sz w:val="20"/>
                <w:shd w:fill="FFFFFF" w:val="clear"/>
              </w:rPr>
              <w:t>(13)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424.05</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425.11</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426.14</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427.19</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428.2</w:t>
            </w:r>
            <w:r>
              <w:rPr>
                <w:rFonts w:ascii="Times;serif" w:hAnsi="Times;serif"/>
                <w:color w:val="008000"/>
                <w:position w:val="7"/>
                <w:sz w:val="16"/>
                <w:sz w:val="20"/>
                <w:shd w:fill="FFFFFF" w:val="clear"/>
              </w:rPr>
              <w:t>(18)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429.16</w:t>
            </w:r>
            <w:r>
              <w:rPr>
                <w:rFonts w:ascii="Times;serif" w:hAnsi="Times;serif"/>
                <w:color w:val="008000"/>
                <w:position w:val="7"/>
                <w:sz w:val="16"/>
                <w:sz w:val="20"/>
                <w:shd w:fill="FFFFFF" w:val="clear"/>
              </w:rPr>
              <w:t>(19)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430.23</w:t>
            </w:r>
            <w:r>
              <w:rPr>
                <w:rFonts w:ascii="Times;serif" w:hAnsi="Times;serif"/>
                <w:color w:val="008000"/>
                <w:position w:val="7"/>
                <w:sz w:val="16"/>
                <w:sz w:val="20"/>
                <w:shd w:fill="FFFFFF" w:val="clear"/>
              </w:rPr>
              <w:t>(20)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431.15</w:t>
            </w:r>
            <w:r>
              <w:rPr>
                <w:rFonts w:ascii="Times;serif" w:hAnsi="Times;serif"/>
                <w:color w:val="008000"/>
                <w:position w:val="7"/>
                <w:sz w:val="16"/>
                <w:sz w:val="20"/>
                <w:shd w:fill="FFFFFF" w:val="clear"/>
              </w:rPr>
              <w:t>(21)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432.29</w:t>
            </w:r>
            <w:r>
              <w:rPr>
                <w:rFonts w:ascii="Times;serif" w:hAnsi="Times;serif"/>
                <w:color w:val="008000"/>
                <w:position w:val="7"/>
                <w:sz w:val="16"/>
                <w:sz w:val="20"/>
                <w:shd w:fill="FFFFFF" w:val="clear"/>
              </w:rPr>
              <w:t>(22)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433.2</w:t>
            </w:r>
            <w:r>
              <w:rPr>
                <w:rFonts w:ascii="Times;serif" w:hAnsi="Times;serif"/>
                <w:color w:val="008000"/>
                <w:position w:val="7"/>
                <w:sz w:val="16"/>
                <w:sz w:val="20"/>
                <w:shd w:fill="FFFFFF" w:val="clear"/>
              </w:rPr>
              <w:t>(23)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434.18</w:t>
            </w:r>
            <w:r>
              <w:rPr>
                <w:rFonts w:ascii="Times;serif" w:hAnsi="Times;serif"/>
                <w:color w:val="008000"/>
                <w:position w:val="7"/>
                <w:sz w:val="16"/>
                <w:sz w:val="20"/>
                <w:shd w:fill="FFFFFF" w:val="clear"/>
              </w:rPr>
              <w:t>(24)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435.23</w:t>
            </w:r>
            <w:r>
              <w:rPr>
                <w:rFonts w:ascii="Times;serif" w:hAnsi="Times;serif"/>
                <w:color w:val="008000"/>
                <w:position w:val="7"/>
                <w:sz w:val="16"/>
                <w:sz w:val="20"/>
                <w:shd w:fill="FFFFFF" w:val="clear"/>
              </w:rPr>
              <w:t>(25)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436.33</w:t>
            </w:r>
            <w:r>
              <w:rPr>
                <w:rFonts w:ascii="Times;serif" w:hAnsi="Times;serif"/>
                <w:color w:val="008000"/>
                <w:position w:val="7"/>
                <w:sz w:val="16"/>
                <w:sz w:val="20"/>
                <w:shd w:fill="FFFFFF" w:val="clear"/>
              </w:rPr>
              <w:t>(26)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437.13</w:t>
            </w:r>
            <w:r>
              <w:rPr>
                <w:rFonts w:ascii="Times;serif" w:hAnsi="Times;serif"/>
                <w:color w:val="008000"/>
                <w:position w:val="7"/>
                <w:sz w:val="16"/>
                <w:sz w:val="20"/>
                <w:shd w:fill="FFFFFF" w:val="clear"/>
              </w:rPr>
              <w:t>(27)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w:t>
            </w:r>
            <w:r>
              <w:rPr>
                <w:rFonts w:ascii="Times;serif" w:hAnsi="Times;serif"/>
                <w:color w:val="008000"/>
                <w:position w:val="7"/>
                <w:sz w:val="16"/>
                <w:sz w:val="20"/>
                <w:shd w:fill="FFFFFF" w:val="clear"/>
              </w:rPr>
              <w:t>(28)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18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136,583</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(29)</w:t>
            </w:r>
            <w:r>
              <w:rPr/>
              <w:t xml:space="preserve"> </w:t>
            </w:r>
          </w:p>
        </w:tc>
      </w:tr>
    </w:tbl>
    <w:tbl>
      <w:tblPr>
        <w:tblW w:w="12869"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606"/>
        <w:gridCol w:w="906"/>
        <w:gridCol w:w="801"/>
        <w:gridCol w:w="891"/>
        <w:gridCol w:w="1221"/>
        <w:gridCol w:w="801"/>
        <w:gridCol w:w="1071"/>
        <w:gridCol w:w="831"/>
        <w:gridCol w:w="1146"/>
      </w:tblGrid>
      <w:tr>
        <w:trPr>
          <w:tblHeader w:val="true"/>
        </w:trPr>
        <w:tc>
          <w:tcPr>
            <w:tcW w:w="128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254,415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43,610,396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43,610,396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(30)</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Technology Investors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8,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Technology Investors IV, L.P. The general partner of Silver Lake Technology Investors IV, L.P. is Silver Lake Technology Associates IV, L.P. and the general partner of Silver Lake Technology Associates IV, L.P. is SLTA IV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IV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$419.5400 to $420.5300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$420.5400 to $421.5100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$421.5400 to $422.5302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$422.5400 to $423.5200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$423.5679 to $424.5340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$424.5904 to $425.5890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$425.5900 to $426.5840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$426.6523 to $427.6200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$427.7000 to $428.6900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$428.7000 to $429.6900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$429.7000 to $430.6700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$430.7000 to $431.6900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$431.7167 to $432.7000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$432.7133 to $433.6700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$433.7300 to $434.7268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$434.7400 to $435.7349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$435.7604 to $436.7300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The price reported in Column 4 is a weighted average price. These shares were sold in multiple transactions at prices ranging from $436.7978 to $437.5863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The price reported in Column 4 is a weighted average price. These shares were sold in multiple transactions at prices ranging from $437.8600 to $438.2800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29. Following the transactions described in footnote (1), SL SPV-2, L.P. directly holds 60,551 shares of Class C Common Stock, Silver Lake Partners IV, L.P. directly holds 46,192 shares of Class C Common Stock, Silver Lake Partners V DE (AIV), L.P. directly holds 29,840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30. Following the transactions described in footnote (1), SL SPV-2, L.P. directly holds 16,844,290 shares of Class B Common Stock, Silver Lake Partners IV, L.P., directly holds 17,291,507 shares of Class B Common Stock, Silver Lake Partners V DE (AIV), L.P. directly holds 9,359,872 shares of Class B Common Stock, and Silver Lake Technology Investors V, L.P. directly holds 114,727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 partner of Silver Lake Technology Associates IV, L.P., gen. partner of Silver Lake Technology Investors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2565"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72565" TargetMode="External"/><Relationship Id="rId10" Type="http://schemas.openxmlformats.org/officeDocument/2006/relationships/hyperlink" Target="http://www.sec.gov/cgi-bin/browse-edgar?action=getcompany&amp;CIK=0001672566" TargetMode="External"/><Relationship Id="rId11" Type="http://schemas.openxmlformats.org/officeDocument/2006/relationships/hyperlink" Target="http://www.sec.gov/cgi-bin/browse-edgar?action=getcompany&amp;CIK=0001672568"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3275</Words>
  <Characters>16832</Characters>
  <CharactersWithSpaces>19786</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