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STATES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60" w:after="283"/>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Form 10-K </w:t>
      </w:r>
    </w:p>
    <w:p>
      <w:pPr>
        <w:pStyle w:val="TextBody"/>
        <w:bidi w:val="0"/>
        <w:spacing w:lineRule="auto" w:line="288" w:before="60" w:after="283"/>
        <w:jc w:val="left"/>
        <w:rPr>
          <w:color w:val="000000"/>
        </w:rPr>
      </w:pPr>
      <w:r>
        <w:rPr>
          <w:color w:val="000000"/>
        </w:rPr>
        <w:t> </w:t>
      </w:r>
    </w:p>
    <w:tbl>
      <w:tblPr>
        <w:tblW w:w="8494" w:type="dxa"/>
        <w:jc w:val="center"/>
        <w:tblInd w:w="0" w:type="dxa"/>
        <w:tblLayout w:type="fixed"/>
        <w:tblCellMar>
          <w:top w:w="28" w:type="dxa"/>
          <w:left w:w="28" w:type="dxa"/>
          <w:bottom w:w="28" w:type="dxa"/>
          <w:right w:w="28" w:type="dxa"/>
        </w:tblCellMar>
      </w:tblPr>
      <w:tblGrid>
        <w:gridCol w:w="353"/>
        <w:gridCol w:w="309"/>
        <w:gridCol w:w="312"/>
        <w:gridCol w:w="109"/>
        <w:gridCol w:w="109"/>
        <w:gridCol w:w="109"/>
        <w:gridCol w:w="761"/>
        <w:gridCol w:w="761"/>
        <w:gridCol w:w="761"/>
        <w:gridCol w:w="761"/>
        <w:gridCol w:w="761"/>
        <w:gridCol w:w="761"/>
        <w:gridCol w:w="761"/>
        <w:gridCol w:w="761"/>
        <w:gridCol w:w="1105"/>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w:t>
              <w:br/>
              <w:t>EXCHANGE ACT OF 1934</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For the fiscal year ended</w:t>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January 30, 2026</w:t>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w:t>
              <w:br/>
              <w:t>EXCHANGE ACT OF 1934</w:t>
            </w:r>
          </w:p>
        </w:tc>
      </w:tr>
      <w:tr>
        <w:trPr/>
        <w:tc>
          <w:tcPr>
            <w:tcW w:w="849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18"/>
          <w:shd w:fill="FFFFFF" w:val="clear"/>
        </w:rPr>
        <w:t>Commission file number:</w:t>
      </w:r>
      <w:r>
        <w:rPr>
          <w:color w:val="000000"/>
        </w:rPr>
        <w:t xml:space="preserve"> </w:t>
      </w:r>
      <w:r>
        <w:rPr>
          <w:rFonts w:ascii="Times New Roman;serif" w:hAnsi="Times New Roman;serif"/>
          <w:b/>
          <w:color w:val="000000"/>
          <w:sz w:val="18"/>
        </w:rPr>
        <w:t>001-37867</w:t>
      </w:r>
      <w:r>
        <w:rPr>
          <w:color w:val="000000"/>
          <w:shd w:fill="FFFFFF" w:val="clear"/>
        </w:rPr>
        <w:t xml:space="preserve"> </w:t>
      </w:r>
    </w:p>
    <w:p>
      <w:pPr>
        <w:pStyle w:val="TextBody"/>
        <w:bidi w:val="0"/>
        <w:spacing w:lineRule="auto" w:line="288" w:before="60" w:after="283"/>
        <w:jc w:val="left"/>
        <w:rPr>
          <w:color w:val="000000"/>
        </w:rPr>
      </w:pPr>
      <w:r>
        <w:rPr>
          <w:color w:val="000000"/>
        </w:rPr>
        <w:t> </w:t>
      </w:r>
    </w:p>
    <w:p>
      <w:pPr>
        <w:pStyle w:val="TextBody"/>
        <w:bidi w:val="0"/>
        <w:spacing w:lineRule="auto" w:line="288" w:before="0" w:after="12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 xml:space="preserve">Dell Technologies Inc. </w:t>
      </w:r>
    </w:p>
    <w:p>
      <w:pPr>
        <w:pStyle w:val="TextBody"/>
        <w:bidi w:val="0"/>
        <w:spacing w:lineRule="auto" w:line="288" w:before="60" w:after="283"/>
        <w:jc w:val="center"/>
        <w:rPr/>
      </w:pPr>
      <w:r>
        <w:rPr>
          <w:rFonts w:ascii="Times New Roman;serif" w:hAnsi="Times New Roman;serif"/>
          <w:b w:val="false"/>
          <w:color w:val="000000"/>
          <w:sz w:val="16"/>
          <w:shd w:fill="FFFFFF" w:val="clear"/>
        </w:rPr>
        <w:t>(Exact name of registrant as specified in its charter)</w:t>
      </w:r>
      <w:r>
        <w:rPr>
          <w:color w:val="000000"/>
        </w:rPr>
        <w:t> </w:t>
      </w:r>
    </w:p>
    <w:p>
      <w:pPr>
        <w:pStyle w:val="TextBody"/>
        <w:bidi w:val="0"/>
        <w:spacing w:lineRule="auto" w:line="288" w:before="60" w:after="60"/>
        <w:jc w:val="left"/>
        <w:rPr>
          <w:color w:val="000000"/>
        </w:rPr>
      </w:pPr>
      <w:r>
        <w:rPr>
          <w:color w:val="000000"/>
        </w:rPr>
        <w:t> </w:t>
      </w:r>
    </w:p>
    <w:tbl>
      <w:tblPr>
        <w:tblW w:w="7362"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80-0890963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One Dell Way, Round Rock, Texas 78682 </w:t>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8"/>
          <w:shd w:fill="FFFFFF" w:val="clear"/>
        </w:rPr>
        <w:t>1-800-289-3355</w:t>
      </w:r>
      <w:r>
        <w:rPr>
          <w:color w:val="000000"/>
        </w:rPr>
        <w:t> </w:t>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Securities registered pursuant to Section 12(b) of the Act:</w:t>
      </w:r>
    </w:p>
    <w:tbl>
      <w:tblPr>
        <w:tblW w:w="8907" w:type="dxa"/>
        <w:jc w:val="center"/>
        <w:tblInd w:w="0" w:type="dxa"/>
        <w:tblLayout w:type="fixed"/>
        <w:tblCellMar>
          <w:top w:w="28" w:type="dxa"/>
          <w:left w:w="28" w:type="dxa"/>
          <w:bottom w:w="28" w:type="dxa"/>
          <w:right w:w="28" w:type="dxa"/>
        </w:tblCellMar>
      </w:tblPr>
      <w:tblGrid>
        <w:gridCol w:w="1508"/>
        <w:gridCol w:w="1329"/>
        <w:gridCol w:w="1347"/>
        <w:gridCol w:w="484"/>
        <w:gridCol w:w="484"/>
        <w:gridCol w:w="486"/>
        <w:gridCol w:w="956"/>
        <w:gridCol w:w="956"/>
        <w:gridCol w:w="1357"/>
      </w:tblGrid>
      <w:tr>
        <w:trPr/>
        <w:tc>
          <w:tcPr>
            <w:tcW w:w="150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 Common Stock, par value of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DELL</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60"/>
        <w:jc w:val="center"/>
        <w:rPr/>
      </w:pPr>
      <w:r>
        <w:rPr>
          <w:rFonts w:ascii="Times New Roman;serif" w:hAnsi="Times New Roman;serif"/>
          <w:b w:val="false"/>
          <w:color w:val="000000"/>
          <w:sz w:val="18"/>
        </w:rPr>
        <w:t xml:space="preserve">Securities registered pursuant to Section 12(g) of the Act: </w:t>
      </w:r>
      <w:r>
        <w:rPr>
          <w:rFonts w:ascii="Times New Roman;serif" w:hAnsi="Times New Roman;serif"/>
          <w:b/>
          <w:color w:val="000000"/>
          <w:sz w:val="18"/>
        </w:rPr>
        <w:t>None</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8"/>
        </w:rPr>
        <w:t xml:space="preserve">No </w:t>
      </w:r>
      <w:r>
        <w:rPr>
          <w:color w:val="000000"/>
          <w:shd w:fill="FFFFFF" w:val="clear"/>
        </w:rPr>
        <w:t>☐</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color w:val="000000"/>
          <w:shd w:fill="FFFFFF" w:val="clear"/>
        </w:rPr>
        <w:t>☐</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left"/>
        <w:rPr/>
      </w:pPr>
      <w:r>
        <w:rPr>
          <w:rFonts w:ascii="Times New Roman;serif" w:hAnsi="Times New Roman;serif"/>
          <w:b w:val="false"/>
          <w:color w:val="000000"/>
          <w:sz w:val="18"/>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shd w:fill="FFFFFF" w:val="clear"/>
        </w:rPr>
        <w:t>No </w:t>
      </w:r>
      <w:r>
        <w:rPr>
          <w:color w:val="000000"/>
          <w:shd w:fill="FFFFFF" w:val="clear"/>
        </w:rPr>
        <w:t>☐</w:t>
      </w:r>
    </w:p>
    <w:p>
      <w:pPr>
        <w:pStyle w:val="TextBody"/>
        <w:bidi w:val="0"/>
        <w:spacing w:lineRule="auto" w:line="288" w:before="0" w:after="120"/>
        <w:jc w:val="left"/>
        <w:rPr/>
      </w:pPr>
      <w:r>
        <w:rPr>
          <w:rFonts w:ascii="Times New Roman;serif" w:hAnsi="Times New Roman;serif"/>
          <w:b w:val="false"/>
          <w:color w:val="000000"/>
          <w:sz w:val="18"/>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shd w:fill="FFFFFF" w:val="clear"/>
        </w:rPr>
        <w:t>No </w:t>
      </w:r>
      <w:r>
        <w:rPr>
          <w:color w:val="000000"/>
          <w:shd w:fill="FFFFFF" w:val="clear"/>
        </w:rPr>
        <w: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58"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8"/>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jc w:val="left"/>
        <w:rPr/>
      </w:pPr>
      <w:r>
        <w:rPr>
          <w:rFonts w:ascii="Times New Roman;serif" w:hAnsi="Times New Roman;serif"/>
          <w:b w:val="false"/>
          <w:color w:val="000000"/>
          <w:sz w:val="18"/>
          <w:shd w:fill="FFFFFF" w:val="clear"/>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r>
        <w:rPr>
          <w:color w:val="00000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26415"/>
                <wp:effectExtent l="0" t="0" r="0" b="0"/>
                <wp:wrapNone/>
                <wp:docPr id="1" name="Frame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18"/>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shd w:fill="FFFFFF" w:val="clear"/>
        </w:rPr>
        <w:t>☐</w:t>
      </w:r>
    </w:p>
    <w:p>
      <w:pPr>
        <w:pStyle w:val="TextBody"/>
        <w:bidi w:val="0"/>
        <w:spacing w:lineRule="auto" w:line="288" w:before="0" w:after="120"/>
        <w:jc w:val="left"/>
        <w:rPr/>
      </w:pPr>
      <w:r>
        <w:rPr>
          <w:rFonts w:ascii="Times New Roman;serif" w:hAnsi="Times New Roman;serif"/>
          <w:b w:val="false"/>
          <w:color w:val="000000"/>
          <w:sz w:val="18"/>
          <w:shd w:fill="FFFFFF" w:val="clear"/>
        </w:rPr>
        <w:t>Indicate by check mark whether the registrant is a shell company (as defined in Rule 12b-2 of the Act). Yes </w:t>
      </w:r>
      <w:r>
        <w:rPr>
          <w:color w:val="000000"/>
          <w:shd w:fill="FFFFFF" w:val="clear"/>
        </w:rPr>
        <w:t>☐</w:t>
      </w:r>
      <w:r>
        <w:rPr>
          <w:color w:val="000000"/>
        </w:rPr>
        <w:t xml:space="preserve"> </w:t>
      </w:r>
      <w:r>
        <w:rPr>
          <w:rFonts w:ascii="Times New Roman;serif" w:hAnsi="Times New Roman;serif"/>
          <w:b w:val="false"/>
          <w:color w:val="000000"/>
          <w:sz w:val="18"/>
          <w:shd w:fill="FFFFFF" w:val="clear"/>
        </w:rPr>
        <w:t>No </w:t>
      </w:r>
      <w:r>
        <w:rPr>
          <w:color w:val="000000"/>
        </w:rPr>
        <w: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As of August 1, 2025, the last business day of the registrant’s most recently completed second fiscal quarter, the aggregate market value of the shares of the registrant’s common stock held by non-affiliates was approximately $39.2 billion (based on the closing price of $127.32 per share of Class C Common Stock reported on the New York Stock Exchange on that date).</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As of March 9, 2026, there were 645,748,451 shares of the registrant’s common stock outstanding, consisting of 318,358,135 outstanding shares of Class C Common Stock, 276,744,341 outstanding shares of Class A Common Stock, and 50,645,975 outstanding shares of Class B Common Stock.</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DOCUMENTS INCORPORATED BY REFERENCE</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Part III of this report, to the extent not set forth herein, is incorporated by reference from the registrant’s proxy statement relating to its annual meeting of stockholders to be held in 2026. The proxy statement will be filed with the Securities and Exchange Commission within 120 days after the end of the fiscal year to which this report relates.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26415"/>
                <wp:effectExtent l="0" t="0" r="0" b="0"/>
                <wp:wrapNone/>
                <wp:docPr id="2" name="Frame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jc w:val="left"/>
        <w:rPr/>
      </w:pPr>
      <w:r>
        <w:rPr>
          <w:rFonts w:ascii="Times New Roman;serif" w:hAnsi="Times New Roman;serif"/>
          <w:b w:val="false"/>
          <w:color w:val="000000"/>
          <w:sz w:val="20"/>
        </w:rPr>
        <w:t xml:space="preserve">This report contains </w:t>
      </w:r>
      <w:r>
        <w:rPr>
          <w:color w:val="000000"/>
          <w:shd w:fill="FFFFFF" w:val="clear"/>
        </w:rPr>
        <w:t>“</w:t>
      </w:r>
      <w:r>
        <w:rPr>
          <w:rFonts w:ascii="Times New Roman;serif" w:hAnsi="Times New Roman;serif"/>
          <w:b w:val="false"/>
          <w:color w:val="000000"/>
          <w:sz w:val="20"/>
        </w:rPr>
        <w:t>forward-looking statements</w:t>
      </w:r>
      <w:r>
        <w:rPr>
          <w:color w:val="000000"/>
          <w:shd w:fill="FFFFFF" w:val="clear"/>
        </w:rPr>
        <w:t>”</w:t>
      </w:r>
      <w:r>
        <w:rPr>
          <w:color w:val="000000"/>
        </w:rPr>
        <w:t xml:space="preserve"> </w:t>
      </w:r>
      <w:r>
        <w:rPr>
          <w:rFonts w:ascii="Times New Roman;serif" w:hAnsi="Times New Roman;serif"/>
          <w:b w:val="false"/>
          <w:color w:val="000000"/>
          <w:sz w:val="20"/>
        </w:rPr>
        <w:t xml:space="preserve">within the meaning of Section 27A of the Securities Act of 1933 (the “Securities Act”) and Section 21E of the Securities Exchange Act of 1934 (the “Exchange Act”). The words </w:t>
      </w:r>
      <w:r>
        <w:rPr>
          <w:color w:val="000000"/>
          <w:shd w:fill="FFFFFF" w:val="clear"/>
        </w:rPr>
        <w:t>“</w:t>
      </w:r>
      <w:r>
        <w:rPr>
          <w:rFonts w:ascii="Times New Roman;serif" w:hAnsi="Times New Roman;serif"/>
          <w:b w:val="false"/>
          <w:color w:val="000000"/>
          <w:sz w:val="20"/>
        </w:rPr>
        <w:t>may,</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will,</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anticipate,</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estimate,</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expect,</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intend,</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plan,</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aim,</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seek,</w:t>
      </w:r>
      <w:r>
        <w:rPr>
          <w:color w:val="000000"/>
          <w:shd w:fill="FFFFFF" w:val="clear"/>
        </w:rPr>
        <w:t>”</w:t>
      </w:r>
      <w:r>
        <w:rPr>
          <w:color w:val="000000"/>
        </w:rPr>
        <w:t xml:space="preserve"> </w:t>
      </w:r>
      <w:r>
        <w:rPr>
          <w:rFonts w:ascii="Times New Roman;serif" w:hAnsi="Times New Roman;serif"/>
          <w:b w:val="false"/>
          <w:color w:val="000000"/>
          <w:sz w:val="20"/>
        </w:rPr>
        <w:t>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turn out not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26415"/>
                <wp:effectExtent l="0" t="0" r="0" b="0"/>
                <wp:wrapNone/>
                <wp:docPr id="3" name="Frame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3"/>
        <w:gridCol w:w="309"/>
        <w:gridCol w:w="314"/>
        <w:gridCol w:w="2893"/>
        <w:gridCol w:w="2875"/>
        <w:gridCol w:w="2889"/>
        <w:gridCol w:w="167"/>
        <w:gridCol w:w="167"/>
        <w:gridCol w:w="238"/>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099511629689">
              <w:r>
                <w:rPr>
                  <w:rStyle w:val="InternetLink"/>
                  <w:rFonts w:ascii="Times New Roman;serif" w:hAnsi="Times New Roman;serif"/>
                  <w:b/>
                  <w:color w:val="0000FF"/>
                  <w:sz w:val="20"/>
                  <w:u w:val="single"/>
                </w:rPr>
                <w:t>PART I</w:t>
              </w:r>
            </w:hyperlink>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35">
              <w:r>
                <w:rPr>
                  <w:rStyle w:val="InternetLink"/>
                  <w:rFonts w:ascii="Times New Roman;serif" w:hAnsi="Times New Roman;serif"/>
                  <w:b w:val="false"/>
                  <w:color w:val="0000FF"/>
                  <w:sz w:val="20"/>
                  <w:u w:val="singl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35">
              <w:r>
                <w:rPr>
                  <w:rStyle w:val="InternetLink"/>
                  <w:rFonts w:ascii="Times New Roman;serif" w:hAnsi="Times New Roman;serif"/>
                  <w:b w:val="false"/>
                  <w:color w:val="0000FF"/>
                  <w:sz w:val="20"/>
                  <w:u w:val="single"/>
                </w:rPr>
                <w:t>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35">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78">
              <w:r>
                <w:rPr>
                  <w:rStyle w:val="InternetLink"/>
                  <w:rFonts w:ascii="Times New Roman;serif" w:hAnsi="Times New Roman;serif"/>
                  <w:b w:val="false"/>
                  <w:color w:val="0000FF"/>
                  <w:sz w:val="20"/>
                  <w:u w:val="single"/>
                </w:rPr>
                <w:t>Item 1A.</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78">
              <w:r>
                <w:rPr>
                  <w:rStyle w:val="InternetLink"/>
                  <w:rFonts w:ascii="Times New Roman;serif" w:hAnsi="Times New Roman;serif"/>
                  <w:b w:val="false"/>
                  <w:color w:val="0000FF"/>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78">
              <w:r>
                <w:rPr>
                  <w:rStyle w:val="InternetLink"/>
                  <w:rFonts w:ascii="Times New Roman;serif" w:hAnsi="Times New Roman;serif"/>
                  <w:b w:val="false"/>
                  <w:color w:val="0000FF"/>
                  <w:sz w:val="20"/>
                  <w:u w:val="single"/>
                </w:rPr>
                <w:t>16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38">
              <w:r>
                <w:rPr>
                  <w:rStyle w:val="InternetLink"/>
                  <w:rFonts w:ascii="Times New Roman;serif" w:hAnsi="Times New Roman;serif"/>
                  <w:b w:val="false"/>
                  <w:color w:val="0000FF"/>
                  <w:sz w:val="20"/>
                  <w:u w:val="single"/>
                </w:rPr>
                <w:t>Item 1B.</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38">
              <w:r>
                <w:rPr>
                  <w:rStyle w:val="InternetLink"/>
                  <w:rFonts w:ascii="Times New Roman;serif" w:hAnsi="Times New Roman;serif"/>
                  <w:b w:val="false"/>
                  <w:color w:val="0000FF"/>
                  <w:sz w:val="20"/>
                  <w:u w:val="single"/>
                </w:rPr>
                <w:t>Unresolved Staff Comments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38">
              <w:r>
                <w:rPr>
                  <w:rStyle w:val="InternetLink"/>
                  <w:rFonts w:ascii="Times New Roman;serif" w:hAnsi="Times New Roman;serif"/>
                  <w:b w:val="false"/>
                  <w:color w:val="0000FF"/>
                  <w:sz w:val="20"/>
                  <w:u w:val="single"/>
                </w:rPr>
                <w:t>31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41">
              <w:r>
                <w:rPr>
                  <w:rStyle w:val="InternetLink"/>
                  <w:rFonts w:ascii="Times New Roman;serif" w:hAnsi="Times New Roman;serif"/>
                  <w:b w:val="false"/>
                  <w:color w:val="0000FF"/>
                  <w:sz w:val="20"/>
                  <w:u w:val="single"/>
                </w:rPr>
                <w:t>Item 1C.</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41">
              <w:r>
                <w:rPr>
                  <w:rStyle w:val="InternetLink"/>
                  <w:rFonts w:ascii="Times New Roman;serif" w:hAnsi="Times New Roman;serif"/>
                  <w:b w:val="false"/>
                  <w:color w:val="0000FF"/>
                  <w:sz w:val="20"/>
                  <w:u w:val="single"/>
                </w:rPr>
                <w:t>Cybersecurity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41">
              <w:r>
                <w:rPr>
                  <w:rStyle w:val="InternetLink"/>
                  <w:rFonts w:ascii="Times New Roman;serif" w:hAnsi="Times New Roman;serif"/>
                  <w:b w:val="false"/>
                  <w:color w:val="0000FF"/>
                  <w:sz w:val="20"/>
                  <w:u w:val="single"/>
                </w:rPr>
                <w:t>31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44">
              <w:r>
                <w:rPr>
                  <w:rStyle w:val="InternetLink"/>
                  <w:rFonts w:ascii="Times New Roman;serif" w:hAnsi="Times New Roman;serif"/>
                  <w:b w:val="false"/>
                  <w:color w:val="0000FF"/>
                  <w:sz w:val="20"/>
                  <w:u w:val="singl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44">
              <w:r>
                <w:rPr>
                  <w:rStyle w:val="InternetLink"/>
                  <w:rFonts w:ascii="Times New Roman;serif" w:hAnsi="Times New Roman;serif"/>
                  <w:b w:val="false"/>
                  <w:color w:val="0000FF"/>
                  <w:sz w:val="20"/>
                  <w:u w:val="single"/>
                </w:rPr>
                <w:t>Properties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44">
              <w:r>
                <w:rPr>
                  <w:rStyle w:val="InternetLink"/>
                  <w:rFonts w:ascii="Times New Roman;serif" w:hAnsi="Times New Roman;serif"/>
                  <w:b w:val="false"/>
                  <w:color w:val="0000FF"/>
                  <w:sz w:val="20"/>
                  <w:u w:val="single"/>
                </w:rPr>
                <w:t>33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72">
              <w:r>
                <w:rPr>
                  <w:rStyle w:val="InternetLink"/>
                  <w:rFonts w:ascii="Times New Roman;serif" w:hAnsi="Times New Roman;serif"/>
                  <w:b w:val="false"/>
                  <w:color w:val="0000FF"/>
                  <w:sz w:val="20"/>
                  <w:u w:val="singl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72">
              <w:r>
                <w:rPr>
                  <w:rStyle w:val="InternetLink"/>
                  <w:rFonts w:ascii="Times New Roman;serif" w:hAnsi="Times New Roman;serif"/>
                  <w:b w:val="false"/>
                  <w:color w:val="0000FF"/>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72">
              <w:r>
                <w:rPr>
                  <w:rStyle w:val="InternetLink"/>
                  <w:rFonts w:ascii="Times New Roman;serif" w:hAnsi="Times New Roman;serif"/>
                  <w:b w:val="false"/>
                  <w:color w:val="0000FF"/>
                  <w:sz w:val="20"/>
                  <w:u w:val="single"/>
                </w:rPr>
                <w:t>33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47">
              <w:r>
                <w:rPr>
                  <w:rStyle w:val="InternetLink"/>
                  <w:rFonts w:ascii="Times New Roman;serif" w:hAnsi="Times New Roman;serif"/>
                  <w:b w:val="false"/>
                  <w:color w:val="0000FF"/>
                  <w:sz w:val="20"/>
                  <w:u w:val="singl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47">
              <w:r>
                <w:rPr>
                  <w:rStyle w:val="InternetLink"/>
                  <w:rFonts w:ascii="Times New Roman;serif" w:hAnsi="Times New Roman;serif"/>
                  <w:b w:val="false"/>
                  <w:color w:val="0000FF"/>
                  <w:sz w:val="20"/>
                  <w:u w:val="single"/>
                </w:rPr>
                <w:t>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47">
              <w:r>
                <w:rPr>
                  <w:rStyle w:val="InternetLink"/>
                  <w:rFonts w:ascii="Times New Roman;serif" w:hAnsi="Times New Roman;serif"/>
                  <w:b w:val="false"/>
                  <w:color w:val="0000FF"/>
                  <w:sz w:val="20"/>
                  <w:u w:val="single"/>
                </w:rPr>
                <w:t>33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66">
              <w:r>
                <w:rPr>
                  <w:rStyle w:val="InternetLink"/>
                  <w:rFonts w:ascii="Times New Roman;serif" w:hAnsi="Times New Roman;serif"/>
                  <w:b/>
                  <w:color w:val="0000FF"/>
                  <w:sz w:val="20"/>
                  <w:u w:val="single"/>
                </w:rPr>
                <w:t>PART II</w:t>
              </w:r>
            </w:hyperlink>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ecfa9cdffdd430cb1da4c02ab2461d3_184">
              <w:r>
                <w:rPr>
                  <w:rStyle w:val="InternetLink"/>
                  <w:rFonts w:ascii="Times New Roman;serif" w:hAnsi="Times New Roman;serif"/>
                  <w:b w:val="false"/>
                  <w:color w:val="0000FF"/>
                  <w:sz w:val="20"/>
                  <w:u w:val="single"/>
                </w:rPr>
                <w:t>Item 5.</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84">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84">
              <w:r>
                <w:rPr>
                  <w:rStyle w:val="InternetLink"/>
                  <w:rFonts w:ascii="Times New Roman;serif" w:hAnsi="Times New Roman;serif"/>
                  <w:b w:val="false"/>
                  <w:color w:val="0000FF"/>
                  <w:sz w:val="20"/>
                  <w:u w:val="single"/>
                </w:rPr>
                <w:t>34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9">
              <w:r>
                <w:rPr>
                  <w:rStyle w:val="InternetLink"/>
                  <w:rFonts w:ascii="Times New Roman;serif" w:hAnsi="Times New Roman;serif"/>
                  <w:b w:val="false"/>
                  <w:color w:val="0000FF"/>
                  <w:sz w:val="20"/>
                  <w:u w:val="single"/>
                </w:rPr>
                <w:t>Item 6.</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9">
              <w:r>
                <w:rPr>
                  <w:rStyle w:val="InternetLink"/>
                  <w:rFonts w:ascii="Times New Roman;serif" w:hAnsi="Times New Roman;serif"/>
                  <w:b w:val="false"/>
                  <w:color w:val="0000FF"/>
                  <w:sz w:val="20"/>
                  <w:u w:val="single"/>
                </w:rPr>
                <w:t>[Reserved]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29">
              <w:r>
                <w:rPr>
                  <w:rStyle w:val="InternetLink"/>
                  <w:rFonts w:ascii="Times New Roman;serif" w:hAnsi="Times New Roman;serif"/>
                  <w:b w:val="false"/>
                  <w:color w:val="0000FF"/>
                  <w:sz w:val="20"/>
                  <w:u w:val="singl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30">
              <w:r>
                <w:rPr>
                  <w:rStyle w:val="InternetLink"/>
                  <w:rFonts w:ascii="Times New Roman;serif" w:hAnsi="Times New Roman;serif"/>
                  <w:b w:val="false"/>
                  <w:color w:val="0000FF"/>
                  <w:sz w:val="20"/>
                  <w:u w:val="single"/>
                </w:rPr>
                <w:t>Item 7.</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3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30">
              <w:r>
                <w:rPr>
                  <w:rStyle w:val="InternetLink"/>
                  <w:rFonts w:ascii="Times New Roman;serif" w:hAnsi="Times New Roman;serif"/>
                  <w:b w:val="false"/>
                  <w:color w:val="0000FF"/>
                  <w:sz w:val="20"/>
                  <w:u w:val="singl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086">
              <w:r>
                <w:rPr>
                  <w:rStyle w:val="InternetLink"/>
                  <w:rFonts w:ascii="Times New Roman;serif" w:hAnsi="Times New Roman;serif"/>
                  <w:b w:val="false"/>
                  <w:color w:val="0000FF"/>
                  <w:sz w:val="20"/>
                  <w:u w:val="single"/>
                </w:rPr>
                <w:t>Item 7A.</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086">
              <w:r>
                <w:rPr>
                  <w:rStyle w:val="InternetLink"/>
                  <w:rFonts w:ascii="Times New Roman;serif" w:hAnsi="Times New Roman;serif"/>
                  <w:b w:val="false"/>
                  <w:color w:val="0000FF"/>
                  <w:sz w:val="20"/>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086">
              <w:r>
                <w:rPr>
                  <w:rStyle w:val="InternetLink"/>
                  <w:rFonts w:ascii="Times New Roman;serif" w:hAnsi="Times New Roman;serif"/>
                  <w:b w:val="false"/>
                  <w:color w:val="0000FF"/>
                  <w:sz w:val="20"/>
                  <w:u w:val="single"/>
                </w:rPr>
                <w:t>64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
              <w:r>
                <w:rPr>
                  <w:rStyle w:val="InternetLink"/>
                  <w:rFonts w:ascii="Times New Roman;serif" w:hAnsi="Times New Roman;serif"/>
                  <w:b w:val="false"/>
                  <w:color w:val="0000FF"/>
                  <w:sz w:val="20"/>
                  <w:u w:val="single"/>
                </w:rPr>
                <w:t>Item 8.</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
              <w:r>
                <w:rPr>
                  <w:rStyle w:val="InternetLink"/>
                  <w:rFonts w:ascii="Times New Roman;serif" w:hAnsi="Times New Roman;serif"/>
                  <w:b w:val="false"/>
                  <w:color w:val="0000FF"/>
                  <w:sz w:val="20"/>
                  <w:u w:val="single"/>
                </w:rPr>
                <w:t>Financial Statements and Supplementary Data</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2">
              <w:r>
                <w:rPr>
                  <w:rStyle w:val="InternetLink"/>
                  <w:rFonts w:ascii="Times New Roman;serif" w:hAnsi="Times New Roman;serif"/>
                  <w:b w:val="false"/>
                  <w:color w:val="0000FF"/>
                  <w:sz w:val="20"/>
                  <w:u w:val="single"/>
                </w:rPr>
                <w:t>66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32">
              <w:r>
                <w:rPr>
                  <w:rStyle w:val="InternetLink"/>
                  <w:rFonts w:ascii="Times New Roman;serif" w:hAnsi="Times New Roman;serif"/>
                  <w:b w:val="false"/>
                  <w:color w:val="0000FF"/>
                  <w:sz w:val="20"/>
                  <w:u w:val="single"/>
                </w:rPr>
                <w:t>Item 9.</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3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32">
              <w:r>
                <w:rPr>
                  <w:rStyle w:val="InternetLink"/>
                  <w:rFonts w:ascii="Times New Roman;serif" w:hAnsi="Times New Roman;serif"/>
                  <w:b w:val="false"/>
                  <w:color w:val="0000FF"/>
                  <w:sz w:val="20"/>
                  <w:u w:val="single"/>
                </w:rPr>
                <w:t>139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63">
              <w:r>
                <w:rPr>
                  <w:rStyle w:val="InternetLink"/>
                  <w:rFonts w:ascii="Times New Roman;serif" w:hAnsi="Times New Roman;serif"/>
                  <w:b w:val="false"/>
                  <w:color w:val="0000FF"/>
                  <w:sz w:val="20"/>
                  <w:u w:val="single"/>
                </w:rPr>
                <w:t>Item 9A.</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63">
              <w:r>
                <w:rPr>
                  <w:rStyle w:val="InternetLink"/>
                  <w:rFonts w:ascii="Times New Roman;serif" w:hAnsi="Times New Roman;serif"/>
                  <w:b w:val="false"/>
                  <w:color w:val="0000FF"/>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63">
              <w:r>
                <w:rPr>
                  <w:rStyle w:val="InternetLink"/>
                  <w:rFonts w:ascii="Times New Roman;serif" w:hAnsi="Times New Roman;serif"/>
                  <w:b w:val="false"/>
                  <w:color w:val="0000FF"/>
                  <w:sz w:val="20"/>
                  <w:u w:val="single"/>
                </w:rPr>
                <w:t>139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87">
              <w:r>
                <w:rPr>
                  <w:rStyle w:val="InternetLink"/>
                  <w:rFonts w:ascii="Times New Roman;serif" w:hAnsi="Times New Roman;serif"/>
                  <w:b w:val="false"/>
                  <w:color w:val="0000FF"/>
                  <w:sz w:val="20"/>
                  <w:u w:val="single"/>
                </w:rPr>
                <w:t>Item 9B.</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87">
              <w:r>
                <w:rPr>
                  <w:rStyle w:val="InternetLink"/>
                  <w:rFonts w:ascii="Times New Roman;serif" w:hAnsi="Times New Roman;serif"/>
                  <w:b w:val="false"/>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87">
              <w:r>
                <w:rPr>
                  <w:rStyle w:val="InternetLink"/>
                  <w:rFonts w:ascii="Times New Roman;serif" w:hAnsi="Times New Roman;serif"/>
                  <w:b w:val="false"/>
                  <w:color w:val="0000FF"/>
                  <w:sz w:val="20"/>
                  <w:u w:val="single"/>
                </w:rPr>
                <w:t>141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50">
              <w:r>
                <w:rPr>
                  <w:rStyle w:val="InternetLink"/>
                  <w:rFonts w:ascii="Times New Roman;serif" w:hAnsi="Times New Roman;serif"/>
                  <w:b w:val="false"/>
                  <w:color w:val="0000FF"/>
                  <w:sz w:val="20"/>
                  <w:u w:val="single"/>
                </w:rPr>
                <w:t>Item 9C.</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50">
              <w:r>
                <w:rPr>
                  <w:rStyle w:val="InternetLink"/>
                  <w:rFonts w:ascii="Times New Roman;serif" w:hAnsi="Times New Roman;serif"/>
                  <w:b w:val="false"/>
                  <w:color w:val="0000FF"/>
                  <w:sz w:val="20"/>
                  <w:u w:val="single"/>
                </w:rPr>
                <w:t>Disclosure Regarding Foreign Jurisdictions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50">
              <w:r>
                <w:rPr>
                  <w:rStyle w:val="InternetLink"/>
                  <w:rFonts w:ascii="Times New Roman;serif" w:hAnsi="Times New Roman;serif"/>
                  <w:b w:val="false"/>
                  <w:color w:val="0000FF"/>
                  <w:sz w:val="20"/>
                  <w:u w:val="single"/>
                </w:rPr>
                <w:t>141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05">
              <w:r>
                <w:rPr>
                  <w:rStyle w:val="InternetLink"/>
                  <w:rFonts w:ascii="Times New Roman;serif" w:hAnsi="Times New Roman;serif"/>
                  <w:b/>
                  <w:color w:val="0000FF"/>
                  <w:sz w:val="20"/>
                  <w:u w:val="single"/>
                </w:rPr>
                <w:t>PART III</w:t>
              </w:r>
            </w:hyperlink>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08">
              <w:r>
                <w:rPr>
                  <w:rStyle w:val="InternetLink"/>
                  <w:rFonts w:ascii="Times New Roman;serif" w:hAnsi="Times New Roman;serif"/>
                  <w:b w:val="false"/>
                  <w:color w:val="0000FF"/>
                  <w:sz w:val="20"/>
                  <w:u w:val="single"/>
                </w:rPr>
                <w:t>Item 10.</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08">
              <w:r>
                <w:rPr>
                  <w:rStyle w:val="InternetLink"/>
                  <w:rFonts w:ascii="Times New Roman;serif" w:hAnsi="Times New Roman;serif"/>
                  <w:b w:val="false"/>
                  <w:color w:val="0000FF"/>
                  <w:sz w:val="20"/>
                  <w:u w:val="single"/>
                </w:rPr>
                <w:t>Directors, Executive Officers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08">
              <w:r>
                <w:rPr>
                  <w:rStyle w:val="InternetLink"/>
                  <w:rFonts w:ascii="Times New Roman;serif" w:hAnsi="Times New Roman;serif"/>
                  <w:b w:val="false"/>
                  <w:color w:val="0000FF"/>
                  <w:sz w:val="20"/>
                  <w:u w:val="single"/>
                </w:rPr>
                <w:t>141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11">
              <w:r>
                <w:rPr>
                  <w:rStyle w:val="InternetLink"/>
                  <w:rFonts w:ascii="Times New Roman;serif" w:hAnsi="Times New Roman;serif"/>
                  <w:b w:val="false"/>
                  <w:color w:val="0000FF"/>
                  <w:sz w:val="20"/>
                  <w:u w:val="single"/>
                </w:rPr>
                <w:t>Item 11.</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11">
              <w:r>
                <w:rPr>
                  <w:rStyle w:val="InternetLink"/>
                  <w:rFonts w:ascii="Times New Roman;serif" w:hAnsi="Times New Roman;serif"/>
                  <w:b w:val="false"/>
                  <w:color w:val="0000FF"/>
                  <w:sz w:val="20"/>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11">
              <w:r>
                <w:rPr>
                  <w:rStyle w:val="InternetLink"/>
                  <w:rFonts w:ascii="Times New Roman;serif" w:hAnsi="Times New Roman;serif"/>
                  <w:b w:val="false"/>
                  <w:color w:val="0000FF"/>
                  <w:sz w:val="20"/>
                  <w:u w:val="single"/>
                </w:rPr>
                <w:t>142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14">
              <w:r>
                <w:rPr>
                  <w:rStyle w:val="InternetLink"/>
                  <w:rFonts w:ascii="Times New Roman;serif" w:hAnsi="Times New Roman;serif"/>
                  <w:b w:val="false"/>
                  <w:color w:val="0000FF"/>
                  <w:sz w:val="20"/>
                  <w:u w:val="single"/>
                </w:rPr>
                <w:t>Item 12.</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1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14">
              <w:r>
                <w:rPr>
                  <w:rStyle w:val="InternetLink"/>
                  <w:rFonts w:ascii="Times New Roman;serif" w:hAnsi="Times New Roman;serif"/>
                  <w:b w:val="false"/>
                  <w:color w:val="0000FF"/>
                  <w:sz w:val="20"/>
                  <w:u w:val="single"/>
                </w:rPr>
                <w:t>142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17">
              <w:r>
                <w:rPr>
                  <w:rStyle w:val="InternetLink"/>
                  <w:rFonts w:ascii="Times New Roman;serif" w:hAnsi="Times New Roman;serif"/>
                  <w:b w:val="false"/>
                  <w:color w:val="0000FF"/>
                  <w:sz w:val="20"/>
                  <w:u w:val="single"/>
                </w:rPr>
                <w:t>Item 13.</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17">
              <w:r>
                <w:rPr>
                  <w:rStyle w:val="InternetLink"/>
                  <w:rFonts w:ascii="Times New Roman;serif" w:hAnsi="Times New Roman;serif"/>
                  <w:b w:val="false"/>
                  <w:color w:val="0000FF"/>
                  <w:sz w:val="20"/>
                  <w:u w:val="single"/>
                </w:rPr>
                <w:t>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17">
              <w:r>
                <w:rPr>
                  <w:rStyle w:val="InternetLink"/>
                  <w:rFonts w:ascii="Times New Roman;serif" w:hAnsi="Times New Roman;serif"/>
                  <w:b w:val="false"/>
                  <w:color w:val="0000FF"/>
                  <w:sz w:val="20"/>
                  <w:u w:val="single"/>
                </w:rPr>
                <w:t>142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0">
              <w:r>
                <w:rPr>
                  <w:rStyle w:val="InternetLink"/>
                  <w:rFonts w:ascii="Times New Roman;serif" w:hAnsi="Times New Roman;serif"/>
                  <w:b w:val="false"/>
                  <w:color w:val="0000FF"/>
                  <w:sz w:val="20"/>
                  <w:u w:val="single"/>
                </w:rPr>
                <w:t>Item 14.</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0">
              <w:r>
                <w:rPr>
                  <w:rStyle w:val="InternetLink"/>
                  <w:rFonts w:ascii="Times New Roman;serif" w:hAnsi="Times New Roman;serif"/>
                  <w:b w:val="false"/>
                  <w:color w:val="0000FF"/>
                  <w:sz w:val="20"/>
                  <w:u w:val="single"/>
                </w:rPr>
                <w:t>Principal Accountant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20">
              <w:r>
                <w:rPr>
                  <w:rStyle w:val="InternetLink"/>
                  <w:rFonts w:ascii="Times New Roman;serif" w:hAnsi="Times New Roman;serif"/>
                  <w:b w:val="false"/>
                  <w:color w:val="0000FF"/>
                  <w:sz w:val="20"/>
                  <w:u w:val="single"/>
                </w:rPr>
                <w:t>142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3">
              <w:r>
                <w:rPr>
                  <w:rStyle w:val="InternetLink"/>
                  <w:rFonts w:ascii="Times New Roman;serif" w:hAnsi="Times New Roman;serif"/>
                  <w:b/>
                  <w:color w:val="0000FF"/>
                  <w:sz w:val="20"/>
                  <w:u w:val="single"/>
                </w:rPr>
                <w:t>PART IV</w:t>
              </w:r>
            </w:hyperlink>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96">
              <w:r>
                <w:rPr>
                  <w:rStyle w:val="InternetLink"/>
                  <w:rFonts w:ascii="Times New Roman;serif" w:hAnsi="Times New Roman;serif"/>
                  <w:b w:val="false"/>
                  <w:color w:val="0000FF"/>
                  <w:sz w:val="20"/>
                  <w:u w:val="single"/>
                </w:rPr>
                <w:t>Item 15.</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96">
              <w:r>
                <w:rPr>
                  <w:rStyle w:val="InternetLink"/>
                  <w:rFonts w:ascii="Times New Roman;serif" w:hAnsi="Times New Roman;serif"/>
                  <w:b w:val="false"/>
                  <w:color w:val="0000FF"/>
                  <w:sz w:val="20"/>
                  <w:u w:val="single"/>
                </w:rPr>
                <w:t>Exhibits and Financial Statement Schedules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96">
              <w:r>
                <w:rPr>
                  <w:rStyle w:val="InternetLink"/>
                  <w:rFonts w:ascii="Times New Roman;serif" w:hAnsi="Times New Roman;serif"/>
                  <w:b w:val="false"/>
                  <w:color w:val="0000FF"/>
                  <w:sz w:val="20"/>
                  <w:u w:val="single"/>
                </w:rPr>
                <w:t>143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6">
              <w:r>
                <w:rPr>
                  <w:rStyle w:val="InternetLink"/>
                  <w:rFonts w:ascii="Times New Roman;serif" w:hAnsi="Times New Roman;serif"/>
                  <w:b w:val="false"/>
                  <w:color w:val="0000FF"/>
                  <w:sz w:val="20"/>
                  <w:u w:val="single"/>
                </w:rPr>
                <w:t>Item 16.</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26">
              <w:r>
                <w:rPr>
                  <w:rStyle w:val="InternetLink"/>
                  <w:rFonts w:ascii="Times New Roman;serif" w:hAnsi="Times New Roman;serif"/>
                  <w:b w:val="false"/>
                  <w:color w:val="0000FF"/>
                  <w:sz w:val="20"/>
                  <w:u w:val="single"/>
                </w:rPr>
                <w:t>Form 10-K Summary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26">
              <w:r>
                <w:rPr>
                  <w:rStyle w:val="InternetLink"/>
                  <w:rFonts w:ascii="Times New Roman;serif" w:hAnsi="Times New Roman;serif"/>
                  <w:b w:val="false"/>
                  <w:color w:val="0000FF"/>
                  <w:sz w:val="20"/>
                  <w:u w:val="single"/>
                </w:rPr>
                <w:t>150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99">
              <w:r>
                <w:rPr>
                  <w:rStyle w:val="InternetLink"/>
                  <w:rFonts w:ascii="Times New Roman;serif" w:hAnsi="Times New Roman;serif"/>
                  <w:b w:val="false"/>
                  <w:color w:val="0000FF"/>
                  <w:sz w:val="20"/>
                  <w:u w:val="single"/>
                </w:rPr>
                <w:t>Signatures</w:t>
              </w:r>
            </w:hyperlink>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99">
              <w:r>
                <w:rPr>
                  <w:rStyle w:val="InternetLink"/>
                  <w:rFonts w:ascii="Times New Roman;serif" w:hAnsi="Times New Roman;serif"/>
                  <w:b w:val="false"/>
                  <w:color w:val="0000FF"/>
                  <w:sz w:val="20"/>
                  <w:u w:val="single"/>
                </w:rPr>
                <w:t>151</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6415"/>
                <wp:effectExtent l="0" t="0" r="0" b="0"/>
                <wp:wrapNone/>
                <wp:docPr id="4" name="Frame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 xml:space="preserve">PART I </w:t>
      </w:r>
      <w:r>
        <w:rPr>
          <w:color w:val="000000"/>
        </w:rPr>
        <w:t xml:space="preserve">— </w:t>
      </w:r>
      <w:r>
        <w:rPr>
          <w:rFonts w:ascii="Times New Roman;serif" w:hAnsi="Times New Roman;serif"/>
          <w:b/>
          <w:color w:val="000000"/>
          <w:sz w:val="20"/>
        </w:rPr>
        <w:t>FINANCIAL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Unless the context indicates otherwise, references in this report to “we,” “us,” “our,” the “Company,” and “Dell Technologies” mean Dell Technologies Inc. and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fiscal year is the 52- or 53-week period ending on the Friday nearest January 31. We refer to our fiscal years ended January 30, 2026, January 31, 2025, and February 2, 2024 as “Fiscal 2026,” “Fiscal 2025,” and “Fiscal 2024,” respectively. Fiscal 2026, Fiscal 2025, and Fiscal 2024 each included 52 weeks.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Dell Technologies is a leader in the global technology industry focused on providing broad and innovative technology solutions for the data and artificial intelligence (“AI”) era. These solutions range from client devices and peripherals to infrastructure solutions across servers, networking, and storage to meet the evolving needs of our customers and drive better business outcomes. With our extensive portfolio and commitment to innovation, we design, deploy, and support secure, integrated solutions that extend from the edge to the core to the cloud. We deliver AI-optimized, software-defined, and cloud native infrastructure solutions across a broad partner ecosystem to help customers address evolving information technology (“IT”) needs, drive outcomes, and capture growth as customer spending priorities evolve.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offer customers choice in how they acquire our solutions, including utility, subscription, as-a-Service, leases, loans, and immediate pay models. These options allow our customers to pay upfront or over time, providing them with operational and financial flexibility.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Vision and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we are uniquely positioned in our industry and that our results will continue to benefit from our operational advantages, which position our Company for long-term growth and value creation while keeping our purpose at the forefront of our decision-making: to create technologies that drive human progress.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unique operating advantages, our leadership, and our way of doing business provide a foundation to foster growth, drive efficiencies, and capitalize on each successive wave of innovation in a dynamic industry.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6415"/>
                <wp:effectExtent l="0" t="0" r="0" b="0"/>
                <wp:wrapNone/>
                <wp:docPr id="5" name="Frame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design, develop, manufacture, market, sell, and support a wide range of comprehensive and integrated solutions, products, and services. We are organized into two business units which are also our reportable segments: Infrastructure Solutions Group and Client Solutions Group.</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Infrastructure Solutions Group (“ISG”)</w:t>
      </w:r>
      <w:r>
        <w:rPr>
          <w:color w:val="000000"/>
        </w:rPr>
        <w:t xml:space="preserve"> — </w:t>
      </w:r>
      <w:r>
        <w:rPr>
          <w:rFonts w:ascii="Times New Roman;serif" w:hAnsi="Times New Roman;serif"/>
          <w:b w:val="false"/>
          <w:color w:val="000000"/>
          <w:sz w:val="20"/>
        </w:rPr>
        <w:t>ISG enables our customers’ digital transformations with solutions that address AI, machine learning, data analytics, and multicloud environments. We provide a comprehensive portfolio of advanced infrastructure solutions designed to help customers simplify, streamline, and automate IT operations. ISG solutions are built for multicloud environments and are optimized to run workloads in both public and private clouds, as well as on-premises. ISG also offers software, peripherals, and services, including consulting, configuration, and support and deployment. Given the scale and growth of our AI-optimized servers business, effective in the fourth quarter of Fiscal 2026, we disaggregated our servers and networking offerings within revenue by major product category into AI-optimized servers offerings and traditional servers and networking offerings. As a result, our major product categories within ISG are our AI-optimized servers offerings, traditional servers and networking offerings, and storage offerings.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AI-optimized servers</w:t>
      </w:r>
      <w:r>
        <w:rPr>
          <w:color w:val="000000"/>
        </w:rPr>
        <w:t xml:space="preserve"> — </w:t>
      </w:r>
      <w:r>
        <w:rPr>
          <w:rFonts w:ascii="Times New Roman;serif" w:hAnsi="Times New Roman;serif"/>
          <w:b w:val="false"/>
          <w:color w:val="000000"/>
          <w:sz w:val="20"/>
        </w:rPr>
        <w:t xml:space="preserve">We offer a specialized portfolio of AI-optimized servers designed to handle the most demanding compute-intensive workloads, including AI model training, fine-tuning, and inferencing.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Traditional servers and networking</w:t>
      </w:r>
      <w:r>
        <w:rPr>
          <w:color w:val="000000"/>
        </w:rPr>
        <w:t xml:space="preserve"> — </w:t>
      </w:r>
      <w:r>
        <w:rPr>
          <w:rFonts w:ascii="Times New Roman;serif" w:hAnsi="Times New Roman;serif"/>
          <w:b w:val="false"/>
          <w:color w:val="000000"/>
          <w:sz w:val="20"/>
        </w:rPr>
        <w:t>Our traditional servers portfolio provides the trusted foundation for modern IT environments, supporting a wide range of general-purpose and mission-critical workloads. Our networking portfolio helps our business customers transform and modernize their infrastructure, complementing our storage and AI-optimized and traditional servers offerings.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Storage</w:t>
      </w:r>
      <w:r>
        <w:rPr>
          <w:color w:val="000000"/>
        </w:rPr>
        <w:t xml:space="preserve"> — </w:t>
      </w:r>
      <w:r>
        <w:rPr>
          <w:rFonts w:ascii="Times New Roman;serif" w:hAnsi="Times New Roman;serif"/>
          <w:b w:val="false"/>
          <w:color w:val="000000"/>
          <w:sz w:val="20"/>
        </w:rPr>
        <w:t>Our comprehensive storage portfolio includes modern and traditional storage solutions that span primary, unstructured, and data protection offerings that are delivered through multiple architectures, including all-flash, purpose-built, software-defined, and hyper-converged infrastructure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65% of ISG revenue is generated by sales to customers in the Americas, with the remaining portion derived from sales to customers in the Europe, Middle East, and Africa region (“EMEA”) and the Asia-Pacific and Japan region (“APJ”).</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Client Solutions Group (“CSG”)</w:t>
      </w:r>
      <w:r>
        <w:rPr>
          <w:color w:val="000000"/>
        </w:rPr>
        <w:t xml:space="preserve"> — </w:t>
      </w:r>
      <w:r>
        <w:rPr>
          <w:rFonts w:ascii="Times New Roman;serif" w:hAnsi="Times New Roman;serif"/>
          <w:b w:val="false"/>
          <w:color w:val="000000"/>
          <w:sz w:val="20"/>
        </w:rPr>
        <w:t>CSG offers branded personal computers (“PCs”), including notebooks, desktops, and workstations and branded peripherals that include displays, docking stations, keyboards, mice, and webcam and audio devices, as well as third-party software and peripherals. Our CSG offerings are designed to optimize performance, reliability, manageability, design, and security for our customers and include on-device AI for greater end-user creativity and productivity. CSG also includes services offerings, such as configuration, support and deployment, and extended warranties. Our major product categories within CSG are our commercial offerings and consumer offerings.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Commercial</w:t>
      </w:r>
      <w:r>
        <w:rPr>
          <w:color w:val="000000"/>
        </w:rPr>
        <w:t xml:space="preserve"> — </w:t>
      </w:r>
      <w:r>
        <w:rPr>
          <w:rFonts w:ascii="Times New Roman;serif" w:hAnsi="Times New Roman;serif"/>
          <w:b w:val="false"/>
          <w:color w:val="000000"/>
          <w:sz w:val="20"/>
        </w:rPr>
        <w:t xml:space="preserve">Our commercial portfolio provides customers with solutions centered on flexibility to address their complex needs such as IT modernization, hybrid work transformation, and other critical areas.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Consumer</w:t>
      </w:r>
      <w:r>
        <w:rPr>
          <w:color w:val="000000"/>
        </w:rPr>
        <w:t xml:space="preserve"> — </w:t>
      </w:r>
      <w:r>
        <w:rPr>
          <w:rFonts w:ascii="Times New Roman;serif" w:hAnsi="Times New Roman;serif"/>
          <w:b w:val="false"/>
          <w:color w:val="000000"/>
          <w:sz w:val="20"/>
        </w:rPr>
        <w:t>Our consumer portfolio provides customers with solutions ranging from essential computing, connectivity, and productivity needs of the everyday user to powerful performance, processing, and end-user experiences in high-end consumer and gaming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60% of CSG revenue is generated by sales to customers in the Americas, with the remaining portion derived from sales to customers in EMEA and APJ.</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other businesses primarily consist of our historical resale of standalone offerings of VMware LLC (formerly VMware, Inc. and individually and together with its subsidiaries, “VMware”), referred to as “VMware Resale,” and offerings of SecureWorks Corp. (“Secureworks”) through the date of the sale of Secureworks as discussed below. These businesses are divested businesses or their offerings are no longer actively sold, and are not classified as reportable segments, either individually or collectively. Their operating results are reported within Corporate and other.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6"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VMware Resale</w:t>
      </w:r>
      <w:r>
        <w:rPr>
          <w:color w:val="000000"/>
        </w:rPr>
        <w:t xml:space="preserve"> </w:t>
      </w:r>
      <w:r>
        <w:rPr>
          <w:rFonts w:ascii="Times New Roman;serif" w:hAnsi="Times New Roman;serif"/>
          <w:b w:val="false"/>
          <w:color w:val="000000"/>
          <w:sz w:val="20"/>
        </w:rPr>
        <w:t xml:space="preserve">includes our sale of standalone VMware offerings. On November 22, 2023, VMware was acquired by Broadcom Inc. (“Broadcom”), and subsequently announced changes to its go-to-market approach for VMware offerings that impacted our commercial relationship with VMware. On March 25, 2024, we terminated our Commercial Framework Agreement with VMware, whereby we acted as a distributor of VMware standalone products and services. We no longer act as a distributor of such products and services, although we continue to support customers that have purchased resale offerings sold in prior periods.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integrate and embed certain VMware products and services with our VxRail solution for end-user customers. The results for this integrated offering are reflected within ISG. See Note 19 of the Notes to the Consolidated Financial Statements included in this report for more information regarding the impact of Broadcom’s acquisition of VMware.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Secureworks</w:t>
      </w:r>
      <w:r>
        <w:rPr>
          <w:color w:val="000000"/>
        </w:rPr>
        <w:t xml:space="preserve"> </w:t>
      </w:r>
      <w:r>
        <w:rPr>
          <w:rFonts w:ascii="Times New Roman;serif" w:hAnsi="Times New Roman;serif"/>
          <w:b w:val="false"/>
          <w:color w:val="000000"/>
          <w:sz w:val="20"/>
        </w:rPr>
        <w:t>is a global cybersecurity provider of technology-driven security solutions that enable organizations of varying size and complexity to prevent security breaches, detect malicious activity, respond rapidly when a security breach occurs, and identify emerging threats. On February 3, 2025, Secureworks was acquired by Sophos Inc., an affiliate of Thoma Bravo,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further discussion regarding our current reportable segments, see “Part II — Item 7 — Management’s Discussion and Analysis of Financial Condition and Results of Operations — Results of Operations — Business Unit Results” and Note 18 of the Notes to the Consolidated Financial Statements included in this report.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Dell Payment Solutions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customers seek choice in how they acquire our solutions and look to remove cost and complexity, align offerings with their business needs, and provide consistent, high-quality operations throughout their IT enterprise. The Dell Payment Solutions portfolio offers a wide range of payment and consumption options to enable our customers globally to deploy the technology solutions they need now with predictability, flexibility, and choice.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offer our customers choices that include utility, subscription, as-a-Service, leases, loans and immediate pay models designed to match customers’ consumption and financing preferences. We believe these options provide operational and financial flexibility and strengthen our customer relationships. Additionally, these offerings typically result in multiyear agreements which generate recurring revenue streams over the term of the arrangement. We expect that these offerings will provide a foundation for growth in recurring revenue. We define recurring revenue as revenue recognized that is primarily related to hardware and software maintenance as well as operating leases, subscription, as-a-Service, and usage-based offerings.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To support financing solutions and services as part of the portfolio, Dell Financial Services and its affiliates (“DFS”) originate, collect, and service customer receivables primarily related to the purchase or use of our product, software, and services offerings. </w:t>
      </w:r>
      <w:r>
        <w:rPr>
          <w:rFonts w:ascii="Times New Roman;serif" w:hAnsi="Times New Roman;serif"/>
          <w:b w:val="false"/>
          <w:color w:val="000000"/>
          <w:sz w:val="20"/>
          <w:shd w:fill="FFFFFF" w:val="clear"/>
        </w:rPr>
        <w:t xml:space="preserve">DFS funded </w:t>
      </w:r>
      <w:r>
        <w:rPr>
          <w:rFonts w:ascii="Times New Roman;serif" w:hAnsi="Times New Roman;serif"/>
          <w:b w:val="false"/>
          <w:color w:val="000000"/>
          <w:sz w:val="20"/>
        </w:rPr>
        <w:t xml:space="preserve">$11.9 billion of originations in Fiscal 2026 and as of January 30, 2026 maintains a $14.3 billion global portfolio of financing receivables with a strong credit quality. The results of these operations are allocated to our segments based on the underlying product or service financed and may be impacted by, among other factors, changes in the interest rate environment and the translation of those changes to pricing. For additional information about our financing arrangements, see Note 5 of the Notes to the Consolidated Financial Statements included in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focus on developing innovative solutions that incorporate desirable features and capabilities at competitive prices. We employ a collaborative approach to design and development in which our engineers, with direct customer input, design solutions and work with a global network of technology partners to architect new system designs, influence the direction of future development, and integrate new technologies into our products and solutions. We strive to deliver new and relevant products to the market quickly and efficiently.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Our software engineers are focused on developing the next generation of innovative solutions.</w:t>
      </w:r>
      <w:r>
        <w:rPr>
          <w:color w:val="000000"/>
        </w:rPr>
        <w:t xml:space="preserve"> </w:t>
      </w:r>
      <w:r>
        <w:rPr>
          <w:rFonts w:ascii="Times New Roman;serif" w:hAnsi="Times New Roman;serif"/>
          <w:b w:val="false"/>
          <w:color w:val="000000"/>
          <w:sz w:val="20"/>
        </w:rPr>
        <w:t xml:space="preserve">Our embedded software simplifies the complex through automation, increasingly leveraging artificial intelligence and machine-learning technology. Most of our research and development (“R&amp;D”) expenditures represent costs to develop the software that powers these solutions.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7"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We manage our R&amp;D expenses by concentrating on solutions that we believe are most valuable to our customers and by leveraging the capabilities of our strategic partnerships. We have a global R&amp;D presence, with total R&amp;D expenses of $3.1 billion for both Fiscal 2026 and Fiscal 2025 and $2.8 billion</w:t>
      </w:r>
      <w:r>
        <w:rPr>
          <w:color w:val="000000"/>
          <w:shd w:fill="FFFFFF" w:val="clear"/>
        </w:rPr>
        <w:t xml:space="preserve"> </w:t>
      </w:r>
      <w:r>
        <w:rPr>
          <w:rFonts w:ascii="Times New Roman;serif" w:hAnsi="Times New Roman;serif"/>
          <w:b w:val="false"/>
          <w:color w:val="000000"/>
          <w:sz w:val="20"/>
        </w:rPr>
        <w:t>for Fiscal 2024. These investments reflect our commitment to innovation that aims to create the right solutions to help our customers build their digital future and transform their businesses.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Strategic Investments and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strategy, we will continue to evaluate opportunities for strategic investments through our venture capital investment arm, Dell Technologies Capital, with a focus on emerging technology areas that are relevant to our business and that will complement our existing portfolio of solutions. We target investments in areas such as storage, software-defined networking, management and orchestration, security, machine learning and AI, big data and analytics, cloud, edge computing, and software development operations. The technologies or products these companies have under development are typically in the early stages and may never have commercial value, which could result in a loss of a substantial part of our investment in the companies.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held strategic investments in non-marketable securities of $1.6 billion and $1.5 billion as of January 30, 2026 and January 31, 2025, respectively. See Note 4 of the Notes to the Consolidated Financial Statements included in this report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these investments, we may also make targeted acquisitions of businesses that advance our strategic objectives and accelerate our innovation agenda.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Manufacturing and Materials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own manufacturing facilities located in the United States, Malaysia, China, Brazil, India, Poland, and Ireland. See “Item 2 — Properties” for information about our manufacturing and distribution facilities.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utilize contract manufacturers throughout the world to manufacture or assemble our products under the Dell Technologies brand to provide operational flexibility, achieve cost efficiencies, deliver products faster, better serve our customers, and enhance our supply chain. When using contract manufacturers, we purchase components from suppliers and subsequently sell those components to the manufacturer. 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processing of information from customers obtained through services and support programs. This system is certified to the ISO 9001 International Standard that includes our global sites and organizations that design, manufacture, and service our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order fulfillment, manufacturing, and test facilities are also certified to the ISO 9001 International Standard for quality management systems, the ISO 14001 International Standard for environmental management systems, the ISO 45001 International Standard for health and safety management systems, and the ISO 50001 International Standard for energy management systems. These internationally-recognized endorsements of ongoing quality, environmental, health and safety, and energy management are among the highest levels of certifications available. We also have implemented programs and methodologies to ensure that the quality of our designs, manufacturing, test processes, and supplier relationships are continually improved. Additionally, we maintain a Supplier Code of Conduct and actively manage recycling processes for our returned products.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8"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purchase materials, supplies, product components, and products from a large number of qualified suppliers. In some cases, where multiple sources of supply are not available, we rely on a single 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Risks Relating to Our Business and Our Industry — Our use of single-source or limited-source suppliers may adversely affect the availability or timely delivery of some critical products or components” for information about the risks associated with Dell Technologies’ use of single- or limited-source suppliers.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 Backlog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backlog represents the value of unfulfilled manufacturing orders and is included as a component of remaining performance obligations to the extent we determine that the manufacturing orders are non-cancelable. Our world-class supply chain operates at significant scale and provides us with the ability to remain agile in a variety of environments. While our supply chain operated efficiently at standard lead times, during both Fiscal 2025 and Fiscal 2026, increasing demand for our AI-optimized servers offerings continued to drive backlog growth. Given the scale of the AI opportunities, the varying stages of customer readiness, and the frequency of component part updates or transitions, there is inherent non-linearity in the timing of demand and subsequent shipments for our AI-optimized servers offerings. Additionally, during Fiscal 2026, demand for our traditional servers and networking offerings outpaced supply, resulting in incremental backlog growth as we exited the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Geographic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is located in Round Rock, Texas. We have operations and conduct business in many countries located in the Americas, Europe, the Middle East, Asia, and other geographic regions. Accordingly, we pursue the development of technology solutions that meet the needs of these markets. For information about the amount of net revenue we generated from our operations outside of the United States during the last three fiscal years, see Note 18 of the Notes to the Consolidated Financial Statements included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sales can be affected by seasonal trends. Within ISG, our storage sales are typically stronger in our fourth fiscal quarter. Our sales within the Americas are typically stronger in the second and fourth fiscal quarters, while our sales in EMEA are typically stronger during the fourth fiscal quarter. Historical seasonal patterns have been impacted by the changing macroeconomic environment and our mix of business, and may not continue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operate in an industry in which there are rapid technological advances in hardware, software, and services offerings, including AI, cloud, and security-related offerings. We face ongoing product and price competition in all areas of our business from both branded and generic competitors, including companies that specialize in one or more of our product or service lines. Our competitive advantages — including our end-to-end solutions portfolio, go-to-market capabilities, supply chain, and global services — enable us to compete by providing customers competitive, scalable, and integrated solutions that provide the most current and desired product and services features at a competitive price. We closely monitor market pricing, including the effect of foreign exchange rate movements, in an effort to provide the best value for our customers. We also closely monitor changing demand to keep pace with the demands of current and prospective customers. We believe that our strong relationships with our customers, channel partners, and suppliers allow us to respond quickly to changing customer needs and other macroeconomic factors.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also face competition from non-traditional IT companies, including large Infrastructure-as-a-Service providers, that often buy their infrastructure directly from original design manufacturers. Competitive pressures could increase if customers choose to move existing workloads to these providers.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9" name="Frame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markets in which we compete span countries around the world with customers that range from the world’s largest corporations to small and medium-sized businesses to consumers and also include government and not-for-profit organizations. We believe that new businesses will continue to enter these markets and develop technologies that, if successfully commercialized, may compete with our products and services. Moreover, current competitors may enter into new strategic relationships with new or existing competitors, which may further increase competitive pressures. See “Item 1A — Risk Factors — Risks Relating to Our Business and Our Industry” for information about our competitive risks.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 sales and marketing efforts are organized around our customers. Our global sales and marketing team has created a go-to-market model that is collaborative and customer-focused. We generally organize our go-to-market operations with a focus on geographic and customer segments that encompass large g</w:t>
      </w:r>
      <w:r>
        <w:rPr>
          <w:rFonts w:ascii="Times New Roman;serif" w:hAnsi="Times New Roman;serif"/>
          <w:b w:val="false"/>
          <w:color w:val="000000"/>
          <w:sz w:val="20"/>
          <w:shd w:fill="FFFFFF" w:val="clear"/>
        </w:rPr>
        <w:t>lobal and national enterprises, governmental agencies and other public institutions, educational institutions, healthc</w:t>
      </w:r>
      <w:r>
        <w:rPr>
          <w:rFonts w:ascii="Times New Roman;serif" w:hAnsi="Times New Roman;serif"/>
          <w:b w:val="false"/>
          <w:color w:val="000000"/>
          <w:sz w:val="20"/>
        </w:rPr>
        <w:t xml:space="preserve">are organizations, small and medium-sized businesses, and consumers.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Go-to-market strategy</w:t>
      </w:r>
      <w:r>
        <w:rPr>
          <w:color w:val="000000"/>
        </w:rPr>
        <w:t xml:space="preserve"> — </w:t>
      </w:r>
      <w:r>
        <w:rPr>
          <w:rFonts w:ascii="Times New Roman;serif" w:hAnsi="Times New Roman;serif"/>
          <w:b w:val="false"/>
          <w:color w:val="000000"/>
          <w:sz w:val="20"/>
        </w:rPr>
        <w:t>We sell products and services directly to customers and through other sales channels, which include value-added resellers, system integrators, distributors, and retailers. We manage our direct sales team and channel partners to offer a unified customer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direct sales channel is a significant competitive advantage and emphasizes direct communication with customers, allowing us to refine our products and marketing programs while providing insight to better navigate through supply chain challenges and complexity.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direct sales channel, we use our network of channel partners to sell our products and services, enabling us to efficiently reach and serve a greater number of customers. The Dell Technologies partner program provides partners with appropriate incentives to encourage sales generation. We also facilitate access to third-party financing to help our channel partners manage their working capital. We believe that building long-term relationships with our channel partners enhances our ability to deliver a high-quality customer experience. During Fiscal 2026, our other sales channels generated approximately 40% of our net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Large enterprises and public institutions </w:t>
      </w:r>
      <w:r>
        <w:rPr>
          <w:color w:val="000000"/>
        </w:rPr>
        <w:t xml:space="preserve">— </w:t>
      </w:r>
      <w:r>
        <w:rPr>
          <w:rFonts w:ascii="Times New Roman;serif" w:hAnsi="Times New Roman;serif"/>
          <w:b w:val="false"/>
          <w:color w:val="000000"/>
          <w:sz w:val="20"/>
        </w:rPr>
        <w:t>We maintain a field sales force across the world to serve our largest customers, including large enterprises and public institutions. Dedicated account teams, which include technical sales specialists, form long-term relationships with and support our largest customers, develop tailored solutions to meet their needs,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customized to the needs of each specific segment we serve.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Small and medium-sized business and consumers</w:t>
      </w:r>
      <w:r>
        <w:rPr>
          <w:color w:val="000000"/>
        </w:rPr>
        <w:t xml:space="preserve"> — </w:t>
      </w:r>
      <w:r>
        <w:rPr>
          <w:rFonts w:ascii="Times New Roman;serif" w:hAnsi="Times New Roman;serif"/>
          <w:b w:val="false"/>
          <w:color w:val="000000"/>
          <w:sz w:val="20"/>
        </w:rPr>
        <w:t>We have a direct sales force of dedicated account teams for small and medium-sized businesses focused on delivering outcomes tailored to customers’ specific needs. For consumers, we offer robust online and channel engagement. We market our products and services to customers in these segments through various campaigns and advertising media, aligning with customer preferences. To react quickly to our customers’ needs, we track our Net Promoter Score, a customer loyalty metric that is widely used across various industries. Net Promoter Score is a trademark of Satmetrix Systems, Inc., Bain &amp; Company, Inc., and Fred Reichheld. We also engage with customers through social media.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Patents, Trademarks, and Licenses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we held a worldwide portfolio of 25,859 granted patents and 8,189 pending patent applications. We continue to obtain new patents through our ongoing research and development activities. The inventions claimed in our patents and patent applications cover aspects of our current and possible future offerings, computer systems, software products, manufacturing processes, and related technologies. We also hold licenses to use numerous third-party patents. Although we use our patented inventions and license some of them to others, we are not substantially dependent on any single patent or group of related patents. Our product and process patents may establish barriers to entry, and we anticipate that our worldwide patent portfolio will continue to be of value in negotiating intellectual property rights with others in the industry.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used, registered, or applied to register certain trademarks and copyrights in the United States and in other countries. We believe that the Dell Technologies, DELL, and Alienware word marks and logo marks in the United States are material to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0" name="Frame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software licensing agreements with other companies. We also license certain technologies and intellectual property from third parties for use in our offerings and processes, and license some of our technologies and intellectual property to third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regulation by various U.S. federal and state governmental agencies and other governmental 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U.S.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operations are subject to a variety of environmental, performance, and safety regulations in all aspects of our operations. Product design and procurement operations must comply with requirements relating to materials composition, sourcing, radiated emissions, energy efficiency and collection, recycling, treatment, transportation, and disposal of electronics products, including restrictions on mercury, lead, cadmium, lithium metal, lithium ion, and other substances. Our operations may also become subject to new or emergent standards relating to climate change laws and regulations. The amount and timing of costs under environmental and safety laws are difficult to predict. We were not assessed any material environmental fines, nor did we have any material environmental remediation or other environmental costs, during Fiscal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and our subsidiaries are subject to various anti-corruption laws that prohibit improper payments or offers of payments to foreign governments and their officials for the purpose of obtaining or retaining business, and are also subject to export controls, customs regulations, economic sanctions laws, and embargoes imposed by the U.S. government. Violations of the U.S. Foreign Corrupt Practices Act or other anti-corruption laws or export controls, customs regulations, or economic sanctions laws may result in severe criminal or civil sanctions and penalties.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Impact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Dell Technologies, we are committed to driving human progress by putting our technology and expertise to work where we believe it can do the most good for both people and the planet. Our commitments span the environment, our own workforce, and all of the people in our value chain. We recognize that all of our stakeholders — shareholders, customers, suppliers, employees, and communities — are essential to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embed circularity principles throughout our value chain. By integrating sustainable practices with suppliers, customers, and other stakeholders, we advance a circular economy that improves resource efficiency and environmental benefits, reinforcing our commitment to sustainability.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are committed to understanding the impact our business has on the environment. We are taking action to mitigate climate-related risks, and we offer innovative products and solutions to customers to help them reduce their emissions, reach their reduction targets and operate more efficiently.</w:t>
      </w:r>
      <w:r>
        <w:rPr>
          <w:color w:val="000000"/>
        </w:rPr>
        <w:t xml:space="preserve"> </w:t>
      </w:r>
      <w:r>
        <w:rPr>
          <w:rFonts w:ascii="Times New Roman;serif" w:hAnsi="Times New Roman;serif"/>
          <w:b w:val="false"/>
          <w:color w:val="000000"/>
          <w:sz w:val="20"/>
        </w:rPr>
        <w:t>We are actively addressing climate-related risks by managing greenhouse gas emissions across our operations, supply chain, and product lifecycle.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1"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Human Capital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talented team with unique perspectives united in our purpose, strategy, and culture. Our goal is to ensure that all employees feel valued, engaged, and inspired to do their best work. We aim to attract, develop, and retain a top-talent workforce through our inclusive culture, training and development offerings, and competitive and comprehensive benefits that include health and wellness resources. We believe the success of our commitment is demonstrated through our consistent market recognition as a best-in-class employer.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30, 2026, we had approximately 97,000 employees. Throughout Fiscal 2026, we remained committed to disciplined cost management in coordination with our ongoing business modernization initiatives and continued to take certain measures to reduce costs, including employee reorganizations, limitation of external hiring, and other actions to align our investments with our announced strategic and customer priorities. These actions resulted in a continued reduction in our overall headcount. Despite these difficult decisions, we continue focused efforts to empower our employees and attract, develop, and retain talent.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seek to support our culture in the following key focus areas: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Equal Employment Opportunity </w:t>
      </w:r>
      <w:r>
        <w:rPr>
          <w:color w:val="000000"/>
        </w:rPr>
        <w:t xml:space="preserve">— </w:t>
      </w:r>
      <w:r>
        <w:rPr>
          <w:rFonts w:ascii="Times New Roman;serif" w:hAnsi="Times New Roman;serif"/>
          <w:b w:val="false"/>
          <w:color w:val="000000"/>
          <w:sz w:val="20"/>
        </w:rPr>
        <w:t>We are committed to equal employment opportunity and maintaining an inclusive culture that gives all Dell Technologies employees an opportunity to thrive and succeed.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Achievement Through Learning, Development, and Competitive Compensation and Rewards </w:t>
      </w:r>
      <w:r>
        <w:rPr>
          <w:color w:val="000000"/>
        </w:rPr>
        <w:t xml:space="preserve">— </w:t>
      </w:r>
      <w:r>
        <w:rPr>
          <w:rFonts w:ascii="Times New Roman;serif" w:hAnsi="Times New Roman;serif"/>
          <w:b w:val="false"/>
          <w:color w:val="000000"/>
          <w:sz w:val="20"/>
        </w:rPr>
        <w:t>We provide competitive compensation aligned with consistent practices to attract, retain, and motivate top talent and to recognize the critical skills essential to our success. Our programs reward performance as well as the behaviors and capabilities that enable it. Through transparent, data-informed approaches, we build trust and align compensation with the priorities of our people and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centralized programs to support employees’ career growth and development. We offer formal training options, individualized development programs, tools for 360-degree feedback, mentoring, networking, stretch assignments, and growth opportunities. Our tools and resources are designed to empower and inspire employees to direct their own career paths and build a portfolio of transferable skills for success in the technology industry. Our career development supports employee growth by providing personalized development suggestions, such as mentorship and internal opportunities, that align with their skills and development goals. We are committed to building a leadership pipeline with a broad spectrum of skills, including the ability to act with integrity and inspire others.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Balance and Wellness </w:t>
      </w:r>
      <w:r>
        <w:rPr>
          <w:color w:val="000000"/>
        </w:rPr>
        <w:t xml:space="preserve">— </w:t>
      </w:r>
      <w:r>
        <w:rPr>
          <w:rFonts w:ascii="Times New Roman;serif" w:hAnsi="Times New Roman;serif"/>
          <w:b w:val="false"/>
          <w:color w:val="000000"/>
          <w:sz w:val="20"/>
        </w:rPr>
        <w:t>We offer our employees comprehensive benefits programs designed to support their physical, mental, emotional, and financial well-being while reinforcing a healthy work-life balance. While a number of our programs are global, many benefits align with local requirements and market relevancy. All enable an elevated health and wellness experience and include virtual live and on-demand educational sessions, counseling and support services, fitness and wellness challenges, voluntary progress tracking, and other incentives.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Connection and Engagement </w:t>
      </w:r>
      <w:r>
        <w:rPr>
          <w:color w:val="000000"/>
        </w:rPr>
        <w:t xml:space="preserve">— </w:t>
      </w:r>
      <w:r>
        <w:rPr>
          <w:rFonts w:ascii="Times New Roman;serif" w:hAnsi="Times New Roman;serif"/>
          <w:b w:val="false"/>
          <w:color w:val="000000"/>
          <w:sz w:val="20"/>
        </w:rPr>
        <w:t>We believe employee feedback is an important part of our culture and a key strategy to foster connection and engagement. For example, through our annual Tell Dell survey, employees can confidentially voice their perceptions of our company, strategy, leadership, and culture so we can continue to improve the employee experience. We promote further employee connection and engagement through a variety of initiatives, including, among others, our broader team member listening strategy and our Employee Resource Groups. We have 13 unique Employee Resource Groups, which are open to all team members, that foster connection, engagement, and community involvement.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Supply Chain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manage our responsible business practices in one of the world’s largest supply chains, which involves hundreds of thousands of people around the world. Driving responsible manufacturing through robust assurance practices, including human rights due diligence and environmental stewardship, is fundamental to achieving our purpose of creating technologies that drive human progress, as well as building trust, driving innovation, and operating responsibly.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2"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Dell Technologies works to ensure that we and our suppliers manufacture our products responsibly. We seek to monitor factories’ adherence to the Responsible Business Alliance (“RBA”) Code of Conduct using third-party audits. Our specialists work closely with suppliers to help identify the root causes of any concerns identified during audits and drive improvement. To proactively address risks, we provide resources to suppliers for skills building in areas such as forced labor and health and safety. By systematically assessing risks and adverse impacts, engaging directly with suppliers, and building workers’ capabilities in our supply chain, we strive for accountability, transparency, and continuous improvement for ourselves and our business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about our supply chain sustainability progress is available on our website.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Human Rights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Dell Technologies, upholding and advancing respect for the fundamental human rights of all people is core to our business strategy, purpose, and commitment to drive human progress and create a positive and lasting societal impact. Our policies and practices are guided by the United Nations’ Guiding Principles on Business and Human Rights and the Organisation for Economic Co-operation and Development’s Guidelines for Multinational Enterprises on Responsible Business Conduct. We endeavor to ensure that we are not complicit in human rights violations, and we hold our suppliers and other business partners to this same standard. We believe in winning with integrity, and we use training and technology to assist our team members in applying the principles of integrity and compliance as part of everyday business transactions, activities, and decisions.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holding company that conducts our operations through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mailing address of our principal executive offices is One Dell Way, Round Rock, Texas 78682. Our telephone number is 1-800-289-3355.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website address is www.dell.com. We make available free of charge through our website our annual report on Form 10-K, quarterly reports on Form 10-Q, and current reports on Form 8-K, and all amendments to those reports, as soon as reasonably practicable after we electronically file such material with, or furnish it to, the SEC. The information on, or accessible through, our website referred to above or any other website we refer to in this report is not part of, and is not incorporated by reference into, this report.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as of March 9, 2026, information about our executive officers, who are appointed by our Board of Directors.</w:t>
      </w:r>
    </w:p>
    <w:tbl>
      <w:tblPr>
        <w:tblW w:w="7088" w:type="dxa"/>
        <w:jc w:val="left"/>
        <w:tblInd w:w="0" w:type="dxa"/>
        <w:tblLayout w:type="fixed"/>
        <w:tblCellMar>
          <w:top w:w="28" w:type="dxa"/>
          <w:left w:w="28" w:type="dxa"/>
          <w:bottom w:w="28" w:type="dxa"/>
          <w:right w:w="28" w:type="dxa"/>
        </w:tblCellMar>
      </w:tblPr>
      <w:tblGrid>
        <w:gridCol w:w="831"/>
        <w:gridCol w:w="729"/>
        <w:gridCol w:w="734"/>
        <w:gridCol w:w="109"/>
        <w:gridCol w:w="109"/>
        <w:gridCol w:w="109"/>
        <w:gridCol w:w="145"/>
        <w:gridCol w:w="145"/>
        <w:gridCol w:w="146"/>
        <w:gridCol w:w="109"/>
        <w:gridCol w:w="109"/>
        <w:gridCol w:w="109"/>
        <w:gridCol w:w="1081"/>
        <w:gridCol w:w="1081"/>
        <w:gridCol w:w="1542"/>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Dell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Clarke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Chairman and Chief Operating Officer </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Kennedy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Rothberg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D. Saavedra,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Human Resources Officer</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F. Scannell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Customer Officer</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Geraldine Tunnell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Marketing Officer</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Trizzino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Global Sales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3"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rPr>
        <w:t>Michael S. Dell</w:t>
      </w:r>
      <w:r>
        <w:rPr>
          <w:color w:val="000000"/>
        </w:rPr>
        <w:t xml:space="preserve"> — </w:t>
      </w:r>
      <w:r>
        <w:rPr>
          <w:rFonts w:ascii="Times New Roman;serif" w:hAnsi="Times New Roman;serif"/>
          <w:b w:val="false"/>
          <w:color w:val="000000"/>
          <w:sz w:val="20"/>
        </w:rPr>
        <w:t>Mr. Dell serves as Chairman of the Board and Chief Executive Officer of Dell Technologies. Mr. Dell served as Chief Executive Officer of Dell Inc. (“Dell”), a wholly-owned subsidiary of Dell Technologies, from 1984 until July 2004 and resumed that role in January 2007. In 1998, Mr. Dell formed MSD Capital, L.P., now DFO Management, LLC, a private investment firm, that exclusively manages the capital for the Dell family. In 1999, he established his family foundation, the Michael &amp; Susan Dell Foundation, with the mission of building pathways that change lives throughout the world. Mr. Dell is an honorary member of the Foundation Board of the World Economic Forum and is an executive committee member of the International Business Council. He serves as a member of the Technology CEO Council and is a member of the Business Roundtable. He also serves on the advisory board of Tsinghua University’s School of Economics and Management in Beijing, China, and on the governing board of the Indian School of Business in Hyderabad, India. Mr. Dell is chairman of the BDT &amp; MSD Advisory Board. In June 2014, Mr. Dell was named the United Nations Foundation’s first Global Advocate for Entrepreneurship. Mr. Dell served as Non-Executive Chairman of SecureWorks Corp., formerly a public majority-owned subsidiary of Dell Technologies and a global provider of intelligence-driven information security solutions, from December 2015 until it was acquired by Sophos Inc. in February 2025 and as Chairman of the Board of Directors of VMware, Inc., a cloud infrastructure and digital workspace technology company that was formerly a public majority-owned subsidiary of Dell Technologies, from September 2016 until it was acquired by Broadcom Inc. in November 2023.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Jeffrey W. Clarke</w:t>
      </w:r>
      <w:r>
        <w:rPr>
          <w:color w:val="000000"/>
        </w:rPr>
        <w:t xml:space="preserve"> — </w:t>
      </w:r>
      <w:r>
        <w:rPr>
          <w:rFonts w:ascii="Times New Roman;serif" w:hAnsi="Times New Roman;serif"/>
          <w:b w:val="false"/>
          <w:color w:val="000000"/>
          <w:sz w:val="20"/>
        </w:rPr>
        <w:t>Mr. Clarke serves as Vice Chairman and Chief Operating Officer of Dell Technologies, responsible for running day-to-day business operations, shaping Dell Technologies’ strategic agenda, and setting priorities across the Dell Technologies executive leadership team. Mr. Clarke directs the Infrastructure Solutions Group and the Client Solutions Group and manages Global Operations, including manufacturing, procurement, and supply chain. He is also responsible for setting the long-term strategy and leads planning for emerging technology areas such as Cloud, Edge, Telecom, and as-a-Service. Mr. Clarke served as Chief Operating Officer from December 2019 to August 2021 before resuming that role in August 2023 and as Co-Chief Operating Officer from August 2021 until August 2023, and has served as Vice Chairman since September 2017, before which he served as Vice Chairman and President, Operations and Client Solutions with Dell Technologies and, previously, Dell, since January 2009.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served in a variety of other engineering and management roles. Before joining Dell, Mr. Clarke served as a reliability and product engineer at Motorola, Inc, a global technology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David Kennedy</w:t>
      </w:r>
      <w:r>
        <w:rPr>
          <w:color w:val="000000"/>
        </w:rPr>
        <w:t xml:space="preserve"> — </w:t>
      </w:r>
      <w:r>
        <w:rPr>
          <w:rFonts w:ascii="Times New Roman;serif" w:hAnsi="Times New Roman;serif"/>
          <w:b w:val="false"/>
          <w:color w:val="000000"/>
          <w:sz w:val="20"/>
        </w:rPr>
        <w:t xml:space="preserve">Mr. Kennedy serves as Chief Financial Officer of Dell Technologies. In this role, in which he has served since September 2025, Mr. Kennedy oversees all aspects of Dell Technologies’ finance organization, including accounting, financial planning and analysis, tax, treasury and investor relations, as well as corporate development, global business operations and Dell Financial Services. He also partners closely with the offices of the CEO and COO on Dell Technologies’ long-term strategy to create value for Dell Technologies’ stakeholders. Mr. Kennedy served as Senior Vice President, Global Business Operations, Finance from February 2023 to September 2025 and, prior to that service, as Senior Vice President and Chief Operating Officer for Global Sales from February 2020 to February 2023, and as Senior Vice President and Chief Financial Officer of Dell Technologies’ Client Solutions Group from April 2017 to February 2020. He joined Dell in 1998 and has served in various leadership roles spanning key areas. </w:t>
      </w:r>
    </w:p>
    <w:p>
      <w:pPr>
        <w:pStyle w:val="TextBody"/>
        <w:bidi w:val="0"/>
        <w:spacing w:before="0" w:after="0"/>
        <w:ind w:left="0" w:right="0" w:firstLine="495"/>
        <w:jc w:val="left"/>
        <w:rPr/>
      </w:pPr>
      <w:r>
        <w:rPr/>
      </w:r>
    </w:p>
    <w:p>
      <w:pPr>
        <w:pStyle w:val="TextBody"/>
        <w:bidi w:val="0"/>
        <w:spacing w:lineRule="auto" w:line="288" w:before="0" w:after="0"/>
        <w:jc w:val="left"/>
        <w:rPr/>
      </w:pPr>
      <w:r>
        <w:rPr>
          <w:rFonts w:ascii="Times New Roman;serif" w:hAnsi="Times New Roman;serif"/>
          <w:b w:val="false"/>
          <w:i/>
          <w:color w:val="000000"/>
          <w:sz w:val="20"/>
        </w:rPr>
        <w:t>Richard J. Rothberg</w:t>
      </w:r>
      <w:r>
        <w:rPr>
          <w:color w:val="000000"/>
        </w:rPr>
        <w:t xml:space="preserve"> — </w:t>
      </w:r>
      <w:r>
        <w:rPr>
          <w:rFonts w:ascii="Times New Roman;serif" w:hAnsi="Times New Roman;serif"/>
          <w:b w:val="false"/>
          <w:color w:val="000000"/>
          <w:sz w:val="20"/>
        </w:rPr>
        <w:t>Mr. Rothberg serves as General Counsel and Secretary for Dell Technologies. In this role, in which he has served since 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served nearly eight years at Caterpillar Inc., an equipment manufacturing company, in senior legal roles in Nashville, Tennessee and Geneva, Switzerland. Mr. Rothberg was also an attorney for IBM Credit Corporation and at Rogers &amp; Wells, a law firm.</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4"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rPr>
        <w:t>Jennifer D. Saavedra, Ph.D.</w:t>
      </w:r>
      <w:r>
        <w:rPr>
          <w:color w:val="000000"/>
        </w:rPr>
        <w:t xml:space="preserve"> — </w:t>
      </w:r>
      <w:r>
        <w:rPr>
          <w:rFonts w:ascii="Times New Roman;serif" w:hAnsi="Times New Roman;serif"/>
          <w:b w:val="false"/>
          <w:color w:val="000000"/>
          <w:sz w:val="20"/>
        </w:rPr>
        <w:t>Dr. Saavedra is Dell Technologies' Chief Human Resources Officer. In this role, Dr. Saavedra leads Dell’s Global Human Resources and Facilities function and accelerates the performance and growth of Dell Technologies through its culture and its people. Dr. Saavedra previously served as Dell Technologies’ Senior Vice President, Human Resources – Sales from December 2019 to March 2021 and as its Senior Vice President, Human Resources – Talent and Culture from November 2017 to December 2019. Dr. Saavedra joined Dell in 2005 and has served in many key leadership roles throughout the Human Resources organization, including talent development and culture, business partner, strategy, and learning and development. Before joining Dell in 2005, Dr. Saavedra served as a Human Resources consultant to private and public companies.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William F. Scannell</w:t>
      </w:r>
      <w:r>
        <w:rPr>
          <w:color w:val="000000"/>
        </w:rPr>
        <w:t xml:space="preserve"> — </w:t>
      </w:r>
      <w:r>
        <w:rPr>
          <w:rFonts w:ascii="Times New Roman;serif" w:hAnsi="Times New Roman;serif"/>
          <w:b w:val="false"/>
          <w:color w:val="000000"/>
          <w:sz w:val="20"/>
        </w:rPr>
        <w:t xml:space="preserve">Mr. Scannell serves as President and Chief Customer Officer at Dell Technologies. In this role, which he has held since January 2026, Mr. Scannell engages with customers and partners around the world. He brings extensive experience to guide customer strategy, advance high-value initiatives and deliver meaningful value. Mr. Scannell previously served as President, Global Sales and Customer Operations from February 2020 to January 2026, where he was responsible for go-to-market strategy and driving global growth by delivering Dell Technologies’ solutions to organizations in established and new markets globally. Mr. Scannell previously served as President, Global Enterprise Sales and Customer Operations for Dell Technologies from September 2017 to January 2020, leading the sales teams to deliver innovative and practical technology solutions to large enterprises and public institutions worldwide. Prior to joining Dell Technologies, Mr. Scannell served as President, Global Sales and Customer Operations at EMC Corporation (“EMC”), a global technology company, until EMC was acquired by Dell Technologies in September 2016. In this role, to which he was appointed in July 2012 after overseeing customer operations in the Americas and EMEA,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 Mr. Scannell serves on the board of directors of Snowflake Inc., a company that provides a cloud-based data platform, and on the advisory board of IonQ, Inc., a quantum computing company.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Geraldine Tunnell</w:t>
      </w:r>
      <w:r>
        <w:rPr>
          <w:color w:val="000000"/>
        </w:rPr>
        <w:t xml:space="preserve"> — </w:t>
      </w:r>
      <w:r>
        <w:rPr>
          <w:rFonts w:ascii="Times New Roman;serif" w:hAnsi="Times New Roman;serif"/>
          <w:b w:val="false"/>
          <w:color w:val="000000"/>
          <w:sz w:val="20"/>
        </w:rPr>
        <w:t xml:space="preserve">Ms. Tunnell serves as the Chief Marketing Officer for Dell Technologies. In this role, which she has held since March 2024, she is directly responsible for the global marketing organization strategy and all aspects of Dell Technologies’ marketing efforts, which include brand, creative, online and media, demand intelligence, product and field marketing, and corporate communications. Since joining Dell in 2005, Ms. Tunnell has been instrumental in driving transformation and customer-focused strategies across all of Dell Technologies’ businesses and product lines in various marketing capacities. Ms. Tunnell previously served as Senior Vice President of Global Field and Partner Marketing from 2018 to March 2024. Prior to joining Dell, Ms. Tunnell was a management consultant at CapGemini Ernst &amp; Young, a multinational IT services and consulting company, and worked in Silicon Valley at a start-up enterprise focused on supply chain management.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Peter Trizzino</w:t>
      </w:r>
      <w:r>
        <w:rPr>
          <w:color w:val="000000"/>
        </w:rPr>
        <w:t xml:space="preserve"> — </w:t>
      </w:r>
      <w:r>
        <w:rPr>
          <w:rFonts w:ascii="Times New Roman;serif" w:hAnsi="Times New Roman;serif"/>
          <w:b w:val="false"/>
          <w:color w:val="000000"/>
          <w:sz w:val="20"/>
        </w:rPr>
        <w:t>Mr. Trizzino serves as President, Global Sales at Dell Technologies. In this role, which he has held since January 2026, he oversees Sales, Presales, and Dell’s global partner ecosystem to drive revenue growth and customer outcomes worldwide. Mr. Trizzino previously served as President of Global Sales Modernization &amp; GTM from August 2025 to January 2026, where he championed new ways of working across Dell’s sales organization by simplifying, standardizing and automating end-to-end sales motions to increase speed and customer engagement. He also served as President, NA Sales, from February 2023 to August 2025, as President, DT Select from February 2021 to January 2023, and as Senior Vice President, DT Select from June 2020 to January 2021. Mr. Trizzino joined EMC in 2000, where he held various positions, including sales and leadership roles. Before joining Dell, he began his career at Xerox Corporation, a workplace technology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5"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1A — RISK FACTORS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operating results, financial condition, and prospects are subject to a variety of significant risks, many of which are beyond our control. The following is a description of material risk factors that may cause our actual results in future periods to differ substantially from those we currently expect or seek. The risks described below are not the only risks we face. There are additional risks and uncertainties not currently known to us or that we currently deem to be immaterial that also may materially adversely affect our business, operating results, financial condition, or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Risks Relating to Our Business and Our Industry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Adverse global economic conditions may harm our business and result in reduced net revenue and profitability.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global company with customers operating in a broad range of businesses and industries, our performance is affected by global and regional economic conditions and the demand for technology products and services in international markets. Adverse economic conditions may negatively affect customer demand, and could result in postponed or decreased spending amid customer concerns over elevated inflation and interest rates or slowing demand for our products, reduced asset values, volatile energy costs, the availability and cost of credit, and the stability of financial institutions, financial markets, businesses, local and state governments, and sovereign nations.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Factors contributing to weak or unstable global or regional economic conditions, including those attributable to geopolitical volatility associated with terrorism, military conflicts (including the Iran conflict), and other events, extreme weather (such as wildfires or flooding), international trade protection measures and disputes, or public health issues, also could harm our business by contributing to product shortages or delays, supply chain disruptions, insolvency of key suppliers, customers and counterparties, increased product costs and associated price increases, reduced global sales, and other adverse effects on our operations. Such effects in the past have had, and in future periods could have, a negative impact on our net revenue and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policies and disputes could result in increased tariffs and other trade restrictions and protectionist measures, which could increase our manufacturing costs, increase prices of and reduce demand for our products, limit our ability to sell to certain customers, hamper our procurement of components or raw materials, or impede or slow the movement of our goods across borders.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Competitive pressures may adversely affect our industry unit share position, revenue, and profitability.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an industry in which there are rapid technological advances in hardware, software, and services offerings, including AI, cloud, and security-related offerings. Our ability to respond to such advances and to develop new or improved offerings is critical to our continued success. We face aggressive competition from a variety of competitors in all areas of our business, including companies that specialize in one or more of our product or service lines. Our competitors may provide offerings that are less costly, perform better, or include additional features. Further, our offering portfolios may quickly become outdated or our market share may rapidly erode. Our efforts to balance the mix of products and services to optimize profitability, liquidity, and growth may put pressure on our industry position. If we do not successfully adapt to industry developments and changing demand, and evolve our business to keep pace with the demands of current and prospective customers, we may be unable to develop and maintain a competitive advantage, which would adversely affect our unit share position, revenue, and profitability.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companies with which we have strategic alliances may become competitors in other product areas, or current competitors may enter into new strategic relationships with new or existing competitors, all of which may further increase competitive pressures.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6"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The operating results of our business units may be adversely affected if we fail to successfully execute our strategy and related initiatives.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pursue a strategy of providing broad and innovative technology solutions for the data and artificial intelligence era and being at the forefront of AI, software-defined, and cloud native infrastructure solutions. To successfully execute our strategy, we must continue to improve cost structures, optimize sales coverage, improve channel execution, manage the increasingly difficult tasks of inventory management and demand forecasting, and strengthen our capabilities in our areas of strategic focus, while continuing to achieve product innovation that builds on our strategic capabilities in areas such as edge computing, hybrid cloud, artificial intelligence, data center networking, network security, and high-performance computing. The operating results of our business units may be adversely affected if we fail to successfully execute our strategy and related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organized into two business units consisting of ISG and CSG that are each important components of our strategy. ISG offers a portfolio of storage, server, and networking solutions, including AI-optimized technologies, and faces intense competition from existing on-premises competitors and increasing competitive pressures from Infrastructure-as-a-Service providers. Accordingly, we expect we will be required to make additional investments to address such competitive pressures and drive future growth. Such pressures could result in the erosion of revenue and operating income and negatively affect ISG’s results of operations. To address industry trends, we have developed and continue to develop traditional, converged, and hyper-converged infrastructure solutions as well as AI-optimized products and solutions. ISG’s results of operations could be adversely affected if such products and solutions are not adopted by our customers or potential customers, or if customers move rapidly to adopt public cloud solutions.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CSG largely relies on sales of notebooks, desktops, and workstations. Revenue from CSG absorbs our overhead costs and provides for scaled procurement. CSG faces risks and uncertainties from fundamental changes in the personal computer market, including a decline in worldwide revenues for notebooks, desktops, and workstations, and lower shipment forecasts for these products due to a general lengthening of the replacement cycle. Reduced demand for PC products or a significant increase in competition could cause our operating income to fluctuate and adversely impact CSG’s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relationships with our product and component vendors could harm our business by adversely affecting product availability, delivery, reliability, and cost.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reliance on vendors subjects us to a greater risk of shortages and reduced control over delivery schedules of components and products, as well as a greater risk of increases in product and component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obtain many products and all of our components from third-party vendors, many of which are located outside of the United States. In addition, significant portions of our products are assembled by contract manufacturers, primarily in locations in Asia. A significant concentration of such outsourced manufacturing is performed by only a few contract manufacturers, often in single locations. We sell components to these contract manufacturers and generate large non-trade accounts receivables, an arrangement that would present a risk of uncollectibility if the financial condition of a contract manufacturer should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experience additional supply shortages and price increases caused by changes to raw material availability, increased demand, manufacturing capacity, labor shortages, public health issues, tariffs, trade disputes and protectionist measures, extreme weather events or effects of climate change, and significant changes in the financial condition of our suppliers. Because we generally maintain minimal levels of component and product inventories, a disruption in component or product availability could harm our ability to fill customer orders on a timely basis and at an acceptable price. The impact of supply constraints on our operations may be more acute during periods of rapid growth in demand for new products and services, such as the current demand for AI-optimized solutions. We may receive defective parts and products from vendors, which could require the replacement of such parts and products and expose us to reputational harm.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profitability is affected by our ability to achieve favorable pricing from vendors and contract manufacturers, including through negotiations for vendor rebates, marketing funds, and other vendor funding received in the normal course of business. Because these supplier negotiations are continual and reflect the evolving competitive environment, the variability in timing and amount of incremental vendor discounts and rebates affects our profitability. The vendor programs change periodically, and changes in our business may result in increased reliance on vendors with less favorable pricing terms, potentially resulting in adverse profitability trends if we cannot adjust pricing or variable costs. An inability to establish a cost and product advantage, or determine alternative means to deliver value to customers, may adversely affect our revenue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7"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use of single-source or limited-source suppliers may adversely affect the availability or timely delivery of some critical products or components.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we may not be able to replace the functionality provided by third-party software currently offered with our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our operating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nature of the demand for AI solutions may have adverse effects on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we expect the buyer base for our AI solutions to continue to expand, to date our AI solutions have been purchased primarily by a small number of larger customers and cloud service providers. If we are not successful in continuing to expand sales to a broader base of customers, our ability to maintain growth in this area may be limited. Sales of AI to large customers may also cause fluctuations in our results of operations, as such large orders may occur in some periods and not others and are generally subject to intense competition and pricing pressure, which can have an impact on our gross margins and results of operations. Larger orders may also require greater commitments of working capital, such as for purchases of key components, which could adversely affect our cash flow and expose us to the risk of holding excess and obsolete inventory due to delays or cancellations. These transactions may also involve larger amounts of credit or longer payment terms than have been typical for our business, increasing our risks in the event customers do not pay or make timely payment, particularly where our payment terms with major suppliers of underlying components differ from the payment terms of our customers. In addition, the accelerated rate of innovation of components from our suppliers may result in higher defects or failure of our offerings to perform, which could cause us to incur increased warranty costs, inventory provisions or impairments and could impact future sales.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associated with management of our AI solutions and use of AI in our internal functions and operations could result in reputational harm, legal liability, and other adverse effects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use of AI in our products, services, and internal processes presents ethical and legal risks to our business, financial condition, and results of operations. If our use of AI becomes controversial, we may experience loss of user trust, as well as brand or reputational harm, competitive injury, or legal liability. The use of AI technologies also could expose us to an increased risk of cybersecurity threats and incidents and claims or other adverse effects from infringements or violations of intellectual property rights, including claims related to AI technologies considered to have similarities to other AI technologies. Our use of such technologies could increase the risk of exposure of our or other parties’ proprietary confidential information, or other confidential or sensitive information, to unauthorized recipients, including inadvertent disclosure of confidential or sensitive information into publicly available third-party training data, and may affect our ability to realize the benefit of, or adequately maintain, protect and enforce, our intellectual property or confidential information. Such risks related to the use of AI could, whether directly or indirectly, harm our results of operations, competitive position, and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AI is the subject of evolving review by various domestic and international governmental and regulatory agencies, and laws, rules, directives and regulations governing the use of AI are rapidly proliferating and evolving. We may not always be able to anticipate how to respond to these legal frameworks for AI use and we may have to expend resources to adjust or audit our products, services, and internal use in certain jurisdictions, especially if the legal frameworks are not consistent across jurisdictions. In particular, use of personal data in foundational models and intellectual property ownership and license rights, including copyright, of generative and other AI output, have not been fully interpreted by courts or regulations. Any failure or perceived failure by us to comply with laws, rules, directives, and regulations governing the use of AI could have an adverse impact on our business, including by impairing our ability to claim intellectual property ownership and license rights on content or source code that we create using AI.</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8"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Failure to deliver high-quality products, software, and services, or to manage solutions and product and services transitions in an effective manner, could reduce demand and negatively affect the profitability of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must identify and address quality issues associated with our products, software, and services, many of which include third-party components. Although quality testing is performed regularly to detect quality problems and implement required solutions, failure to identify and correct significant product quality issues before the sale or shipment of such products to customers could result in lower sales, increased warranty or replacement expenses, and reduced customer confidence, which could harm our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continuing improvements in technology, and the development of new technology, result in the frequent introduction of new solutions, products, and services, improvements in product performance characteristics, and short product life cycles. If we fail to effectively manage transitions to new solutions and offerings, the products and services associated with such offerings and customer demand for our solutions, products, and services could diminish, and our profitability could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frequently source new products and transition existing products through our contract manufacturers and manufacturing outsourcing relationships to generate cost efficiencies and better serve our customers. The success of product transitions depends on various factors that include the availability of sufficient quantities of components at an acceptable cost. Product transitions also present execution uncertainties and risks, including the risk that new or upgraded products may have quality problems or other defects.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Failure to successfully implement our cost efficiency plans may negatively affect our future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make significant changes to modernize the way we work and make decisions, improve business outcomes and the customer experience, and reduce costs by leveraging new technology and optimizing business processes. We are pursuing disciplined cost management in coordination with our ongoing business modernization initiatives and will continue to take certain measures to reduce costs, including employee reorganizations, limitation of external hiring, and other actions to align our investments with our strategic priorities and customer needs. As a result of these actions, we may experience a loss of continuity, loss of accumulated knowledge, diminished employee productivity, disruptions to our operations, and operational inefficiencies during transitional periods. These actions could also negatively impact employee retention. We may experience delays or unanticipated costs in implementing our cost efficiency plans, which could prevent the timely or full achievement of expected cost efficiencies and adversely affect our competitive position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Security incidents, including cyber-attacks, could disrupt our operations and result in the compromise of networks, systems, and assets, and the breach or loss of proprietary, personal, or confidential information of our company or of our workforce, customers, partners, or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routinely receive, collect, manage, store, transmit, and process large amounts of proprietary information and confidential data, including personally identifiable and other sensitive information, relating to our operations, products, partners, vendors, and customers. We face numerous sophisticated and evolving cyber threats of significant scale, volume, severity, and complexity, including threats specifically designed for or directly targeted at us, making it increasingly difficult to defend against security incidents successfully or to implement adequate preventative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may not always successfully manage or mitigate the effects of these risks. Future cyber-attacks or incidents, such as some of those we have experienced in the past, could persist undetected in our environments for a period of time. Despite our cybersecurity governance and investment in controls and security measures, threat actors, including nation states and state-sponsored organizations, pose a significant risk of penetrating or bypassing our security defenses, including by utilizing insider threat tactics, deploying AI tools against our defenses, breaching our information technology systems, and misappropriating or compromising confidential and proprietary information of our company, partners, vendors, or customers, causing system disruptions and shutdowns, introducing ransomware, malware, or vulnerabilities into our products, systems, and networks or those of our customers, partners or vendors, or accessing systems and networks of our customers, partners or vendors through connectivity to or credentials taken from our network. In some cases, these incidents, which are common in our industry for companies of our size, have resulted in successful attacks on our IT environments.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19" name="Frame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targeted by criminal and other threat actors that conduct cyber-attacks of our systems and networks on an ongoing basis. We have experienced cyber-attacks that leveraged compromised credentials of our partners, vendors, employees, and customers to gain unauthorized access to Dell Technologies, partner, and vendor systems and confidential information, including information about our customers, employees, and partners. These incidents have caused, and may in the future cause, disruption to parts of our business operations, and to the environments and operations of our partners, vendors, and customers, and such incidents could result in regulatory, investigative, recovery, remediation, contractual, and litigation expenses. We anticipate that our systems, networks, and employees will continue to be targeted by criminal and other threat actors with increasing frequency and potential harm. We expect attacks by nation state actors and their agents to intensify during periods of geopolitical conflict. We also expect threat tactics leveraging AI to increase as AI technology availability and capability expand.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costs to address cybersecurity risks, both before and after a security incident, could be significant, regardless of whether incidents result from an attack on us directly, on customers we service, or on partners or third-party vendors upon which we rely. The costs associated with cybersecurity tools and infrastructure and competition for scarce cybersecurity and IT resources have at times limited, and in the future may limit, our ability to identify, eliminate, or remediate cybersecurity or other security vulnerabilities or problems or enact changes to minimize the attack surface of our network.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customers, partners, and vendors continue to experience security incidents of varying severity and attack methods. These parties may possess or transmit our proprietary information and confidential data, including personal data, credentials, tokens, access keys, and other sensitive information, which may be exfiltrated if they are affected by a security incident. Targeted cyber-attacks or those that result from a security incident directed at a partner or third-party vendor create a risk of compromise to our internal systems, products, services, and offerings, as well as the systems of our customers, which could result in interruptions, delays, or cessation of service that could disrupt business operations for us, our partners and vendors, and our customers. Our proactive measures and remediation efforts may not always be successful or timely. In addition, compromises of our security measures, including through the use and the unapproved dissemination of proprietary information or sensitive or confidential data about us, our customers, partners or other third parties, could impair our intellectual property rights and expose us, our customers, partners, or such other third parties to a risk of loss or misuse of such information or data. Any such incidents could subject us to government investigations and regulatory enforcement actions, litigation, potential liability, and damage to our brand and reputation, or otherwise harm our business and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Hardware, software, and applications that we produce or procure from third parties may contain defects in design or manufacture or other deficiencies, including security vulnerabilities that could interfere with the operation or security of our products, services, and offerings. In the event of a security vulnerability or other flaws in third-party components or software code, we may have to rely on multiple third parties to mitigate vulnerabilities. The mitigation techniques they deploy may be ineffective or result in adverse performance, system instability, or data loss, and may not always be available, or available on a timely basis. Further, our use of AI technologies, including generative and agentic AI, may make us susceptible to unanticipated security threats from adversaries as we incorporate such technologies into our internal systems, customer-facing services and products, while our understanding of AI-related security risks and protection methods continue to develop.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actual or perceived security vulnerabilities in our products or services, or those of third-party products we sell or in the open-source software or AI models we utilize, could lead to loss of existing or potential customers, and may impede our sales, manufacturing, distribution, outsourcing services, information technology solutions, and other critical functions and offerings. Failure to comply with internal security policies and standards, including secure development lifecycle practices, or to prevent or promptly mitigate security vulnerabilities in our products and offerings may adversely affect our brand and reputation, impact our ability to sell products in certain jurisdictions, and subject us to government investigations, regulatory enforcement actions, litigation, and potential liability resulting from our inability to fulfill our contractual obligations to our customers and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global enterprise, we face compliance risks under a significant and increasing number of laws and regulations in the United States, the European Union, China, and numerous other jurisdictions relating to cybersecurity, product security, software supply chain security and AI, and the collection, use, residency, transfer, and protection of data. Such laws and regulations continue to evolve, may be applied differently in different jurisdictions, and could result in increased costs in the event of a significant disruption of our operations, data or privacy breach, loss, or other compromise of proprietary or confidential information as a result of a cyber-attack or insider activity. It is likely that in some cases, we will fail to comply with such requirements, and any such non-compliance could adversely affect our ability to conduct business or sell our products or offerings in a specific jurisdiction or result in fines or penalties that could negatively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0"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Our ability to generate substantial non-U.S. net revenue is subject to additional risks and uncertainties.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Sales outside the United States accounted for approximately 45% of our consolidated net revenue for Fiscal 2026. Our future growth rates and success are substantially dependent on the continued growth of our business outside of the United States. Our international operations face many risks and uncertainties, including varied local economic and labor conditions; political instability; public health issues; changes in the U.S. and international regulatory environments; the impacts of trade protection measures, including increases in tariffs and trade barriers, and other changes in international trade arrangements that could adversely affect our ability to conduct business in non-U.S. markets; changes in tax laws; potential theft or other compromise, and limited or unfavorable protection, of our technology, data, or intellectual property; copyright levies; and volatility in foreign currency exchange rates. We could incur additional operating costs, or sustain supply chain disruptions, due to any such changes. Any of these factors could negatively affect our international business results and growth prospects.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Our profitability may be adversely affected by changes in the mix of products and services, customers, or geographic sales, and by seasonal sales trends.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profitability for any period may be adversely affected by changes in the mix of products and services, customers, or geographic markets reflected in sales for that period, and by seasonal trends. Profit margins vary among products, services, customers, and geographic markets. In addition, parts of our business are subject to seasonal sales trends. Within ISG, our storage sales are typically stronger in our fourth fiscal quarter. Our sales within the Americas are typically stronger in the second and fourth fiscal quarters, while our sales in EMEA are typically stronger during the fourth fiscal quarter. Seasonality in our business may change over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We may lose revenue opportunities and experience gross margin pressure if sales channel participants fail to perform as expected.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value-added resellers, system integrators, distributors, and retailers as sales channels to complement our direct sales organization. Our future operating results depend on the performance of sales channel participants and on our success in maintaining and developing these relationships. Our revenue and gross margins could be negatively affected if the financial condition or operations of channel participants weaken as a result of adverse economic conditions or other business challenges, or if uncertainty regarding the demand for our products causes channel participants to reduce their orders for these products. Further, channel participants may consider our direct sales initiatives to conflict with their business interests, which could lead them to reduce their investment in the distribution and sale of such products, or to cease all sales of our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Strategic acquisitions and dispositions we pursue may require us to incur costs and expose us to liabilities that could harm our business and adversely affect our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make additional strategic acquisitions of other companies as part of our growth strategy. These transactions may fail to generate a financial return sufficient to offset acquisition costs. We could experience unforeseen operating difficulties in integrating the businesses, technologies, services, products, personnel, or operations of acquired companies, especially if we are unable to retain the key personnel of an acquired company. Acquisitions may result in a delay or reduction of sales because of customer uncertainty and may disrupt our existing business by diverting resources and management attention. Acquisitions also may negatively affect our relationships with strategic partners if they view the transactions as bringing us into competition. To complete an acquisition, we may be required to use substantial amounts of cash, engage in equity or debt financings, or enter into credit agreements to secure additional funds. Such debt financings could involve financial or restrictive covenants that might limit our capital-raising activities and operating flexibility. Further, an acquisition may expose us to unexpected liabilities, require the incurrence of charges and substantial indebtedness or other liabilities, have adverse tax consequences, result in acquired in-process research and development expenses, or require the amortization, write-down, or impairment of amounts related to deferred compensation, goodwill, and other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periodically divest businesses, including businesses that are no longer a part of our strategic plan. These divestitures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which could adversely affect our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1"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Our financial performance is dependent on access to the capital markets by us or some of our customers.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access debt and capital sources to provide financing for customers and to obtain funds for general corporate purposes, including working capital, acquisitions, capital expenditures, and funding of customer receivables. The debt and capital markets may experience extreme volatility and disruption from time to time, which could result in higher credit spreads in such markets and higher funding costs for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maintain customer financing relationships with some companies that rely on access to the debt and capital markets to meet significant funding needs. Any inability of these companies to access such markets could compel us to self-fund transactions with such companies or to forgo customer financing opportunities, which could harm our financial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Deterioration in our business performance, a credit rating downgrade, volatility in the capital markets, changes in financial services regulation, or adverse changes in the economy could lead to reductions in the availability of debt financing. In addition, these events could limit our ability to continue asset securitizations or other forms of financing from debt or capital sources, reduce the amount of financing receivables that we originate, or negatively affect the costs or terms on which we may be able to obtain capital. Any of these developments could adversely affect our net revenue, profitability,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Weak economic conditions, changing customer mix, and additional regulation could harm our financial services activities.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services activities, conducted primarily through Dell Financial Services, can be negatively affected by adverse economic conditions that contribute to loan delinquencies and defaults. An increase in loan delinquencies and defaults would result in greater net credit losses, which may require us to increase our reserves for customer receivables.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implementation of new financial services regulation, or the application of existing financial services regulation, in countries where we conduct our financial services and related supporting activities, could unfavorably affect the profitability and cash flows of our consumer financing activities.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We are subject to counterparty default risks.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numerous arrangements with financial institutions that include cash and investment deposits, interest rate swap contracts, foreign currency option contracts, and forward contracts. As a result, we are subject to the risk that the counterparty to one or more of these arrangements will default, either voluntarily or involuntarily, on its performance under the terms of the arrangement. In times of market distress, a counterparty may default rapidly and without notice, and we may be unable to take action to cover our exposure, either because of lack of contractual ability to do so or because market conditions make it difficult to take effective action. If one of our counterparties becomes insolvent or files for bankruptcy, our ability to eventually recover any losses suffered as a result of that counterparty’s default may be limited by the impaired liquidity of the counterparty or the applicable legal regime governing the bankruptcy proceeding. In the event of such a default, we could incur significant losses, which could harm our business and adversely affect our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If the value of our goodwill or intangible assets is materially impaired, our results of operations and financial condition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30, 2026, our goodwill and intangible assets, net had a combined carrying value of $24.1 billion, representing approximately 24% of our total consolidated assets. We periodically evaluate goodwill and intangible assets, net to determine whether all or a portion of their carrying values may be impaired, in which case an impairment charge may be necessary. The value of goodwill may be materially and adversely affected if businesses that we acquire perform in a manner that is inconsistent with our assumptions at the time of acquisition. In addition, from time to time we divest businesses, and any such divestiture could result in significant asset impairment and disposition charges, including those related to goodwill and intangible assets, net. Any future evaluations resulting in an impairment of goodwill or intangible assets, net could materially and adversely affect our results of operations and financial condition in the period in which the impairment is recognized.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2"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performance and business could suffer if our contracts for ISG services and solutions fail to produce revenue at expected levels due to exercise of customer rights under the contracts, inaccurate estimation of costs, or customer defaults in payment.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offer our ISG customers a range of consumption models for our services and solutions, including utility, subscription, as-a-Service, leases, loans, and immediate pay models, designed to match customers’ consumption preferences. These solutions generally are multiyear agreements that typically result in recurring revenue streams over the term of the arrangement. Our financial results and growth depend, in part, on customers continuing to purchase our services and solutions over the contract life on the agreed terms. The contracts allow customers to take actions that may adversely affect our recurring revenue and profitability. These actions may include terminating a contract if our performance does not meet specified services levels, requesting rate reductions, reducing the use of our services and solutions or terminating a contract early upon payment of agreed fees. In addition, we estimate the costs of delivering the services and solutions at the outset of the contract. If we fail to estimate such costs accurately and actual costs significantly exceed estimates, we may incur losses on the contracts. We also are subject to the risk of loss under the contracts as a result of a default, voluntarily or involuntarily, in payment by the customer, whether because of financial weakness or other reasons.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Loss of government contracts could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with U.S. federal, state, and local governments and with foreign governments represent a significant source of business and are subject to future funding that may affect the extension or termination of programs and to the right of such governments to terminate contracts for convenience or non-appropriation. In addition, there is pressure on governments to reduce spending, both domestically and internationally, notably in recent periods by U.S. federal government agencies. Funding reductions, uncertainties or delays could adversely affect public sector demand for our products and services. In addition, if we violate legal or regulatory requirements, the applicable government could suspend or disbar us as a contractor, which would unfavorably affect our net revenue and profitability.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Our business could suffer if we do not develop and protect our proprietary intellectual property or obtain or protect licenses to intellectual property developed by others on commercially reasonable and competitive terms.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our suppliers are unable to develop or protect desirable technology or obtain technology licenses, we may be prevented from marketing products, may have to market products without desirable features, or may incur substantial costs to redesign products. We also may have to defend or enforce legal actions or pay damages and comply with injunctions in jurisdictions throughout the world if we are found to have violated patents, including standard essential patents, or other intellectual property rights of other parties. Although our suppliers might be contractually obligated to obtain or protect such licenses and indemnify us against related expenses and injunctions, those suppliers could be unable to meet their obligations. We invest in research and development and obtain additional intellectual property through acquisitions, but those activities do not guarantee that we will develop or obtain intellectual property necessary for profitable operations. Costs involved in developing and protecting rights in intellectual property may have a negative impact on our business. In addition, our operating costs could increase because of copyright levies or similar fees by rights holders and collection agencies in European and other countries. New regulations, legislation and executive orders may also create uncertainty for our ability to develop or protect desirable technology or obtain technology licenses.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Infrastructure disruptions could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information technology and manufacturing infrastructure to achieve our business objectives. Natural disasters, manufacturing failures, telecommunications system failures, or defective or improperly installed new or upgraded business management systems could lead to disruptions in this infrastructure. Portions of our IT infrastructure, including those provided by third parties, also may experience interruptions, delays, or cessations of service, or produce errors in connection with systems integration or migration work. Such disruptions may adversely affect our ability to receive or process orders, manufacture and ship products in a timely manner, or otherwise conduct business in the normal course. Further, portions of our business involve the processing, storage, and transmission of data, which also would be negatively affected by such an event. Disruptions in our infrastructure could lead to loss of customers and revenue, particularly during a period of heavy demand for our products and services. We also could incur significant expense in repairing system damage and taking other remedial measures.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6415"/>
                <wp:effectExtent l="0" t="0" r="0" b="0"/>
                <wp:wrapNone/>
                <wp:docPr id="23" name="Frame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Failure to effectively hedge our exposure to fluctuations in foreign currency exchange rates and interest rates could adversely affect our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derivative instruments to hedge our exposure to fluctuations in foreign currency exchange rates and interest rates. Some of these instruments and contracts may involve elements of market and credit risk in excess of the amounts recognized in our financial statements. Global economic events, including trade disputes, economic sanctions and emerging market volatility, and associated uncertainty could cause currencies to fluctuate, which may contribute to variations in our sales of products and services in various jurisdictions. If we are not successful in monitoring our foreign exchange exposures and conducting an effective hedging program, our foreign currency hedging activities may not offset the impact of fluctuations in currency exchange rates on our results of operations and financial position.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Adverse legislative or regulatory tax changes, the expiration of tax holidays or favorable tax rate structures, or unfavorable outcomes in tax audits and other tax compliance matters could result in an increase in our tax expense or our effective income tax rate.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Changes in tax laws could adversely affect our operations and profitability. In recent years, numerous legislative, judicial, and administrative changes have been made to tax laws applicable to us and similar companies. The Organisation for Economic Co-operation and Development (the “OECD”) is continuing discussions regarding fundamental changes in the allocation of profits among tax jurisdictions in which companies do business, as well as the implementation of a global minimum tax, referred to as the “Pillar One” and “Pillar Two” proposals. Many countries, including countries in which we have tax holidays, have enacted or are in the process of enacting laws based on the Pillar Two proposal. Our effective tax rate and cash tax payments could increase in future years as a result of these changes.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our operations are subject to a reduced tax rate under various tax holidays that expire in whole or in part from time to time. Many of these holidays may be extended when certain conditions are met, or may be terminated if certain conditions are not met or as a result of changes in tax legislation. If the tax holidays are not extended, if tax legislation changes, or if we fail to satisfy the conditions of the reduced tax rate, our effective tax rate would be affected. Our effective tax rate also could be impacted if our geographic distribution of earnings changes. In addition, any actions by us to repatriate non-U.S. earnings for which we have not previously provided for U.S. taxes may affect the effective tax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continually under audit in various tax jurisdictions, including the United States. We may not be successful in resolving potential tax claims that arise from these audits. A final determination of tax audits or disputes may differ from what is reflected in our historical income tax provisions or benefits and accruals. An unfavorable outcome in some of these matters could have a material impact on our results of operations, financial position, and cash flows. Further, our provision for income taxes could be adversely affected by changes in the valuation of deferred tax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Our profitability could suffer from declines in fair value or impairment of our portfolio investments.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invest a portion of our available funds in a portfolio consisting of both equity and debt securities of various types and maturities pending the deployment of these funds in our business. Our earnings performance could suffer from declines in fair value or impairment of our investments. Our equity investments consist of strategic investments in both marketable and non-marketable securities. Investments in marketable securities are measured at fair value on a recurring basis. We have elected to apply the measurement alternative for non-marketable securities. Under the alternative, we measure investments without readily determinable fair values at cost, less impairment, adjusted by observable price changes. Our debt securities generally are classified as held to maturity and are recorded in our financial statements at amortized cost.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26415"/>
                <wp:effectExtent l="0" t="0" r="0" b="0"/>
                <wp:wrapNone/>
                <wp:docPr id="24" name="Frame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Unfavorable results of legal proceedings could harm our business and result in substantial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involved in various claims, suits, investigations, and legal proceedings that arise from time to time in the ordinary course of business or otherwise. Additional legal claims or regulatory matters affecting us and our subsidiaries may arise in the future and could involve stockholder, consumer, regulatory, compliance, intellectual property, antitrust, tax, trade, privacy, and other issues on a global basis. Litigation is inherently unpredictable. Regardless of the merits of a claim, litigation may be both time-consuming and disruptive to our business. We could incur judgments or enter into settlements of claims that could adversely affect our operating results or cash flows in a particular period. Even if we are not named a party to a particular suit, we may be subject to indemnification obligations to the named parties, including our directors and executive officers as well as other third parties, that could subject us to liability for damages or other amounts payable as a result of such judgments or settlements. In addition, our business, operating results, and financial condition could be adversely affected if any infringement or other intellectual property claim made against us by any third party is successful, resulting in damages being assessed and injunctions granted, or if we fail to develop non-infringing technology or license the proprietary rights on commercially reasonable terms and conditions.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Evolving and varied stakeholder expectations and regulatory requirements with respect to sustainability and environmental, social, and governance (“ESG”) activities could harm our reputation, adversely affect our business, and expose us to regulatory proceedings and litigation.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stakeholders are increasingly focused on ESG considerations with evolving and varied expectations that could expose us to heightened scrutiny and various financial, legal, reputational, operational, compliance, and other risks. We make statements about sustainability and ESG initiatives through our SEC filings, our other non-financial reports, information provided on our website, social media sites, press statements and other communications. Successful implementation of these initiatives involves risks and uncertainties, is not guaranteed, and is subject to numerous conditions, as well as standards, processes, regulations, and methodologies that continue to evolve. Any failure, or perceived failure, by us to further our ESG initiatives, adhere to our public statements, comply with federal, state, or international laws and regulations, or meet evolving and varied stakeholder expectations could harm our reputation, adversely affect our business, financial condition or results of operations, and expose us to liabilities under regulatory proceedings or litigation instituted in the United States or in other countries.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periods, regulators in various jurisdictions have increasingly expressed or pursued conflicting views, legislation, and expectations with respect to sustainability initiatives. Conflicting regulations and a lack of harmonization of legal and regulatory environments across the jurisdictions in which we operate may create enhanced compliance risks and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Global climate-related risks, and legal, regulatory, or market measures related to climate, may negatively affect our business,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climate-related risks that could impact the global economy and the IT industry in particular. The physical risks include the adverse effects of carbon dioxide and other greenhouse gases on global temperatures, weather patterns, and the frequency and severity of natural disasters. Extreme weather and natural disasters within or outside the United States could make it more difficult and costly for us to manufacture and deliver our products to our customers, obtain production materials from our suppliers, or perform other critical corporate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Transition risks, such as shifting customer preferences or regulatory changes, may also result in increased demands regarding our solutions, products, and services, including the use of packaging materials and other components in our products and their environmental impact on sustainability. These demands may cause us to incur additional costs or make other changes to other operations to respond to such demands, which could adversely affect our financial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concern over climate could result in new or more stringent legal requirements aimed at reducing greenhouse gas emissions and other environmental impacts of our operations, improving energy efficiency, or undertaking sustainability measures that exceed those we currently pursue. Any such regulatory requirements could cause disruptions in the manufacture of our products and result in increased procurement, production, and distribution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26415"/>
                <wp:effectExtent l="0" t="0" r="0" b="0"/>
                <wp:wrapNone/>
                <wp:docPr id="25" name="Frame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Our compliance with current or future environmental and safety laws could have an adverse effect on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environmental and safety regulations in all areas in which we conduct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we fail to comply with applicable rules and regulations regarding the transportation, source, use, and sale of such regulated substances, we could be subject to liability. The costs and timing of costs under environmental and safety laws are difficult to predict, but could have an adverse impact on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Compliance requirements of anti-corruption laws, economic sanctions and other trade laws, human rights laws and other laws regulating our international operations may expose us to potential liability, increase our operating costs and otherwise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are subject to various anti-corruption laws that prohibit improper payments or offers of payments to foreign governments and their officials for the purpose of obtaining or retaining business, and are also subject to export controls, country- and product-specific tariffs, customs, economic sanctions laws, and embargoes imposed by the U.S. government. Violations of the U.S. Foreign Corrupt Practices Act or other anti-corruption laws or export control, customs, trade, or economic sanctions laws may result in severe criminal or civil sanctions and penalties, and we and our subsidiaries may be subject to other liabilities that could have a material adverse effect on our business,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various human rights laws, including provisions of the EU Forced Labor Regulations, U.S. Uniform Forced Labor Protection Act, and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last law and other costs relating to the sourcing and availability of minerals used in our products. Further, we may face reputational harm if our customers or other stakeholders conclude that we are unable to verify sufficiently the origins of the minerals used in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highly dependent on the services of Michael S. Dell, our Chief Executive Officer, and our loss of, or our inability to continue to attract, retain, and motivate, executive talent and other employees in this highly competitive market could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services of Michael S. Dell, our founder, Chief Executive Officer, and largest stockholder. Further, we rely on key personnel, including Jeffrey W. Clarke and other members of our executive leadership team, to support our business and increasingly complex product and services offerings. Our experienced executives are supported by employees in our U.S. and international operations who are highly skilled in product development, manufacturing, sales, and other functions critical to our future growth and profitability. If we lose the services of Mr. Dell or other key personnel, we may not be able to locate suitable or qualified replacements, and we may incur additional expenses to recruit replacements, which could severely disrupt our business and growth. We face intensive competition, both within and outside of our industry, in retaining and hiring individuals with the requisite expertise. As a result of this competition, we may be unable to continue to attract, retain, and motivate suitably qualified individuals at acceptable compensation levels who have the managerial, operational, and technical knowledge and experience to meet our needs. Failure by us to do so could adversely affect our competitive position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26415"/>
                <wp:effectExtent l="0" t="0" r="0" b="0"/>
                <wp:wrapNone/>
                <wp:docPr id="26" name="Frame2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We have outstanding indebtedness and may incur additional debt in the future, which could adversely affect our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30, 2026, we and our subsidiaries had approximately $31.5 billion of indebtedness. As of the same date, we and our subsidiaries may incur up to $5.0 billion of short-term indebtedness under our commercial paper program and up to $5.9 billion of additional indebtedness under our revolving credit facility, which acts as a backstop to provide liquidity for the commercial paper program. Although continued debt paydown is part of our overall capital allocation strategy, a substantial portion of our cash flow from operations is used to make interest and other debt service payments, which reduces funds available to us for other purposes such as working capital, capital expenditures, other general corporate purposes, and potential acquisitions. Our indebtedness could also reduce our flexibility in responding to current and changing industry and financial market conditions. We may be able to incur significant additional secured and unsecured indebtedness under the terms of our existing debt, which generally do not restrict our ability to incur additional unsecured debt and contain significant exceptions to the covenant restricting our ability to incur additional secured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Relating to Ownership of Our Class C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Our multi-class common stock structure with different voting rights may adversely affect the trading price of the Class C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our Class A Common Stock and each share of our Class B Common Stock has ten votes, while each share of our Class C Common Stock has one vote. Because of these disparate voting rights, Michael Dell and the Susan Lieberman Dell Separate Property Trust (the “MD stockholders”) and certain investment funds affiliated with Silver Lake Partners (the “SLP stockholders”) collectively held common stock representing approximately 91.7% of the total voting power of our outstanding common stock as of March 9, 2026. The limited ability of unaffiliated holders of the Class C Common Stock to influence matters requiring stockholder approval may adversely affect the trading price of the Class C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our multi-class share structure, we have in the past been, and may in the future be, excluded from certain stock indices. Previously, the FTSE Russell and S&amp;P Dow Jones had excluded companies with multiple share classes, such as Dell Technologies, from its indices. We cannot be sure that the policies of the FTSE Russell or S&amp;P Dow Jones or the policies of other sponsors of indices will not change and make us ineligible for inclusion in their indices in the future. It is unclear what effect, if any, exclusion from any indices has on the valuations of the affected publicly-traded companies. It is possible that such policies may depress the valuations of public companies excluded from such indices compared to valuations of companies that are included.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Future sales, or the perception of future sales, of a substantial amount of shares of the Class C Common Stock could depress the trading price of the Class C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our ability to sell equity securities in the future at a time and at a price we deem appropriate, as well as our ability to use Class C Common Stock as consideration for acquisitions of other businesses, investments, or other corporate purposes. As of March 9, 2026, we had a total of approximately 318 million shares of Class C Common Stock outstanding.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9, 2026, the 277 million outstanding shares of Class A Common Stock held by the MD stockholders and the 51 million outstanding shares of Class B Common Stock held by the SLP stockholders are convertible into shares of Class C Common Stock at any time on a one-to-one basis. Such shares, upon any conversion into shares of Class C Common Stock, will be eligible for resale in the public market pursuant to Rule 144 under the Securities Act, subject to compliance with conditions of Rule 144. From January 31, 2026 to March 9, 2026, the SLP stockholders converted approximately 1 million shares of Class B Common Stock on a one-for-one basis into approximately 1 million shares of Class C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26415"/>
                <wp:effectExtent l="0" t="0" r="0" b="0"/>
                <wp:wrapNone/>
                <wp:docPr id="27" name="Frame2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party to a registration rights agreement with holders of substantially all outstanding shares of Class A Common Stock (which are convertible into the same number of shares of Class C Common Stock), holders of all outstanding shares of Class B Common Stock (which are convertible into the same number of shares of Class C Common Stock), and, as of March 9, 2026, holders of approximately 20 million outstanding shares of Class C Common Stock, pursuant to which we have granted such holders and their permitted transferees shelf, demand and/or piggyback registration rights with respect to such shares (including the shares of Class C Common Stock into which the Class A Common Stock and the Class B Common Stock may be converted). Registration of those shares under the Securities Act would permit such holders to sell the shares into the public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30, 2026, 22 million shares of Class C Common Stock that were issuable upon the exercise, vesting, or settlement of outstanding stock options, restricted stock units, or deferred stock units under our stock incentive plan would have been, upon issuance, eligible for sale in the public market, subject where applicable to compliance with Rule 144, and an additional 45 million shares of Class C Common Stock were authorized and reserved for issuance pursuant to potential future awards under the stock incentive plan. We also may issue additional stock options in the future that may be exercised for additional shares of Class C Common Stock and additional restricted stock units or deferred stock units that will provide for delivery of shares of Class C Common Stock upon vesting of such awards. We expect that all shares of Class C Common Stock issuable with respect to such awards will be registered under one or more registration statements on SEC Form S-8 under the Securities Act and available for sale in the open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We are controlled by the MD stockholders, who, separately and together with the SLP stockholders, collectively own common stock with a majority of the voting power of all our outstanding series of common stock and are able to effectively control our actions, including approval of mergers and other significant corporate transactions.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reason of their ownership of Class A Common Stock possessing a majority of the aggregate votes entitled to be cast by holders of all outstanding shares of our common stock voting together as a single class, the MD stockholders have the ability to approve any matter submitted to the vote of holders of all of the outstanding shares of the common stock voting together as a single class. Through their control, the MD stockholders are able to control our actions, including actions related to the election of our directors and directors of our subsidiaries, amendments to our organizational documents, and the approval of significant corporate transactions, including mergers and sales of substantially all of our assets that our stockholders may deem advantageous. For example, although our bylaws provide that the number of directors will be fixed by resolution of the Board of Directors, our stockholders may adopt, amend, or repeal the bylaws in accordance with the Delaware General Corporation Law. Through their control, the MD stockholders therefore may amend our bylaws to change the number of directors (within the limits of the certificate of incorporation), notwithstanding any determination by the Board of Directors regarding board size.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 as of March 9, 2026, the MD stockholders together with the SLP stockholders collectively beneficially owned 53.8% of our outstanding common stock. This concentration of ownership, together with the disparate voting rights of our common stock, may delay or deter possible changes in control of Dell Technologies, which may reduce the value of an investment in the Class C Common Stock. So long as the MD stockholders and the SLP stockholders continue to own common stock representing a significant amount of the combined voting power of our outstanding common stock, even if such amount is, individually or in the aggregate, less than 50%, such stockholders will continue to be able to strongly influence our decisions.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MD stockholders and the SLP stockholders, respectively, have the right to nominate a number of individuals for election as Group I Directors (who constitute all but one of our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26415"/>
                <wp:effectExtent l="0" t="0" r="0" b="0"/>
                <wp:wrapNone/>
                <wp:docPr id="28" name="Frame2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MD stockholders, the MSD Partners stockholders, and the SLP stockholders and their respective affiliates may have interests that conflict with the interests of other stockholders or those of Dell Technologies.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their business activities, the MD stockholders, certain investment funds affiliated with an investment firm formed by principals of the firm that manages the capital of Michael Dell and his family (the “MSD Partners stockholders”), and the SLP stockholders and their respective affiliates may engage in activities in which their interests conflict with our interests or those of other stockholders. Our certificate of incorporation provides that none of the MD stockholders, the MSD Partners stockholders, the SLP stockholders, nor any of their respective affiliates or any director or officer of the Company who is also a director, officer, employee, managing director, or other affiliate (other than Michael Dell) have any duty to refrain from engaging, directly or indirectly, in the same business activities or similar business activities or lines of business in which we operate. The MD stockholders, the MSD Partners stockholders, and the SLP stockholders also may pursue acquisition opportunities that may be complementary to our business and, as a result, those acquisition opportunities may not be available to us. In addition, such stockholders may have an interest in pursuing acquisitions, divestitures, and other transactions that, in their judgment, could enhance the value of their investment in Dell Technologies, even though such transactions might involve risks to other stockholders.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Because we are a “controlled company” within the meaning of the rules of the New York Stock Exchange and, as a result, qualify for exemptions from certain corporate governance requirements, holders of Class C Common Stock do not have the same protections afforded to stockholders of companies that are subject to such requirements.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“controlled company” within the meaning of the rules of the New York Stock Exchange (the “NYSE”) because the MD stockholders hold common stock representing more than 50% of the voting power eligible to vote in the election of directors. As a result, holders of Class C Common Stock do not have the same protections afforded to stockholders of companies that are subject to all of the NYSE’s corporate governance requirements. Because we are a controlled company, we may elect not to comply with certain corporate governance requirements under NYSE rules, including the requirements that we have a board composed of a majority of “independent directors,” as defined under NYSE rules, and that we have a compensation committee and a nominating/corporate governance committee each composed entirely of independent directors. Although we currently maintain a board composed of a majority of independent directors and three standing committees of the board composed entirely of independent directors, we may decide in the future to change our board membership and committee composition so that the board is not composed of a majority of independent directors or one or more committees, other than the audit committee, are not composed entirely of independent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Our certificate of incorporation designates a state court of the State of Delaware and the U.S. federal district courts as the sole and exclusive forum for certain types of legal actions and proceedings that may be initiated by our stockholders, which could limit the ability of the holders of Class C Common Stock to obtain a favorable judicial forum for disputes with us or with our directors, officers, or controlling stockholders.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contains provisions requiring an exclusive forum for specified types of legal actions and proceedings. These provisions could limit the ability of the holders of the Class C Common Stock to obtain a favorable judicial forum for disputes with us or with our directors, officers, or controlling stockholders, which may discourage such lawsuits against us and our directors, officers, and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unless we consent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derivative action or proceeding brought on our behalf;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action asserting a claim of breach of a fiduciary duty owed by any director or officer or stockholder of Dell Technologies to us or our stockholders;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action asserting a claim against Dell Technologies or any director or officer or stockholder of Dell Technologies arising pursuant to any provision of the Delaware General Corporation Law or of our certificate of incorporation or bylaws; or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action asserting a claim against us or any director or officer or stockholder of Dell Technologies governed by our internal affairs doctrine.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26415"/>
                <wp:effectExtent l="0" t="0" r="0" b="0"/>
                <wp:wrapNone/>
                <wp:docPr id="29" name="Frame2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Delaware exclusive forum provision does not apply to suits brought to enforce any liability or duty created by the Exchange Act or the rules or regulations thereunder, or any other claim over which the federal district courts of the United States have exclusive jurisdiction.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Delaware exclusive forum provision, our certification of incorporation contains a provision stating that, unless we consent in writing to the selection of an alternative forum, the federal courts of the United States shall be the exclusive forum for the resolution of any complaint asserting a cause of action arising under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 court were to find these provisions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may not continue to pay cash dividends or to pay cash dividends at the same rate as announced in February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payment of cash dividends, as well as the rate at which we pay dividends, is solely at the discretion of our Board of Directors. Further, dividend payments, if any, are subject to our financial results and the availability of statutory surplus to pay dividends. These or other factors could result in a change to our current dividend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amount and frequency of our share repurchases may fluctuate.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our Board of Directors has adopted a stock repurchase program, we are not obligated to repurchase any specific amount of shares of common stock, and the stock repurchase program may be suspended or terminated at any time. The amount, timing, and execution of our stock repurchase program may fluctuate, and changes in cash flows, tax laws, and our stock price could also impact our stock repurchase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26415"/>
                <wp:effectExtent l="0" t="0" r="0" b="0"/>
                <wp:wrapNone/>
                <wp:docPr id="30" name="Frame3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 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 CYBERSECURITY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face numerous cybersecurity threats that range from cyber-attacks common to most industries to attacks from more advanced and persistent threat actors that target large information technology companies with products and services operating in strategic sectors. We could be adversely affected by cybersecurity incidents affecting our systems or the systems of our suppliers, customers, and other third-party service providers. To address these threats, we expend considerable resources on cybersecurity risk management, strategy, and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assess, identify, and manage material cybersecurity risks in a number of ways. Our global security and resiliency organization, under the leadership of our Chief Security Officer (“CSO”), has established an internal governance structure to identify, assess, rate, and manage cybersecurity risks across the Company in an integrated manner. The security and resiliency organization advises each business unit and functional area on addressing cybersecurity risks and monitors initiatives to mitigate and manage such risks over time. Each business unit or functional area is responsible for managing risks and ensuring that security and resiliency policies and standards are implemented within the respective business unit or function. Compliance with our internal security and resiliency policies and standards is assessed by our internal audit team, which has a dedicated cybersecurity audit function.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security and resiliency organization includes a dedicated cybersecurity function led by our Chief Information Security Officer (“CISO”). As part of our cybersecurity function, the cybersecurity and intelligence response team (“CSIRT”) administers a program to monitor, detect, investigate, respond to, and escalate management of internal and external cybersecurity threats and incidents. The CSIRT provides threat intelligence information to our CSO, broader security and resiliency organization, and relevant business units and functional areas.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engage third parties in connection with our cybersecurity risk management processes, including cybersecurity consultants and auditors, to conduct evaluations of our security controls and provide certifications for industry-standard security frameworks, such as ISO27001 and SOC, Type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monitoring risks from threats to our own assets, we administer a third-party risk management program that helps identify and manage risks from cybersecurity threats arising from attacks against our suppliers and other service provider organizations. This program seeks to combine a methodology for risk ratings with targeted cybersecurity assessments, security-focused contractual requirements, and monitoring activities based on the risk profile of covered suppliers and service providers.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CSO reports to our General Counsel and has principal executive responsibility and oversight for the Company’s strategy, planning, and operations on the management of both physical security and cybersecurity risk. Our CSO has extensive cybersecurity and program management experience and previously served in relevant leadership positions at another large multinational corporation and the U.S. Department of Defense. He is supported by our CISO, who has extensive cybersecurity experience in both the private and public sectors, and a team of cybersecurity professionals with relevant and expansive educational and industry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Cybersecurity risk management has been integrated into the Company’s overall enterprise risk management program (“ERM”) through the Company’s enterprise risk governing bodies, which are the Global Risk and Compliance Council (“GRCC”) and the Enterprise Risk Steering Committee (“ERSC”). Our CSO reports on cybersecurity risk to the GRCC and ERSC and also serves as a member of the ERSC. The CSO regularly meets with members of our executive leadership team to discuss cybersecurity risks, as well as related mitigation and remediation activities. In addition, information on cybersecurity risks is further integrated into our overall ERM through our central internal audit function, which incorporates such information in regular audits of our cybersecurity and data protection controls and processes.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26415"/>
                <wp:effectExtent l="0" t="0" r="0" b="0"/>
                <wp:wrapNone/>
                <wp:docPr id="31" name="Frame3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oversees significant cybersecurity risks to the Company directly and through its Audit Committee. The Board of Directors meets with our CSO or his delegate bi-annually to review significant cybersecurity risks as well as cybersecurity priorities and focus areas for the upcoming fiscal year. The Audit Committee meets with our CSO or his delegate quarterly to review significant cybersecurity incidents and risks, programmatic security modifications and enhancements, and progress made towards key cybersecurity initiatives and matters. The CSO may provide more frequent updates to the Board of Directors and Audit Committee if necessitated by a security incident or other developments. The Audit Committee reports regularly to our Board of Directors regarding the committee’s oversight of cybersecurity risk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date, no risks from cybersecurity threats, including as a result of any previous cybersecurity incident, have materially affected our business strategy, results of operations, or financial condition. Notwithstanding our investment in cybersecurity, we may not be successful in identifying a cybersecurity risk or preventing or mitigating a cybersecurity incident or product security vulnerability that could have a material adverse effect on our business, results of operations, or financial condition. For a discussion of cybersecurity risks affecting our business, see “Item 1A—Risk Factors—Risks Relating to Our Business and Our Industry.” Although we maintain cybersecurity insurance, the costs related to cybersecurity incidents may not be fully insured.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26415"/>
                <wp:effectExtent l="0" t="0" r="0" b="0"/>
                <wp:wrapNone/>
                <wp:docPr id="32" name="Frame3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 PROPERTIES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and global headquarters are located at One Dell Way, Round Rock, Texas.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as shown in the following table, we owned or leased 18.2 million square feet of office, manufacturing, and warehouse space worldwide:</w:t>
      </w:r>
    </w:p>
    <w:tbl>
      <w:tblPr>
        <w:tblW w:w="3740" w:type="dxa"/>
        <w:jc w:val="center"/>
        <w:tblInd w:w="0" w:type="dxa"/>
        <w:tblLayout w:type="fixed"/>
        <w:tblCellMar>
          <w:top w:w="28" w:type="dxa"/>
          <w:left w:w="28" w:type="dxa"/>
          <w:bottom w:w="28" w:type="dxa"/>
          <w:right w:w="28" w:type="dxa"/>
        </w:tblCellMar>
      </w:tblPr>
      <w:tblGrid>
        <w:gridCol w:w="695"/>
        <w:gridCol w:w="612"/>
        <w:gridCol w:w="613"/>
        <w:gridCol w:w="255"/>
        <w:gridCol w:w="256"/>
        <w:gridCol w:w="231"/>
        <w:gridCol w:w="109"/>
        <w:gridCol w:w="109"/>
        <w:gridCol w:w="109"/>
        <w:gridCol w:w="220"/>
        <w:gridCol w:w="220"/>
        <w:gridCol w:w="311"/>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Leased</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facilities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facilities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(a)Includes 1.5 million square feet of subleased or vacant space.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our facilities consisted of business centers, which include facilities that contain operations for sales, technical support, administrative, and support functions; manufacturing operations; and research and development centers. For additional information about our facilities, including the location of certain facilities, see “Item 1 — Business — Manufacturing and Materials.”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interrelation of the products and services offered in each of our segments, we generally do not designate our properties to either segment. With limited exceptions, each property is used at least in part by both of our segments, and we retain the flexibility to make future use of each of the properties available to each segment.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properties are suitable and adequate for our current needs. We will continue to assess our facilities requirements as part of normal business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information required by this Item 3 is incorporated herein by reference to the information set forth under the caption “Legal Matters” in Note 11 of the </w:t>
      </w:r>
      <w:r>
        <w:rPr>
          <w:rFonts w:ascii="Times New Roman;serif" w:hAnsi="Times New Roman;serif"/>
          <w:b w:val="false"/>
          <w:color w:val="000000"/>
          <w:sz w:val="20"/>
        </w:rPr>
        <w:t>Notes to the Consolidated Financial Statements</w:t>
      </w:r>
      <w:r>
        <w:rPr>
          <w:color w:val="000000"/>
          <w:shd w:fill="FFFFFF" w:val="clear"/>
        </w:rPr>
        <w:t xml:space="preserve"> </w:t>
      </w:r>
      <w:r>
        <w:rPr>
          <w:rFonts w:ascii="Times New Roman;serif" w:hAnsi="Times New Roman;serif"/>
          <w:b w:val="false"/>
          <w:color w:val="000000"/>
          <w:sz w:val="20"/>
          <w:shd w:fill="FFFFFF" w:val="clear"/>
        </w:rPr>
        <w:t xml:space="preserve">included in “Part II — Item 8 — Financial Statements and Supplementary Data.”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26415"/>
                <wp:effectExtent l="0" t="0" r="0" b="0"/>
                <wp:wrapNone/>
                <wp:docPr id="33" name="Frame3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for Class C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C Common Stock is listed and traded on the New York Stock Exchange under the symbol “DELL.”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no public market for our Class A Common Stock or Class B Common Stock. No shares of our Class D Common Stock were outstanding as of January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9, 2026, there were 3,516 holders of record of our Class C Common Stock, six holders of record of our Class A Common Stock, and five holders of record of our Class B Common Stock. The number of record holders does not include individuals or entities that beneficially own shares of any class of our common stock, but whose shares are held of record by a broker, bank, or other nominee.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we paid the following quarterly dividends:</w:t>
      </w:r>
    </w:p>
    <w:p>
      <w:pPr>
        <w:pStyle w:val="TextBody"/>
        <w:bidi w:val="0"/>
        <w:spacing w:before="0" w:after="0"/>
        <w:jc w:val="left"/>
        <w:rPr/>
      </w:pPr>
      <w:r>
        <w:rPr/>
      </w:r>
    </w:p>
    <w:tbl>
      <w:tblPr>
        <w:tblW w:w="8865" w:type="dxa"/>
        <w:jc w:val="left"/>
        <w:tblInd w:w="0" w:type="dxa"/>
        <w:tblLayout w:type="fixed"/>
        <w:tblCellMar>
          <w:top w:w="28" w:type="dxa"/>
          <w:left w:w="28" w:type="dxa"/>
          <w:bottom w:w="28" w:type="dxa"/>
          <w:right w:w="28" w:type="dxa"/>
        </w:tblCellMar>
      </w:tblPr>
      <w:tblGrid>
        <w:gridCol w:w="592"/>
        <w:gridCol w:w="520"/>
        <w:gridCol w:w="523"/>
        <w:gridCol w:w="109"/>
        <w:gridCol w:w="109"/>
        <w:gridCol w:w="109"/>
        <w:gridCol w:w="504"/>
        <w:gridCol w:w="504"/>
        <w:gridCol w:w="506"/>
        <w:gridCol w:w="109"/>
        <w:gridCol w:w="109"/>
        <w:gridCol w:w="109"/>
        <w:gridCol w:w="504"/>
        <w:gridCol w:w="504"/>
        <w:gridCol w:w="506"/>
        <w:gridCol w:w="109"/>
        <w:gridCol w:w="109"/>
        <w:gridCol w:w="109"/>
        <w:gridCol w:w="392"/>
        <w:gridCol w:w="1145"/>
        <w:gridCol w:w="202"/>
        <w:gridCol w:w="109"/>
        <w:gridCol w:w="109"/>
        <w:gridCol w:w="109"/>
        <w:gridCol w:w="293"/>
        <w:gridCol w:w="648"/>
        <w:gridCol w:w="21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Amount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fiscal year ended January 30, 2026, we also paid an immaterial amount of dividend equivalents on eligible vested equity awards which are not included above.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we announced that the Board of Directors approved a 20% increase in the dividend rate to $0.63 per share per fiscal quarter beginning in the first quarter of the fiscal year ending January 29,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dividend policy and the declaration and payment of each quarterly cash dividend will be subject to the continuing determination by the Board of Directors that the policy and the declaration of dividends thereunder are in the best interests of our stockholders and are in compliance with applicable law. The Board of Directors retains the power to modify, suspend, or cancel the dividend policy in any manner and at any time that it may deem necessary or appropriate.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Sales of Unregistered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November 2025, the Company issued 18,000 shares of Class C Common Stock to a stockholder upon the conversion of the same number of shares of our Class A Common Stock held by and at the election of such stockholder. The issuance of the Class C Common Stock in this transaction was made in reliance on the exemption from registration under the Securities Act afforded by Section 3(a)(9) thereof. No commission or other remuneration was paid or given directly or indirectly for soliciting the exchange of these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26415"/>
                <wp:effectExtent l="0" t="0" r="0" b="0"/>
                <wp:wrapNone/>
                <wp:docPr id="34" name="Frame3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color w:val="000000"/>
          <w:sz w:val="20"/>
        </w:rPr>
        <w:t>Purchases of Equity Securities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our purchases of Class C Common Stock during the fourth quarter of Fiscal 2026.</w:t>
      </w:r>
    </w:p>
    <w:tbl>
      <w:tblPr>
        <w:tblW w:w="10205" w:type="dxa"/>
        <w:jc w:val="left"/>
        <w:tblInd w:w="0" w:type="dxa"/>
        <w:tblLayout w:type="fixed"/>
        <w:tblCellMar>
          <w:top w:w="28" w:type="dxa"/>
          <w:left w:w="28" w:type="dxa"/>
          <w:bottom w:w="28" w:type="dxa"/>
          <w:right w:w="28" w:type="dxa"/>
        </w:tblCellMar>
      </w:tblPr>
      <w:tblGrid>
        <w:gridCol w:w="651"/>
        <w:gridCol w:w="573"/>
        <w:gridCol w:w="578"/>
        <w:gridCol w:w="109"/>
        <w:gridCol w:w="109"/>
        <w:gridCol w:w="109"/>
        <w:gridCol w:w="447"/>
        <w:gridCol w:w="447"/>
        <w:gridCol w:w="448"/>
        <w:gridCol w:w="109"/>
        <w:gridCol w:w="109"/>
        <w:gridCol w:w="109"/>
        <w:gridCol w:w="294"/>
        <w:gridCol w:w="1008"/>
        <w:gridCol w:w="152"/>
        <w:gridCol w:w="109"/>
        <w:gridCol w:w="109"/>
        <w:gridCol w:w="109"/>
        <w:gridCol w:w="661"/>
        <w:gridCol w:w="661"/>
        <w:gridCol w:w="663"/>
        <w:gridCol w:w="109"/>
        <w:gridCol w:w="109"/>
        <w:gridCol w:w="109"/>
        <w:gridCol w:w="495"/>
        <w:gridCol w:w="1449"/>
        <w:gridCol w:w="370"/>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Programs</w:t>
            </w:r>
          </w:p>
        </w:tc>
      </w:tr>
      <w:tr>
        <w:trPr/>
        <w:tc>
          <w:tcPr>
            <w:tcW w:w="1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from November 1, 2025 to November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from November 29, 2025 to December 26,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from December 27, 2025 to 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23, 2021, our Board of Directors approved a stock repurchase program with no fixed expiration date under which we may repurchase a specified dollar value of Class C Common Stock, exclusive of any fees, commissions, or other expenses related to such repurchases. As of January 30, 2026, our Board of Directors authorized the repurchase of up to $20 billion of Class C Common Stock and on February 26, 2026, subsequent to the close of Fiscal 2026, authorized an additional $10 billion of Class C Common Stock for repurchase. Following the February 26, 2026 approval, we had approximately $15.2 billion of authorized shares remaining for repurchase under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26415"/>
                <wp:effectExtent l="0" t="0" r="0" b="0"/>
                <wp:wrapNone/>
                <wp:docPr id="35" name="Frame3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Class C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return on the Company’s Class C Common Stock for the period from January 29, 2021 through January 30, 2026 with the total return over the same period on the S&amp;P 500 Index and the S&amp;P 500 Information Technology Index. The graph assumes that $100 was invested on January 29, 2021 in the Class C Common Stock and in each of the foregoing indices and assumes reinvestment of dividends, if any. The comparisons in the graph are based on historical data.</w:t>
      </w:r>
    </w:p>
    <w:p>
      <w:pPr>
        <w:pStyle w:val="TextBody"/>
        <w:bidi w:val="0"/>
        <w:spacing w:before="0" w:after="0"/>
        <w:jc w:val="left"/>
        <w:rPr/>
      </w:pPr>
      <w:r>
        <w:rPr/>
      </w:r>
    </w:p>
    <w:p>
      <w:pPr>
        <w:pStyle w:val="TextBody"/>
        <w:bidi w:val="0"/>
        <w:spacing w:before="0" w:after="0"/>
        <w:jc w:val="center"/>
        <w:rPr/>
      </w:pPr>
      <w:r>
        <w:rPr/>
        <w:drawing>
          <wp:inline distT="0" distB="0" distL="0" distR="0">
            <wp:extent cx="6477000" cy="3695700"/>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6477000" cy="3695700"/>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656"/>
        <w:gridCol w:w="398"/>
        <w:gridCol w:w="401"/>
        <w:gridCol w:w="109"/>
        <w:gridCol w:w="109"/>
        <w:gridCol w:w="109"/>
        <w:gridCol w:w="227"/>
        <w:gridCol w:w="778"/>
        <w:gridCol w:w="117"/>
        <w:gridCol w:w="109"/>
        <w:gridCol w:w="109"/>
        <w:gridCol w:w="109"/>
        <w:gridCol w:w="227"/>
        <w:gridCol w:w="778"/>
        <w:gridCol w:w="117"/>
        <w:gridCol w:w="109"/>
        <w:gridCol w:w="109"/>
        <w:gridCol w:w="109"/>
        <w:gridCol w:w="227"/>
        <w:gridCol w:w="777"/>
        <w:gridCol w:w="117"/>
        <w:gridCol w:w="109"/>
        <w:gridCol w:w="109"/>
        <w:gridCol w:w="109"/>
        <w:gridCol w:w="227"/>
        <w:gridCol w:w="777"/>
        <w:gridCol w:w="117"/>
        <w:gridCol w:w="109"/>
        <w:gridCol w:w="109"/>
        <w:gridCol w:w="109"/>
        <w:gridCol w:w="227"/>
        <w:gridCol w:w="778"/>
        <w:gridCol w:w="117"/>
        <w:gridCol w:w="109"/>
        <w:gridCol w:w="109"/>
        <w:gridCol w:w="109"/>
        <w:gridCol w:w="227"/>
        <w:gridCol w:w="776"/>
        <w:gridCol w:w="177"/>
      </w:tblGrid>
      <w:tr>
        <w:trPr/>
        <w:tc>
          <w:tcPr>
            <w:tcW w:w="65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29,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Information 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preceding stock performance graph shall not be deemed to be incorporated by reference by means of any general statement incorporating by reference this Annual Report on Form 10-K into any filing under the Securities Act of 1933 or the Securities Exchange Act of 1934, except to the extent that Dell Technologies specifically incorporates such information by reference, and shall not otherwise be deemed filed under such 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26415"/>
                <wp:effectExtent l="0" t="0" r="0" b="0"/>
                <wp:wrapNone/>
                <wp:docPr id="37" name="Frame3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7 </w:t>
      </w:r>
      <w:r>
        <w:rPr>
          <w:color w:val="000000"/>
        </w:rPr>
        <w:t xml:space="preserve">— </w:t>
      </w:r>
      <w:r>
        <w:rPr>
          <w:rFonts w:ascii="Times New Roman;serif" w:hAnsi="Times New Roman;serif"/>
          <w:b/>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This management’s discussion and analysis should be read in conjunction with the audited Consolidated Financial Statements and accompanying Notes included in this Annual Report on Form 10-K. This section generally discusses Fiscal 2026 results compared to Fiscal 2025 results. Discussion of Fiscal 2025 results compared to Fiscal 2024 results, to the extent not included in this Form 10-K, are presented in “Part II — Item 7 — Management’s Discussion and Analysis of Financial Condition and Results of Operations” of the Company’s Annual Report on Form 10-K for the fiscal year ended January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Unless otherwise indicated, all results presented are prepared in a manner that complies, in all material respects, with generally accepted accounting principles in the United States of America (“GAAP”). Unless otherwise indicated, all changes identified for the current-period results represent comparisons to results for the prior corresponding fiscal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Unless the context indicates otherwise, references in this management’s discussion and analysis to “we,” “us,” “our,” the “Company,” and “Dell Technologies” mean Dell Technologies Inc. and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fiscal year is the 52- or 53-week period ending on the Friday nearest January 31. We refer to our fiscal years ended January 30, 2026, January 31, 2025, and February 2, 2024 as “Fiscal 2026,” “Fiscal 2025,” and “Fiscal 2024,” respectively. All fiscal years presented included 52 weeks. We refer to our fiscal year ending January 29, 2027 as “Fiscal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Dell Technologies is a leader in the global technology industry focused on providing broad and innovative technology solutions for the data and artificial intelligence (“AI”) era. We build and offer solutions ranging from client devices and peripherals to infrastructure solutions across servers, networking, and storage to meet the evolving needs of our customers and drive better business outcomes. With our extensive portfolio and our commitment to innovation, we offer secure, integrated solutions that extend from the edge to the core to the cloud, and we are at the forefront of AI, software-defined, and cloud native infrastructure solutions. Our vision is to become the most essential technology partner. We intend to realize our vision by executing our strategy of leveraging our strengths to extend our leadership positions and capture new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organized into two business units which are also our reportable segments: Infrastructure Solutions Group and Client Solutions Group.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Infrastructure Solutions Group (“ISG”)</w:t>
      </w:r>
      <w:r>
        <w:rPr>
          <w:color w:val="000000"/>
        </w:rPr>
        <w:t xml:space="preserve"> — </w:t>
      </w:r>
      <w:r>
        <w:rPr>
          <w:rFonts w:ascii="Times New Roman;serif" w:hAnsi="Times New Roman;serif"/>
          <w:b w:val="false"/>
          <w:color w:val="000000"/>
          <w:sz w:val="20"/>
        </w:rPr>
        <w:t>We provide a comprehensive portfolio of advanced infrastructure solutions designed to help customers simplify, streamline, and automate information technology (“IT”) operations. ISG also offers software, peripherals, and services, including consulting and support and deployment. Given the scale and growth of our AI-optimized servers business, effective in the fourth quarter of Fiscal 2026, we disaggregated our servers and networking offerings within revenue by major product category into AI-optimized servers offerings and traditional servers and networking offerings. As a result, our major product categories within ISG include our AI-optimized servers offerings, our traditional servers and networking offerings, and our storage offerings.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AI-optimized servers</w:t>
      </w:r>
      <w:r>
        <w:rPr>
          <w:color w:val="000000"/>
        </w:rPr>
        <w:t xml:space="preserve"> — </w:t>
      </w:r>
      <w:r>
        <w:rPr>
          <w:rFonts w:ascii="Times New Roman;serif" w:hAnsi="Times New Roman;serif"/>
          <w:b w:val="false"/>
          <w:color w:val="000000"/>
          <w:sz w:val="20"/>
        </w:rPr>
        <w:t>We offer a specialized portfolio of AI-optimized servers designed to handle the most demanding compute-intensive workloads, including AI model training, fine-tuning, and inferencing.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Traditional servers and networking</w:t>
      </w:r>
      <w:r>
        <w:rPr>
          <w:color w:val="000000"/>
        </w:rPr>
        <w:t xml:space="preserve"> — </w:t>
      </w:r>
      <w:r>
        <w:rPr>
          <w:rFonts w:ascii="Times New Roman;serif" w:hAnsi="Times New Roman;serif"/>
          <w:b w:val="false"/>
          <w:color w:val="000000"/>
          <w:sz w:val="20"/>
        </w:rPr>
        <w:t>Our traditional servers portfolio provides the trusted foundation for modern IT environments, supporting a wide range of general-purpose and mission-critical workloads. Our networking portfolio helps our business customers transform and modernize their infrastructure, complementing our storage and AI-optimized and traditional servers offerings, and includes wide area network infrastructure, data center and edge networking switches, and cables and optics.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26415"/>
                <wp:effectExtent l="0" t="0" r="0" b="0"/>
                <wp:wrapNone/>
                <wp:docPr id="38" name="Frame3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Storage</w:t>
      </w:r>
      <w:r>
        <w:rPr>
          <w:color w:val="000000"/>
        </w:rPr>
        <w:t xml:space="preserve"> — </w:t>
      </w:r>
      <w:r>
        <w:rPr>
          <w:rFonts w:ascii="Times New Roman;serif" w:hAnsi="Times New Roman;serif"/>
          <w:b w:val="false"/>
          <w:color w:val="000000"/>
          <w:sz w:val="20"/>
        </w:rPr>
        <w:t>Our comprehensive storage portfolio includes modern and traditional storage solutions that span primary, unstructured and data protection offerings and are delivered through multiple architectures, including all-flash, purpose-built, software-defined, and hyper-converged infrastructure platforms.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Client Solutions Group (“CSG”)</w:t>
      </w:r>
      <w:r>
        <w:rPr>
          <w:color w:val="000000"/>
        </w:rPr>
        <w:t xml:space="preserve"> — </w:t>
      </w:r>
      <w:r>
        <w:rPr>
          <w:rFonts w:ascii="Times New Roman;serif" w:hAnsi="Times New Roman;serif"/>
          <w:b w:val="false"/>
          <w:color w:val="000000"/>
          <w:sz w:val="20"/>
        </w:rPr>
        <w:t>Our CSG portfolio includes branded personal computers (“PCs”), including notebooks, desktops, and workstations, branded peripherals, and third-party software and peripherals. CSG also includes services offerings, such as configuration, support and deployment, and extended warranties. Our major product categories within CSG include our commercial offerings and consumer offerings.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Commercial</w:t>
      </w:r>
      <w:r>
        <w:rPr>
          <w:color w:val="000000"/>
        </w:rPr>
        <w:t xml:space="preserve"> — </w:t>
      </w:r>
      <w:r>
        <w:rPr>
          <w:rFonts w:ascii="Times New Roman;serif" w:hAnsi="Times New Roman;serif"/>
          <w:b w:val="false"/>
          <w:color w:val="000000"/>
          <w:sz w:val="20"/>
        </w:rPr>
        <w:t xml:space="preserve">Our commercial portfolio provides customers with solutions centered on flexibility to address their complex needs such as IT modernization, hybrid work transformation, and other critical areas.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Consumer</w:t>
      </w:r>
      <w:r>
        <w:rPr>
          <w:color w:val="000000"/>
        </w:rPr>
        <w:t xml:space="preserve"> — </w:t>
      </w:r>
      <w:r>
        <w:rPr>
          <w:rFonts w:ascii="Times New Roman;serif" w:hAnsi="Times New Roman;serif"/>
          <w:b w:val="false"/>
          <w:color w:val="000000"/>
          <w:sz w:val="20"/>
        </w:rPr>
        <w:t>Our consumer portfolio provides customers with solutions ranging from essential computing, connectivity, and productivity needs of the everyday user to powerful performance, processing, and end-user experiences in high-end consumer and gaming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other businesses primarily consist of our historical resale of standalone offerings of VMware LLC (formerly VMware, Inc. and individually and together with its subsidiaries, “VMware”), referred to as “VMware Resale,” and offerings of SecureWorks Corp. (“Secureworks”) through the date of the sale of Secureworks as discussed below. These businesses are divested businesses or their offerings are no longer actively sold, and are not classified as reportable segments, either individually or collectively. Their operating results are reported within Corporate and other. On February 3, 2025, the sale of Secureworks to Sophos Inc., an affiliate of Thoma Bravo, L.P., was completed in an all-cash transaction for a purchase price of approximately $0.9 billion. We received total cash consideration for the equity interest held in Secureworks of approximately $0.6 billion, resulting in a gain on sale of $0.2 billion recognized in interest and other, net in the Consolidated Statements of Income during Fiscal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further discussion regarding our current reportable segments, see “Results of Operations — Business Unit Results” and Note 18 of the Notes to the Consolidated Financial Statements included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offer customers choices in how they acquire our solutions, including traditional purchasing and offerings under the Dell Payment Solutions portfolio. These offerings provide both payment and consumption solutions, including utility, subscription, as-a-Service, leases, and loans, which allow our customers to pay over time and provide them with operational and financial flexibility. Dell Financial Services and its affiliates (“DFS”) support financing solutions and services as part of the portfolio. For additional information about our financing arrangements, see Note 5 of the Notes to the Consolidated Financial Statements included in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Trends and Challenges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Fiscal 2026, we executed our strategy and delivered exceptional operating results, generating significant net revenue and operating income growth. The following trends and conditions affected the environment in which we operated: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Macroeconomic environment: </w:t>
      </w:r>
      <w:r>
        <w:rPr>
          <w:rFonts w:ascii="Times New Roman;serif" w:hAnsi="Times New Roman;serif"/>
          <w:b w:val="false"/>
          <w:color w:val="000000"/>
          <w:sz w:val="20"/>
        </w:rPr>
        <w:t>We experienced significant demand for our AI-optimized servers offerings and strong demand for our traditional servers and networking offerings, resulting in ISG net revenue growth and a shift in the mix of the business towards our ISG offerings. The demand environment was also strong for our commercial offerings, resulting in moderate CSG net revenue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Demand for AI-optimized servers:</w:t>
      </w:r>
      <w:r>
        <w:rPr>
          <w:color w:val="000000"/>
        </w:rPr>
        <w:t xml:space="preserve"> </w:t>
      </w:r>
      <w:r>
        <w:rPr>
          <w:rFonts w:ascii="Times New Roman;serif" w:hAnsi="Times New Roman;serif"/>
          <w:b w:val="false"/>
          <w:color w:val="000000"/>
          <w:sz w:val="20"/>
        </w:rPr>
        <w:t>Our ISG business continued to benefit from significant increased demand for our AI-optimized servers offerings as customers continue to adopt and further integrate AI, resulting in a substantial increase in backlog as we exited the year. Given the scale of the AI opportunities, the varying stages of customer readiness, and the frequency of component part updates or transitions, there is inherent non-linearity in the timing of demand and subsequent shipments for our AI-optimized servers offerings, which continues to drive variability in our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26415"/>
                <wp:effectExtent l="0" t="0" r="0" b="0"/>
                <wp:wrapNone/>
                <wp:docPr id="39" name="Frame3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Technology refresh in core markets:</w:t>
      </w:r>
      <w:r>
        <w:rPr>
          <w:color w:val="000000"/>
        </w:rPr>
        <w:t xml:space="preserve"> </w:t>
      </w:r>
      <w:r>
        <w:rPr>
          <w:rFonts w:ascii="Times New Roman;serif" w:hAnsi="Times New Roman;serif"/>
          <w:b w:val="false"/>
          <w:color w:val="000000"/>
          <w:sz w:val="20"/>
        </w:rPr>
        <w:t>Within our ISG business, we continue to see customers modernize and consolidate their data centers as more customers transition to next-generation products, which contributed to strong demand and net revenue growth during the year within our traditional servers and networking offerings. Additionally, within our CSG business, the PC refresh cycle is underway as customers continue to upgrade their devices, which has contributed to increased demand for our commercial offerings and moderate CSG net revenue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Business modernization initiatives:</w:t>
      </w:r>
      <w:r>
        <w:rPr>
          <w:color w:val="000000"/>
        </w:rPr>
        <w:t xml:space="preserve"> </w:t>
      </w:r>
      <w:r>
        <w:rPr>
          <w:rFonts w:ascii="Times New Roman;serif" w:hAnsi="Times New Roman;serif"/>
          <w:b w:val="false"/>
          <w:color w:val="000000"/>
          <w:sz w:val="20"/>
        </w:rPr>
        <w:t>We continue to prioritize ongoing modernization initiatives to achieve greater efficiencies and streamline our processes, while also continuing to make strategic investments designed to enable growth and innovation. These initiatives have resulted in a continued net reduction in our operating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remain focused on executing our key strategic priorities, creating long-term value for our shareholders, and addressing our customers’ needs. We have the following expectations regarding our performance in Fiscal 2027:</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We expect significant ISG and modest CSG net revenue growth. We expect ISG net revenue growth will be driven by increased demand across our servers and networking offerings, largely in our AI-optimized servers offerings, and, to a lesser extent, our storage offerings. We anticipate modest CSG net revenue growth to be driven in part by the continuation of the PC refresh cycle. Additionally, we expect a continued reduction of our Corporate and other net revenue due to offerings that are no longer actively sold and businesses that have been divested. Overall, while customers continue to reassess their priorities throughout the year driven by the dynamic commodity supply environment, we anticipate net revenue growth for the full fiscal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Gross margin:</w:t>
      </w:r>
      <w:r>
        <w:rPr>
          <w:color w:val="000000"/>
        </w:rPr>
        <w:t xml:space="preserve"> </w:t>
      </w:r>
      <w:r>
        <w:rPr>
          <w:rFonts w:ascii="Times New Roman;serif" w:hAnsi="Times New Roman;serif"/>
          <w:b w:val="false"/>
          <w:color w:val="000000"/>
          <w:sz w:val="20"/>
        </w:rPr>
        <w:t>We expect margin growth, while balancing anticipated margin rate pressure resulting from a continuing shift in mix towards our AI-optimized servers offerings. We anticipate notable inflation for component costs in Fiscal 2027 and continue to monitor the rapidly evolving commodity supply environment, leverage the agility and scale of our world-class supply chain, and seek to balance profitability and growth while maintaining disciplined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Operating expenses:</w:t>
      </w:r>
      <w:r>
        <w:rPr>
          <w:color w:val="000000"/>
        </w:rPr>
        <w:t xml:space="preserve"> </w:t>
      </w:r>
      <w:r>
        <w:rPr>
          <w:rFonts w:ascii="Times New Roman;serif" w:hAnsi="Times New Roman;serif"/>
          <w:b w:val="false"/>
          <w:color w:val="000000"/>
          <w:sz w:val="20"/>
        </w:rPr>
        <w:t>We continue to advance our own capabilities to change the way we work and make decisions, improve business outcomes and the customer experience, and reduce costs by leveraging new technology and optimizing business processes. We remain committed to disciplined cost management in coordination with our ongoing business modernization initiatives, and expect to continue to scale operating expenses as we take targeted measures to reduce costs, including employee reorganizations, limitation of external hiring, and other actions to align our investments with our strategic priorities and customer needs.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our unique operating advantages provide a foundation to foster business growth, enable innovation, drive efficiencies, and continue to position us for long-term success.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Relationship with VMware</w:t>
      </w:r>
      <w:r>
        <w:rPr>
          <w:color w:val="000000"/>
        </w:rPr>
        <w:t xml:space="preserve"> — </w:t>
      </w:r>
      <w:r>
        <w:rPr>
          <w:rFonts w:ascii="Times New Roman;serif" w:hAnsi="Times New Roman;serif"/>
          <w:b w:val="false"/>
          <w:color w:val="000000"/>
          <w:sz w:val="20"/>
        </w:rPr>
        <w:t>In March 2024, following the acquisition of VMware by Broadcom, we terminated our Commercial Framework Agreement with VMware, whereby we acted as a distributor of VMware standalone products and services. We no longer act as a distributor of those products and services, although we continue to support customers that have purchased resale offerings sold in prior periods. We continue to integrate and embed certain VMware products and services with our VxRail solution for end-user customers. The results for this integrated offering are reflected within ISG.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VMware was a related party until its acquisition by Broadcom on November 22, 2023. The acquisition terminated the preexisting related party relationship with VMware such that no related party relationship exists with either Broadcom or VMware effective as of November 22, 2023. For more information regarding the impact of the Broadcom acquisition of VMware and our prior related party transactions with VMware, see Note 19 of the Notes to the Consolidated Financial Statements included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ISG</w:t>
      </w:r>
      <w:r>
        <w:rPr>
          <w:color w:val="000000"/>
        </w:rPr>
        <w:t xml:space="preserve"> — </w:t>
      </w:r>
      <w:r>
        <w:rPr>
          <w:rFonts w:ascii="Times New Roman;serif" w:hAnsi="Times New Roman;serif"/>
          <w:b w:val="false"/>
          <w:color w:val="000000"/>
          <w:sz w:val="20"/>
        </w:rPr>
        <w:t>We expect that ISG will be influenced by the dynamic nature of the IT infrastructure market and the competitive landscape. With our extensive scale and market-leading solutions portfolio, we believe we are well-positioned to navigate these competitive dynamics and evolving technology trends to meet customer needs. By leveraging our collaborative, customer-focused approach to innovation, we aim to deliver relevant new and next-generation solutions and software to our customers swiftly and efficiently. We remain focused on expanding our customer base and enhancing the lifetime value of our customer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6415"/>
                <wp:effectExtent l="0" t="0" r="0" b="0"/>
                <wp:wrapNone/>
                <wp:docPr id="40" name="Frame3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anticipate that ISG will continue to benefit from technology advancements and interest in AI as customers continue to adopt and integrate AI. The timing of customer purchases reflects the varying stages of adoption of AI by different customer segments and drives variability in our revenue. To meet the growing demand and increasing complexity of our AI-optimized servers offerings, we have increased our purchases of certain components with suppliers, which has resulted in increased inventory levels, higher purchase obligations, and new working capital dynamics. Additionally, frequent component part updates or transitions create additional challenges in managing demand and supply levels. While we have seen lead times shorten, we anticipate the next generation of these components, for which demand remains high, will be subject to supply constraints.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that growth in data will continue to generate long-term demand for our storage solutions and services. We continue to expand our offerings in external storage arrays, which incorporate flexible, cloud-based functionality. We benefit from offering solutions that provide the foundation for AI, enabling organizations to store, protect, and manage data across environments for both traditional and AI workloads. Our storage business is subject to seasonal trends, which may continue to impact ISG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CSG</w:t>
      </w:r>
      <w:r>
        <w:rPr>
          <w:color w:val="000000"/>
        </w:rPr>
        <w:t xml:space="preserve"> — </w:t>
      </w:r>
      <w:r>
        <w:rPr>
          <w:rFonts w:ascii="Times New Roman;serif" w:hAnsi="Times New Roman;serif"/>
          <w:b w:val="false"/>
          <w:color w:val="000000"/>
          <w:sz w:val="20"/>
        </w:rPr>
        <w:t xml:space="preserve">Our CSG offerings are an important element of our strategy, generating strong cash flow and opportunities for cross-selling of complementary solutions. We maintain a broad presence across all segments of the PC market. Our strategic focus is on driving share gain while balancing profitability across all segments, enhancing our product portfolio to address evolving customer needs, and expanding our presence across the broader PC ecosystem through branded peripherals. We anticipate that CSG will benefit from advances in AI over the long-term as customers will require PCs with the ability to run their complex AI workloads.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Competitive dynamics remain an important factor in our CSG business and continue to influence pricing and operating results. We are committed to our long-term CSG strategy and will continue to make investments to innovate across the portfolio. We expect that the CSG demand environment will continue to be subject to seasonal trends and to be influenced by the PC refresh cycle.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Recurring Revenue and Consumption Models</w:t>
      </w:r>
      <w:r>
        <w:rPr>
          <w:color w:val="000000"/>
        </w:rPr>
        <w:t xml:space="preserve"> — </w:t>
      </w:r>
      <w:r>
        <w:rPr>
          <w:rFonts w:ascii="Times New Roman;serif" w:hAnsi="Times New Roman;serif"/>
          <w:b w:val="false"/>
          <w:color w:val="000000"/>
          <w:sz w:val="20"/>
        </w:rPr>
        <w:t>We expect that our flexible consumption models will further strengthen our customer relationships and provide a foundation for recurring revenue. We define recurring revenue as revenue recognized that is primarily related to hardware and software maintenance, as well as operating leases, subscription, as-a-Service, and usage-based offerings.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Strategic Investments and Acquisitions</w:t>
      </w:r>
      <w:r>
        <w:rPr>
          <w:color w:val="000000"/>
        </w:rPr>
        <w:t xml:space="preserve"> — </w:t>
      </w:r>
      <w:r>
        <w:rPr>
          <w:rFonts w:ascii="Times New Roman;serif" w:hAnsi="Times New Roman;serif"/>
          <w:b w:val="false"/>
          <w:color w:val="000000"/>
          <w:sz w:val="20"/>
        </w:rPr>
        <w:t>As part of our strategy, we will continue to evaluate opportunities for strategic investments through our venture capital investment arm, Dell Technologies Capital, with a focus on emerging technology areas that are relevant to our business and that will complement our existing portfolio of solutions. The technologies or products these companies have under development are typically in the early stages and may never have commercial value, which could result in a loss of a substantial part of our investment in the companies. In addition to these investments, we may also make targeted acquisitions of businesses that advance our strategic objectives and accelerate our innovation agenda.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Foreign Currency Exposure</w:t>
      </w:r>
      <w:r>
        <w:rPr>
          <w:color w:val="000000"/>
        </w:rPr>
        <w:t xml:space="preserve"> — </w:t>
      </w:r>
      <w:r>
        <w:rPr>
          <w:rFonts w:ascii="Times New Roman;serif" w:hAnsi="Times New Roman;serif"/>
          <w:b w:val="false"/>
          <w:color w:val="000000"/>
          <w:sz w:val="20"/>
        </w:rPr>
        <w:t>We manage our business on a U.S. Dollar basis. However, we have a large global presence, generating approximately 45% and 50% of our net revenue from sales to customers outside of the United States during Fiscal 2026 and Fiscal 2025, respectively. As a result, our operating results can be, and particularly in recent periods have been, impacted by fluctuations in foreign currency exchange rates. We utilize a comprehensive hedging strategy intended to mitigate the impact of foreign currency volatility over time, and we adjust pricing when possible to further minimize foreign currency impacts.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Other Macroeconomic Risks and Uncertainties</w:t>
      </w:r>
      <w:r>
        <w:rPr>
          <w:color w:val="000000"/>
        </w:rPr>
        <w:t xml:space="preserve"> — </w:t>
      </w:r>
      <w:r>
        <w:rPr>
          <w:rFonts w:ascii="Times New Roman;serif" w:hAnsi="Times New Roman;serif"/>
          <w:b w:val="false"/>
          <w:color w:val="000000"/>
          <w:sz w:val="20"/>
        </w:rPr>
        <w:t>During Fiscal 2026, a number of countries, including the United States, imposed or proposed tariffs on imports, and may continue to do so. The impacts of trade protection measures, including changes in tariffs and trade barriers, changes in government policies and international trade arrangements, geopolitical volatility associated with terrorism, military conflicts (including the Iran conflict), and other events, and global macroeconomic conditions, or uncertainty regarding the impact of proposed or future trade protection measures, may affect our results of operations in some markets. We continue to leverage the agility and scale of our world-class supply chain to mitigate impacts of trade protection measures and will continue to respond to changing market conditions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6415"/>
                <wp:effectExtent l="0" t="0" r="0" b="0"/>
                <wp:wrapNone/>
                <wp:docPr id="41" name="Frame4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gross margin; non-GAAP services gross margin; non-GAAP gross margin; non-GAAP operating expenses; non-GAAP operating income; non-GAAP net income; non-GAAP earnings per share attributable to Dell Technologies Inc. - diluted; free cash flow; and adjusted free cash flow. These non-GAAP financial measures are not meant to be considered as indicators of performance or liquidity in isolation from or as a substitute for gross margin, operating expenses, operating income, net income, diluted earnings per share, or cash flows from operating activities prepared in accordance with GAAP, and should be read only in conjunction with financial information presented on a GAAP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non-GAAP financial measures to supplement financial information presented on a GAAP basis. Management uses these non-GAAP measures in financial planning and forecasting and when evaluating our financial results and operating trends and performance. We believe, when used supplementally with GAAP financial measures, these non-GAAP financial measures provide our investors with useful and transparent information to help them evaluate our results by facilitating an enhanced understanding of our results of operations and enabling them to make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Non-GAAP product gross margin, non-GAAP services gross margin, non-GAAP gross margin, non-GAAP operating expenses, non-GAAP operating income, non-GAAP net income, and non-GAAP earnings per share attributable to Dell Technologies Inc. - diluted, as defined by us, exclude amortization of intangible assets, stock-based compensation expense, other corporate expenses and, for non-GAAP net income and non-GAAP earnings per share attributable to Dell Technologies Inc. - diluted, fair value adjustments on equity investments and an aggregate adjustment for income taxes. As the excluded items may have a material impact on our financial results, our management compensates for this limitation by relying primarily on our GAAP results and using non-GAAP financial measures supplementally or for projections when comparable GAAP financial measures are not available.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items excluded from the most comparable GAAP financial measures to calculate our non-GAAP financial measures.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Amortization of Intangible Assets</w:t>
      </w:r>
      <w:r>
        <w:rPr>
          <w:color w:val="000000"/>
        </w:rPr>
        <w:t xml:space="preserve"> — </w:t>
      </w:r>
      <w:r>
        <w:rPr>
          <w:rFonts w:ascii="Times New Roman;serif" w:hAnsi="Times New Roman;serif"/>
          <w:b w:val="false"/>
          <w:color w:val="000000"/>
          <w:sz w:val="20"/>
        </w:rPr>
        <w:t>Amortization of intangible assets primarily consists of the amortization of customer relationships, developed technology, and trade names. In connection with our acquisition by merger of EMC Corporation in 2016, all of the tangible and intangible assets and liabilities were accounted for and recognized at fair value on the transaction date. We exclude amortization charges for the amortization of intangible assets as they do not reflect our current operating performance and charges are significantly impacted by the timing and magnitude of our acquisitions and, as a result, may vary in amount from period to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Stock-based Compensation Expense</w:t>
      </w:r>
      <w:r>
        <w:rPr>
          <w:color w:val="000000"/>
        </w:rPr>
        <w:t xml:space="preserve"> — </w:t>
      </w:r>
      <w:r>
        <w:rPr>
          <w:rFonts w:ascii="Times New Roman;serif" w:hAnsi="Times New Roman;serif"/>
          <w:b w:val="false"/>
          <w:color w:val="000000"/>
          <w:sz w:val="20"/>
        </w:rPr>
        <w:t>Stock-based compensation expense consists of equity awards granted based on the estimated fair value of those awards at grant date. To estimate the fair value of performance-based awards containing a market condition, we use the Monte Carlo valuation model. For other share-based awards, the fair value is generally based on the closing price of the Class C Common Stock as reported on the New York Stock Exchange on the date of grant or most recent preceding trading day if the grant date falls on a non-trading day. Although stock-based compensation is an important aspect of the compensation of our employees and executives, we exclude such expense because the fair value of the stock-based awards may fluctuate based on factors unrelated to the operating performance of the business and may bear little resemblance to the actual value realized upon the vesting or future exercise of the related stock-based awards.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26415"/>
                <wp:effectExtent l="0" t="0" r="0" b="0"/>
                <wp:wrapNone/>
                <wp:docPr id="42" name="Frame4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Other Corporate Expenses</w:t>
      </w:r>
      <w:r>
        <w:rPr>
          <w:color w:val="000000"/>
        </w:rPr>
        <w:t xml:space="preserve"> — </w:t>
      </w:r>
      <w:r>
        <w:rPr>
          <w:rFonts w:ascii="Times New Roman;serif" w:hAnsi="Times New Roman;serif"/>
          <w:b w:val="false"/>
          <w:color w:val="000000"/>
          <w:sz w:val="20"/>
        </w:rPr>
        <w:t>Other corporate expenses consist primarily of severance expenses, transaction-related impacts of the sales of businesses, payroll taxes associated with stock-based compensation, incentive charges related to equity investments, transaction-related expenses, facility action costs, and impairment charges. Severance costs are primarily related to severance and benefits for employees impacted by cost management initiatives. During Fiscal 2026, Fiscal 2025, and Fiscal 2024, we recognized $0.6 billion, $0.7 billion, and $0.6 billion, respectively, of severance expense related to workforce reduction activities. During Fiscal 2026, we recognized a $0.2 billion gain related to the sale of Secureworks. Although we may incur these types of items in the future, we exclude other corporate expenses as they can vary from period to period, are significantly impacted by the timing and nature of these events, and are not used by management in assessing operating performance of the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Fair Value Adjustments on Equity Investments</w:t>
      </w:r>
      <w:r>
        <w:rPr>
          <w:color w:val="000000"/>
        </w:rPr>
        <w:t xml:space="preserve"> — </w:t>
      </w:r>
      <w:r>
        <w:rPr>
          <w:rFonts w:ascii="Times New Roman;serif" w:hAnsi="Times New Roman;serif"/>
          <w:b w:val="false"/>
          <w:color w:val="000000"/>
          <w:sz w:val="20"/>
        </w:rPr>
        <w:t>Fair value adjustments on equity investments primarily consist of the gain (loss) on strategic investments, which includes recurring fair value adjustments of investments in publicly-traded companies, as well as those in privately-held companies, which are adjusted for observable price changes and any potential impairments. See Note 4 of the Notes to the Consolidated Financial Statements included in this report for additional information on our strategic investment activity. We exclude fair value adjustments on equity investments given the volatility in ongoing adjustments to the valuation of these strategic investments and because such adjustments are unrelated to the operating performance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Aggregate Adjustment for Income Taxes</w:t>
      </w:r>
      <w:r>
        <w:rPr>
          <w:color w:val="000000"/>
        </w:rPr>
        <w:t xml:space="preserve"> — </w:t>
      </w:r>
      <w:r>
        <w:rPr>
          <w:rFonts w:ascii="Times New Roman;serif" w:hAnsi="Times New Roman;serif"/>
          <w:b w:val="false"/>
          <w:color w:val="000000"/>
          <w:sz w:val="20"/>
        </w:rPr>
        <w:t>The aggregate adjustment for income taxes is the estimated combined income tax effect for the adjustments described above and determined based on the tax jurisdictions where those adjustments were incurred, as well as an adjustment for discrete tax items. During Fiscal 2025, the aggregate adjustment for income taxes included discrete tax benefits of $0.4 billion related to changes in uncertain tax benefits resulting from the expiration of certain U.S. statutes of limitations and $0.2 billion related to stock-based compensation. We exclude these benefits or charges for purposes of calculating non-GAAP net income due to the variability in recognition of discrete tax items from period to period. The tax effects are determined based on the tax jurisdictions where the above items were incurred. See Note 12 of the Notes to the Consolidated Financial Statements included in this report for additional information about our income taxes. Our non-GAAP income tax was calculated using a fixed estimated annual tax rate that is determined based on historical trends and projections for the current fiscal year. We may adjust our estimated annual tax rate during the fiscal year to take into account events that would significantly impact our income tax expense, including significant changes resulting from tax legislation, material changes in geographic mix of net revenue and expenses, changes to our corporate structure, and other significant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26415"/>
                <wp:effectExtent l="0" t="0" r="0" b="0"/>
                <wp:wrapNone/>
                <wp:docPr id="43" name="Frame4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 xml:space="preserve">The following table presents a reconciliation of each non-GAAP financial measure to the most directly comparable GAAP measure for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periods indicated:</w:t>
      </w:r>
    </w:p>
    <w:tbl>
      <w:tblPr>
        <w:tblW w:w="10205" w:type="dxa"/>
        <w:jc w:val="center"/>
        <w:tblInd w:w="0" w:type="dxa"/>
        <w:tblLayout w:type="fixed"/>
        <w:tblCellMar>
          <w:top w:w="28" w:type="dxa"/>
          <w:left w:w="28" w:type="dxa"/>
          <w:bottom w:w="28" w:type="dxa"/>
          <w:right w:w="28" w:type="dxa"/>
        </w:tblCellMar>
      </w:tblPr>
      <w:tblGrid>
        <w:gridCol w:w="947"/>
        <w:gridCol w:w="627"/>
        <w:gridCol w:w="631"/>
        <w:gridCol w:w="109"/>
        <w:gridCol w:w="109"/>
        <w:gridCol w:w="109"/>
        <w:gridCol w:w="109"/>
        <w:gridCol w:w="109"/>
        <w:gridCol w:w="109"/>
        <w:gridCol w:w="271"/>
        <w:gridCol w:w="927"/>
        <w:gridCol w:w="140"/>
        <w:gridCol w:w="109"/>
        <w:gridCol w:w="109"/>
        <w:gridCol w:w="109"/>
        <w:gridCol w:w="220"/>
        <w:gridCol w:w="220"/>
        <w:gridCol w:w="551"/>
        <w:gridCol w:w="109"/>
        <w:gridCol w:w="109"/>
        <w:gridCol w:w="109"/>
        <w:gridCol w:w="271"/>
        <w:gridCol w:w="927"/>
        <w:gridCol w:w="140"/>
        <w:gridCol w:w="109"/>
        <w:gridCol w:w="109"/>
        <w:gridCol w:w="109"/>
        <w:gridCol w:w="220"/>
        <w:gridCol w:w="220"/>
        <w:gridCol w:w="551"/>
        <w:gridCol w:w="109"/>
        <w:gridCol w:w="109"/>
        <w:gridCol w:w="109"/>
        <w:gridCol w:w="267"/>
        <w:gridCol w:w="914"/>
        <w:gridCol w:w="199"/>
      </w:tblGrid>
      <w:tr>
        <w:trPr/>
        <w:tc>
          <w:tcPr>
            <w:tcW w:w="94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7"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025" w:type="dxa"/>
            <w:gridSpan w:val="12"/>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product gross margin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Services gross margin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services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6415"/>
                <wp:effectExtent l="0" t="0" r="0" b="0"/>
                <wp:wrapNone/>
                <wp:docPr id="44" name="Frame4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51"/>
        <w:gridCol w:w="799"/>
        <w:gridCol w:w="803"/>
        <w:gridCol w:w="109"/>
        <w:gridCol w:w="109"/>
        <w:gridCol w:w="109"/>
        <w:gridCol w:w="109"/>
        <w:gridCol w:w="109"/>
        <w:gridCol w:w="109"/>
        <w:gridCol w:w="252"/>
        <w:gridCol w:w="738"/>
        <w:gridCol w:w="130"/>
        <w:gridCol w:w="109"/>
        <w:gridCol w:w="109"/>
        <w:gridCol w:w="109"/>
        <w:gridCol w:w="220"/>
        <w:gridCol w:w="220"/>
        <w:gridCol w:w="551"/>
        <w:gridCol w:w="109"/>
        <w:gridCol w:w="109"/>
        <w:gridCol w:w="109"/>
        <w:gridCol w:w="252"/>
        <w:gridCol w:w="738"/>
        <w:gridCol w:w="130"/>
        <w:gridCol w:w="109"/>
        <w:gridCol w:w="109"/>
        <w:gridCol w:w="109"/>
        <w:gridCol w:w="220"/>
        <w:gridCol w:w="220"/>
        <w:gridCol w:w="551"/>
        <w:gridCol w:w="109"/>
        <w:gridCol w:w="109"/>
        <w:gridCol w:w="109"/>
        <w:gridCol w:w="249"/>
        <w:gridCol w:w="729"/>
        <w:gridCol w:w="190"/>
      </w:tblGrid>
      <w:tr>
        <w:trPr/>
        <w:tc>
          <w:tcPr>
            <w:tcW w:w="125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2813" w:type="dxa"/>
            <w:gridSpan w:val="12"/>
            <w:tcBorders/>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 and per share amounts)</w:t>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Dell Technologies Inc.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attributable to Dell Technologies Inc.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6415"/>
                <wp:effectExtent l="0" t="0" r="0" b="0"/>
                <wp:wrapNone/>
                <wp:docPr id="45" name="Frame4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measures, we use free cash flow and adjusted free cash flow as non-GAAP liquidity measures to evaluate our performance. As presented in the following table, we define free cash flow as cash flow from operations after excluding capital expenditures and capitalized software development costs, net. To measure adjusted free cash flow, we exclude the impact of financing receivables and equipment under operating leases from free cash flow, as the initial funding of these DFS offerings at the time of origination is largely subsequently replaced with cash inflows from our DFS related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 and adjusted free cash flow provide useful information to management and investors in part because we use these metrics in our long-term capital allocation framework. Further, we believe free cash flow and adjusted free cash flow are useful measures to management and investors because they reflect cash that we can use, among other purposes, to repurchase common stock, pay dividends on our common stock, invest in our business, pay down debt, and make strategic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is the case with the other non-GAAP measures presented above, users should consider the limitations of using free cash flow and adjusted free cash flow, including the fact that those measures do not provide a complete measure of our cash flows for any period. Free cash flow and adjusted free cash flow do not purport to be alternatives to cash flows from operating activities as a measure of liquidity. In particular, free cash flow and adjusted free cash flow are not intended to be a measure of cash flow available for management’s discretionary use, as these measures do not reflect certain cash requirements, such as debt service requirements and other contractual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free cash flow and adjusted free cash flow to cash flow from operations for the periods indicated:</w:t>
      </w:r>
    </w:p>
    <w:tbl>
      <w:tblPr>
        <w:tblW w:w="10205" w:type="dxa"/>
        <w:jc w:val="left"/>
        <w:tblInd w:w="0" w:type="dxa"/>
        <w:tblLayout w:type="fixed"/>
        <w:tblCellMar>
          <w:top w:w="28" w:type="dxa"/>
          <w:left w:w="28" w:type="dxa"/>
          <w:bottom w:w="28" w:type="dxa"/>
          <w:right w:w="28" w:type="dxa"/>
        </w:tblCellMar>
      </w:tblPr>
      <w:tblGrid>
        <w:gridCol w:w="1067"/>
        <w:gridCol w:w="813"/>
        <w:gridCol w:w="816"/>
        <w:gridCol w:w="109"/>
        <w:gridCol w:w="109"/>
        <w:gridCol w:w="109"/>
        <w:gridCol w:w="109"/>
        <w:gridCol w:w="109"/>
        <w:gridCol w:w="109"/>
        <w:gridCol w:w="245"/>
        <w:gridCol w:w="840"/>
        <w:gridCol w:w="126"/>
        <w:gridCol w:w="109"/>
        <w:gridCol w:w="109"/>
        <w:gridCol w:w="109"/>
        <w:gridCol w:w="233"/>
        <w:gridCol w:w="233"/>
        <w:gridCol w:w="551"/>
        <w:gridCol w:w="109"/>
        <w:gridCol w:w="109"/>
        <w:gridCol w:w="109"/>
        <w:gridCol w:w="257"/>
        <w:gridCol w:w="751"/>
        <w:gridCol w:w="132"/>
        <w:gridCol w:w="109"/>
        <w:gridCol w:w="109"/>
        <w:gridCol w:w="109"/>
        <w:gridCol w:w="220"/>
        <w:gridCol w:w="220"/>
        <w:gridCol w:w="551"/>
        <w:gridCol w:w="109"/>
        <w:gridCol w:w="109"/>
        <w:gridCol w:w="109"/>
        <w:gridCol w:w="254"/>
        <w:gridCol w:w="742"/>
        <w:gridCol w:w="192"/>
      </w:tblGrid>
      <w:tr>
        <w:trPr/>
        <w:tc>
          <w:tcPr>
            <w:tcW w:w="10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2833" w:type="dxa"/>
            <w:gridSpan w:val="12"/>
            <w:tcBorders/>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2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capitalized software development costs, net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under operating leases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(a)Capital expenditures and capitalized software development costs, net includes proceeds from sales of facilities, land, and other assets.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(b)Financing receivables represent the operating cash flow impact from the change in financing receivables.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(c)Equipment under operating leases represents the net impact of capital expenditures and depreciation expense for leases and contractually embedded leases identified within flexible consumption arrangements.</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6415"/>
                <wp:effectExtent l="0" t="0" r="0" b="0"/>
                <wp:wrapNone/>
                <wp:docPr id="46" name="Frame4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consolidated results for the periods indicated. Unless otherwise indicated, all changes identified for the current-period results represent comparisons to results for the prior corresponding fiscal period. </w:t>
      </w:r>
    </w:p>
    <w:tbl>
      <w:tblPr>
        <w:tblW w:w="12701" w:type="dxa"/>
        <w:jc w:val="center"/>
        <w:tblInd w:w="0" w:type="dxa"/>
        <w:tblLayout w:type="fixed"/>
        <w:tblCellMar>
          <w:top w:w="28" w:type="dxa"/>
          <w:left w:w="28" w:type="dxa"/>
          <w:bottom w:w="28" w:type="dxa"/>
          <w:right w:w="28" w:type="dxa"/>
        </w:tblCellMar>
      </w:tblPr>
      <w:tblGrid>
        <w:gridCol w:w="610"/>
        <w:gridCol w:w="300"/>
        <w:gridCol w:w="216"/>
        <w:gridCol w:w="109"/>
        <w:gridCol w:w="109"/>
        <w:gridCol w:w="109"/>
        <w:gridCol w:w="109"/>
        <w:gridCol w:w="109"/>
        <w:gridCol w:w="109"/>
        <w:gridCol w:w="250"/>
        <w:gridCol w:w="250"/>
        <w:gridCol w:w="251"/>
        <w:gridCol w:w="109"/>
        <w:gridCol w:w="196"/>
        <w:gridCol w:w="736"/>
        <w:gridCol w:w="109"/>
        <w:gridCol w:w="109"/>
        <w:gridCol w:w="109"/>
        <w:gridCol w:w="109"/>
        <w:gridCol w:w="344"/>
        <w:gridCol w:w="212"/>
        <w:gridCol w:w="414"/>
        <w:gridCol w:w="109"/>
        <w:gridCol w:w="109"/>
        <w:gridCol w:w="109"/>
        <w:gridCol w:w="214"/>
        <w:gridCol w:w="214"/>
        <w:gridCol w:w="503"/>
        <w:gridCol w:w="109"/>
        <w:gridCol w:w="109"/>
        <w:gridCol w:w="109"/>
        <w:gridCol w:w="196"/>
        <w:gridCol w:w="646"/>
        <w:gridCol w:w="109"/>
        <w:gridCol w:w="109"/>
        <w:gridCol w:w="109"/>
        <w:gridCol w:w="109"/>
        <w:gridCol w:w="344"/>
        <w:gridCol w:w="212"/>
        <w:gridCol w:w="414"/>
        <w:gridCol w:w="109"/>
        <w:gridCol w:w="109"/>
        <w:gridCol w:w="109"/>
        <w:gridCol w:w="214"/>
        <w:gridCol w:w="214"/>
        <w:gridCol w:w="503"/>
        <w:gridCol w:w="109"/>
        <w:gridCol w:w="109"/>
        <w:gridCol w:w="109"/>
        <w:gridCol w:w="196"/>
        <w:gridCol w:w="646"/>
        <w:gridCol w:w="109"/>
        <w:gridCol w:w="109"/>
        <w:gridCol w:w="109"/>
        <w:gridCol w:w="109"/>
        <w:gridCol w:w="324"/>
        <w:gridCol w:w="232"/>
        <w:gridCol w:w="471"/>
      </w:tblGrid>
      <w:tr>
        <w:trPr/>
        <w:tc>
          <w:tcPr>
            <w:tcW w:w="6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0"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Ended</w:t>
            </w:r>
          </w:p>
        </w:tc>
        <w:tc>
          <w:tcPr>
            <w:tcW w:w="5187" w:type="dxa"/>
            <w:gridSpan w:val="24"/>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30, 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February 2, 2024</w:t>
            </w:r>
          </w:p>
        </w:tc>
        <w:tc>
          <w:tcPr>
            <w:tcW w:w="2632" w:type="dxa"/>
            <w:gridSpan w:val="1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 and per share amounts)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attributable to Dell Technologies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Non-GAAP Financial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0"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Ended</w:t>
            </w:r>
          </w:p>
        </w:tc>
        <w:tc>
          <w:tcPr>
            <w:tcW w:w="5187" w:type="dxa"/>
            <w:gridSpan w:val="24"/>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30, 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February 2, 2024</w:t>
            </w:r>
          </w:p>
        </w:tc>
        <w:tc>
          <w:tcPr>
            <w:tcW w:w="2632" w:type="dxa"/>
            <w:gridSpan w:val="1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 and per share amounts)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Non-GAAP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earnings per share attributable to Dell Technologies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Non-GAAP product gross margin, non-GAAP services gross margin, non-GAAP gross margin, non-GAAP operating expenses, non-GAAP operating income, non-GAAP net income, non-GAAP earnings per share attributable to Dell Technologies - diluted, free cash flow, and adjusted free cash flow are not measurements of financial performance prepared in accordance with GAAP. See “Non</w:t>
        <w:noBreakHyphen/>
        <w:t>GAAP Financial Measures”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6415"/>
                <wp:effectExtent l="0" t="0" r="0" b="0"/>
                <wp:wrapNone/>
                <wp:docPr id="47" name="Frame4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net revenue increased by 19% driven by an increase in ISG net revenue and, to a lesser extent, CSG net revenue that was partially offset by a decrease in Corporate and other net revenue. The increase in ISG net revenue was primarily driven by growth in our AI-optimized servers offerings and, to a lesser extent, our traditional servers and networking offerings. The increase in CSG net revenue was attributable to an increase in sales of our commercial offerings. Corporate and other net revenue declined primarily due to a decrease in VMware Resale revenue, as we no longer act as a distributor of standalone VMware offerings, and, to a lesser extent, the sale of Secureworks.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operating income and non-GAAP operating income increased by 31% to $8.1 billion and 17% to $10.0 billion, respectively. The increases in operating income and non-GAAP operating income were primarily attributable to an increase in ISG operating income that was driven by our servers and networking offerings and our storage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operating income as a percentage of net revenue increased 70 basis points to 7.2%. Operating income as a percentage of net revenue benefited from the favorable impact of a decline in operating expense rate as a result of strong net revenue growth coupled with continued disciplined cost management and, to a lesser extent, lower other corporate expenses. The favorable impact of operating expense rate was partially offset by a decline in gross margin rate as a result of a shift in mix towards our AI-optimized servers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non-GAAP operating income as a percentage of net revenue decreased 10 basis points to 8.8%. The decrease reflected a decline in gross margin rate as a result of a shift in mix towards our AI-optimized servers offerings, which was largely offset by the favorable impact of a decline in operating expense rate as a result of strong net revenue growth coupled with continued disciplined cost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$11.2 billion during Fiscal 2026 and was driven by net revenue growth, profitability, and working capital dynamics, partially offset by higher financing receivables. Financing receivables and working capital were primarily affected by increased demand for our AI-optimized servers offerings. During Fiscal 2025, cash provided by operating activities was $4.5 billion and was driven by profitability, partially offset by working capital dynamics. Working capital during Fiscal 2025 was primarily impacted by AI dynamics, which led to higher inventory, accounts receivable, and accounts payable levels. See “Liquidity, Cash Requirements, and Market Conditions” for additional information about our cash flow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see opportunities to create value and grow as we respond to long-term demand for our IT solutions driven by a data- and AI-enabled world. We have demonstrated our ability to adjust to changing market conditions with complementary solutions and innovation across both segments of our business, an agile workforce, and the strength of our global supply chain. As we continue to innovate and modernize our offerings, we believe that Dell Technologies is well-positioned for long-term profitable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net revenue increased 19%, driven by an increase in ISG net revenue and, to a lesser extent, CSG net revenue that was partially offset by a decrease in Corporate and other net revenue. See “Business Unit Results” for further information.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Product Net Revenue</w:t>
      </w:r>
      <w:r>
        <w:rPr>
          <w:color w:val="000000"/>
        </w:rPr>
        <w:t xml:space="preserve"> — </w:t>
      </w:r>
      <w:r>
        <w:rPr>
          <w:rFonts w:ascii="Times New Roman;serif" w:hAnsi="Times New Roman;serif"/>
          <w:b w:val="false"/>
          <w:color w:val="000000"/>
          <w:sz w:val="20"/>
        </w:rPr>
        <w:t>Product net revenue includes revenue from the sale of hardware products and software licenses. During Fiscal 2026, product net revenue increased 27%, due to an increase in ISG product net revenue and, to a lesser extent, CSG product net revenue. The increase in ISG product net revenue was primarily driven by growth in our AI-optimized servers offerings and, to a lesser extent, our traditional servers and networking offerings. The increase in CSG product net revenue reflected growth in our commercial offerings, which was partially offset by lower demand for our consumer offerings.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6415"/>
                <wp:effectExtent l="0" t="0" r="0" b="0"/>
                <wp:wrapNone/>
                <wp:docPr id="48" name="Frame4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Services Net Revenue</w:t>
      </w:r>
      <w:r>
        <w:rPr>
          <w:color w:val="000000"/>
        </w:rPr>
        <w:t xml:space="preserve"> — </w:t>
      </w:r>
      <w:r>
        <w:rPr>
          <w:rFonts w:ascii="Times New Roman;serif" w:hAnsi="Times New Roman;serif"/>
          <w:b w:val="false"/>
          <w:color w:val="000000"/>
          <w:sz w:val="20"/>
        </w:rPr>
        <w:t>Services net revenue includes revenue from our services offerings and support services related to hardware products and software licenses. During Fiscal 2026, services net revenue decreased 4% due to a decline in Corporate and other services net revenue. The decline was primarily due to a decrease in VMware Resale revenue, as we no longer act as a distributor of standalone VMware offerings and, to a lesser extent, the sale of Secureworks. The decline was partially offset by growth within services net revenue attributable to ISG and CSG, which was driven by support and maintenance associated with products sold in prior periods within both CSG and ISG and higher AI-optimized servers offerings within ISG.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substantial portion of services net revenue is derived from offerings that have been deferred over a period of time. As a result, reported growth rates for services net revenue will be different than reported growth rates for product net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a geographical perspective, net revenue during Fiscal 2026 increased in the Americas, driven by our AI-optimized servers offerings, and, to a lesser extent, in EMEA and APJ.</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gross margin and non-GAAP gross margin increased 7% to $22.7 billion and 6% to $23.2 billion, respectively, primarily due to an increase in ISG gross margin that was driven by growth in our servers and networking offerings and, to a lesser extent, growth in our core storage offerings. The increase in ISG gross margin was partially offset by a decline in Corporate and other gross margin driven by the sale of Secureworks.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gross margin percentage and non-GAAP gross margin percentage decreased 220 basis points to 20.0% and 240 basis points to 20.4%, respectively. The decreases in gross margin percentage and non-GAAP gross margin percentage were primarily driven by a shift in mix towards our AI-optimized servers offerings.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Product Gross Margin</w:t>
      </w:r>
      <w:r>
        <w:rPr>
          <w:color w:val="000000"/>
        </w:rPr>
        <w:t xml:space="preserve"> — </w:t>
      </w:r>
      <w:r>
        <w:rPr>
          <w:rFonts w:ascii="Times New Roman;serif" w:hAnsi="Times New Roman;serif"/>
          <w:b w:val="false"/>
          <w:color w:val="000000"/>
          <w:sz w:val="20"/>
        </w:rPr>
        <w:t xml:space="preserve">During Fiscal 2026, product gross margin and non-GAAP product gross margin increased 10% to $12.3 billion and 9% to $12.6 billion, respectively. The increases in product gross margin and non-GAAP product gross margin were primarily attributable to an increase in ISG product gross margin due to growth in our servers and networking offerings and, to a lesser extent, the mix in our storage offerings.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product gross margin percentage and non-GAAP product gross margin percentage decreased 210 basis points to 13.7% and 230 basis points to 13.9%, respectively, primarily due to a shift in mix towards our AI-optimized servers offerings.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Services Gross Margin</w:t>
      </w:r>
      <w:r>
        <w:rPr>
          <w:color w:val="000000"/>
        </w:rPr>
        <w:t xml:space="preserve"> — </w:t>
      </w:r>
      <w:r>
        <w:rPr>
          <w:rFonts w:ascii="Times New Roman;serif" w:hAnsi="Times New Roman;serif"/>
          <w:b w:val="false"/>
          <w:color w:val="000000"/>
          <w:sz w:val="20"/>
        </w:rPr>
        <w:t>During Fiscal 2026, services gross margin and non-GAAP services gross margin increased 4% to $10.4 billion and 3% to $10.6 billion, respectively. The increases were principally attributable to an increase in ISG services gross margin, which was primarily driven by higher AI-optimized servers offerings and hardware support and maintenance associated with products sold in prior periods. The increase in ISG services gross margin was partially offset by a decline in Corporate and other gross margin driven by the sale of Secureworks.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services gross margin percentage and non-GAAP services gross margin percentage increased 340 basis points to 44.8% and 320 basis points to 45.6%, respectively, primarily driven by a shift in mix, as we no longer act as a distributor of standalone VMware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Vendor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6415"/>
                <wp:effectExtent l="0" t="0" r="0" b="0"/>
                <wp:wrapNone/>
                <wp:docPr id="49" name="Frame4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2026 were not materially affected by any changes to the terms of our vendor rebate programs, as the amounts we received under these programs were generally stable relative to our total net cost. We are not aware of any significant changes to our vendor rebate programs that will materially impact our results in the near term.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information regarding our operating expenses for the periods indicated:</w:t>
      </w:r>
    </w:p>
    <w:tbl>
      <w:tblPr>
        <w:tblW w:w="12326" w:type="dxa"/>
        <w:jc w:val="center"/>
        <w:tblInd w:w="0" w:type="dxa"/>
        <w:tblLayout w:type="fixed"/>
        <w:tblCellMar>
          <w:top w:w="28" w:type="dxa"/>
          <w:left w:w="28" w:type="dxa"/>
          <w:bottom w:w="28" w:type="dxa"/>
          <w:right w:w="28" w:type="dxa"/>
        </w:tblCellMar>
      </w:tblPr>
      <w:tblGrid>
        <w:gridCol w:w="565"/>
        <w:gridCol w:w="272"/>
        <w:gridCol w:w="274"/>
        <w:gridCol w:w="109"/>
        <w:gridCol w:w="109"/>
        <w:gridCol w:w="109"/>
        <w:gridCol w:w="109"/>
        <w:gridCol w:w="109"/>
        <w:gridCol w:w="109"/>
        <w:gridCol w:w="250"/>
        <w:gridCol w:w="250"/>
        <w:gridCol w:w="251"/>
        <w:gridCol w:w="109"/>
        <w:gridCol w:w="196"/>
        <w:gridCol w:w="646"/>
        <w:gridCol w:w="109"/>
        <w:gridCol w:w="109"/>
        <w:gridCol w:w="109"/>
        <w:gridCol w:w="109"/>
        <w:gridCol w:w="290"/>
        <w:gridCol w:w="176"/>
        <w:gridCol w:w="414"/>
        <w:gridCol w:w="109"/>
        <w:gridCol w:w="109"/>
        <w:gridCol w:w="109"/>
        <w:gridCol w:w="214"/>
        <w:gridCol w:w="214"/>
        <w:gridCol w:w="503"/>
        <w:gridCol w:w="109"/>
        <w:gridCol w:w="109"/>
        <w:gridCol w:w="109"/>
        <w:gridCol w:w="196"/>
        <w:gridCol w:w="646"/>
        <w:gridCol w:w="109"/>
        <w:gridCol w:w="109"/>
        <w:gridCol w:w="109"/>
        <w:gridCol w:w="109"/>
        <w:gridCol w:w="290"/>
        <w:gridCol w:w="176"/>
        <w:gridCol w:w="414"/>
        <w:gridCol w:w="109"/>
        <w:gridCol w:w="109"/>
        <w:gridCol w:w="109"/>
        <w:gridCol w:w="214"/>
        <w:gridCol w:w="214"/>
        <w:gridCol w:w="503"/>
        <w:gridCol w:w="109"/>
        <w:gridCol w:w="109"/>
        <w:gridCol w:w="109"/>
        <w:gridCol w:w="196"/>
        <w:gridCol w:w="646"/>
        <w:gridCol w:w="109"/>
        <w:gridCol w:w="109"/>
        <w:gridCol w:w="109"/>
        <w:gridCol w:w="109"/>
        <w:gridCol w:w="296"/>
        <w:gridCol w:w="170"/>
        <w:gridCol w:w="471"/>
      </w:tblGrid>
      <w:tr>
        <w:trPr/>
        <w:tc>
          <w:tcPr>
            <w:tcW w:w="5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0"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Ended</w:t>
            </w:r>
          </w:p>
        </w:tc>
        <w:tc>
          <w:tcPr>
            <w:tcW w:w="5007" w:type="dxa"/>
            <w:gridSpan w:val="2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30, 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February 2, 2024</w:t>
            </w:r>
          </w:p>
        </w:tc>
        <w:tc>
          <w:tcPr>
            <w:tcW w:w="2542"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0"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Ended</w:t>
            </w:r>
          </w:p>
        </w:tc>
        <w:tc>
          <w:tcPr>
            <w:tcW w:w="5007" w:type="dxa"/>
            <w:gridSpan w:val="2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30, 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February 2, 2024</w:t>
            </w:r>
          </w:p>
        </w:tc>
        <w:tc>
          <w:tcPr>
            <w:tcW w:w="2542"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total operating expenses decreased 3% due to a decline in selling, general, and administrative (“SG&amp;A”)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Selling, General, and Administrative</w:t>
      </w:r>
      <w:r>
        <w:rPr>
          <w:color w:val="000000"/>
        </w:rPr>
        <w:t xml:space="preserve"> — </w:t>
      </w:r>
      <w:r>
        <w:rPr>
          <w:rFonts w:ascii="Times New Roman;serif" w:hAnsi="Times New Roman;serif"/>
          <w:b w:val="false"/>
          <w:color w:val="000000"/>
          <w:sz w:val="20"/>
        </w:rPr>
        <w:t>During Fiscal 2026, SG&amp;A expenses decreased 4%, driven by a decrease in employee compensation and benefits expense, which primarily resulted from a decline in overall headcount.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u w:val="single"/>
        </w:rPr>
        <w:t>Research and Development</w:t>
      </w:r>
      <w:r>
        <w:rPr>
          <w:color w:val="000000"/>
        </w:rPr>
        <w:t xml:space="preserve"> — </w:t>
      </w:r>
      <w:r>
        <w:rPr>
          <w:rFonts w:ascii="Times New Roman;serif" w:hAnsi="Times New Roman;serif"/>
          <w:b w:val="false"/>
          <w:color w:val="000000"/>
          <w:sz w:val="20"/>
        </w:rPr>
        <w:t>Research and development (“R&amp;D”) expenses are primarily composed of personnel-related expenses incurred in connection with product development. R&amp;D expenses increased 3% during Fiscal 2026, principally due to continued support of investments in R&amp;D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percentage of net revenue, R&amp;D expenses for Fiscal 2026 and Fiscal 2025 were 2.8% and 3.2%, respectively. We continue to support R&amp;D initiatives to innovate and introduce new and enhanced solutions into the market.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non-GAAP operating expenses decreased 1%, driven by a decline in employee compensation and benefits expense which primarily resulted from a decline in overall headcount. The decline in employee compensation and benefits expense was largely offset by continued support of investments in R&amp;D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make strategic investments designed to enable growth and innovation, while balancing our efforts to drive cost efficiencies in the business. We also expect to continue making investments in support of our own digital transformation, which aims to streamline and optimize our business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6415"/>
                <wp:effectExtent l="0" t="0" r="0" b="0"/>
                <wp:wrapNone/>
                <wp:docPr id="50" name="Frame4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operating income and non-GAAP operating income increased by 31% to $8.1 billion and 17% to $10.0 billion, respectively. The increases in operating income and non-GAAP operating income were primarily attributable to an increase in ISG operating income that was driven by our servers and networking offerings and our storage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operating income as a percentage of net revenue increased 70 basis points to 7.2%. Operating income as a percentage of net revenue benefited from the favorable impact of a decline in operating expense rate as a result of strong net revenue growth coupled with continued disciplined cost management and, to a lesser extent, lower other corporate expenses. The favorable impact of operating expense rate was partially offset by a decline in gross margin rate as a result of a shift in mix towards our AI-optimized servers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non-GAAP operating income as a percentage of net revenue decreased 10 basis points to 8.8%. The decrease reflected a decline in gross margin rate as a result of a shift in mix towards our AI-optimized servers offerings, which was largely offset by the favorable impact of a decline in operating expense rate as a result of strong net revenue growth coupled with continued disciplined cost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and Other, Net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following table presents </w:t>
      </w:r>
      <w:r>
        <w:rPr>
          <w:rFonts w:ascii="Times New Roman;serif" w:hAnsi="Times New Roman;serif"/>
          <w:b w:val="false"/>
          <w:color w:val="000000"/>
          <w:sz w:val="20"/>
        </w:rPr>
        <w:t>information regarding</w:t>
      </w:r>
      <w:r>
        <w:rPr>
          <w:color w:val="000000"/>
          <w:shd w:fill="FFFFFF" w:val="clear"/>
        </w:rPr>
        <w:t xml:space="preserve"> </w:t>
      </w:r>
      <w:r>
        <w:rPr>
          <w:rFonts w:ascii="Times New Roman;serif" w:hAnsi="Times New Roman;serif"/>
          <w:b w:val="false"/>
          <w:color w:val="000000"/>
          <w:sz w:val="20"/>
          <w:shd w:fill="FFFFFF" w:val="clear"/>
        </w:rPr>
        <w:t xml:space="preserve">interest and other, net for the periods indicated: </w:t>
      </w:r>
    </w:p>
    <w:tbl>
      <w:tblPr>
        <w:tblW w:w="9577" w:type="dxa"/>
        <w:jc w:val="left"/>
        <w:tblInd w:w="0" w:type="dxa"/>
        <w:tblLayout w:type="fixed"/>
        <w:tblCellMar>
          <w:top w:w="28" w:type="dxa"/>
          <w:left w:w="28" w:type="dxa"/>
          <w:bottom w:w="28" w:type="dxa"/>
          <w:right w:w="28" w:type="dxa"/>
        </w:tblCellMar>
      </w:tblPr>
      <w:tblGrid>
        <w:gridCol w:w="1333"/>
        <w:gridCol w:w="1172"/>
        <w:gridCol w:w="1184"/>
        <w:gridCol w:w="109"/>
        <w:gridCol w:w="109"/>
        <w:gridCol w:w="109"/>
        <w:gridCol w:w="109"/>
        <w:gridCol w:w="389"/>
        <w:gridCol w:w="999"/>
        <w:gridCol w:w="201"/>
        <w:gridCol w:w="109"/>
        <w:gridCol w:w="109"/>
        <w:gridCol w:w="109"/>
        <w:gridCol w:w="332"/>
        <w:gridCol w:w="1087"/>
        <w:gridCol w:w="171"/>
        <w:gridCol w:w="109"/>
        <w:gridCol w:w="109"/>
        <w:gridCol w:w="109"/>
        <w:gridCol w:w="323"/>
        <w:gridCol w:w="1060"/>
        <w:gridCol w:w="236"/>
      </w:tblGrid>
      <w:tr>
        <w:trPr/>
        <w:tc>
          <w:tcPr>
            <w:tcW w:w="13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Interest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 primarily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businesses and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the change in interest and other, net was favorable primarily due to the gain on the sale of Secureworks, investment income, and gains recognized within our strategic investments portfolio, partially offset by increased interest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and Other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information regarding our income and other taxes for the periods indicated:</w:t>
      </w:r>
    </w:p>
    <w:tbl>
      <w:tblPr>
        <w:tblW w:w="8272" w:type="dxa"/>
        <w:jc w:val="left"/>
        <w:tblInd w:w="0" w:type="dxa"/>
        <w:tblLayout w:type="fixed"/>
        <w:tblCellMar>
          <w:top w:w="28" w:type="dxa"/>
          <w:left w:w="28" w:type="dxa"/>
          <w:bottom w:w="28" w:type="dxa"/>
          <w:right w:w="28" w:type="dxa"/>
        </w:tblCellMar>
      </w:tblPr>
      <w:tblGrid>
        <w:gridCol w:w="863"/>
        <w:gridCol w:w="757"/>
        <w:gridCol w:w="764"/>
        <w:gridCol w:w="109"/>
        <w:gridCol w:w="109"/>
        <w:gridCol w:w="109"/>
        <w:gridCol w:w="109"/>
        <w:gridCol w:w="305"/>
        <w:gridCol w:w="892"/>
        <w:gridCol w:w="392"/>
        <w:gridCol w:w="109"/>
        <w:gridCol w:w="109"/>
        <w:gridCol w:w="109"/>
        <w:gridCol w:w="305"/>
        <w:gridCol w:w="892"/>
        <w:gridCol w:w="392"/>
        <w:gridCol w:w="109"/>
        <w:gridCol w:w="109"/>
        <w:gridCol w:w="109"/>
        <w:gridCol w:w="299"/>
        <w:gridCol w:w="873"/>
        <w:gridCol w:w="448"/>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7"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Fiscal 2026 and Fiscal 2025, our effective income tax rates were 18.3% and 9.4%, respectively. The changes in our effective tax rates for Fiscal 2026 as compared to Fiscal 2025 were primarily attributable to discrete tax items and a change in the Company’s jurisdictional mix of income related to the tax impact of foreign operations. For Fiscal 2025, we recorded discrete tax benefits of $0.4 billion related to changes in uncertain tax benefits resulting from the expiration of certain U.S. statutes of limitations and $0.2 billion related to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6415"/>
                <wp:effectExtent l="0" t="0" r="0" b="0"/>
                <wp:wrapNone/>
                <wp:docPr id="51" name="Frame5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in the United States. The new law contains a broad range of tax reform provisions, which include the extension and modification of certain provisions of the Tax Cuts and Jobs Act. Effective for Fiscal 2026, changes include, but are not limited to, immediate expensing of domestic research and development expenditures, the restoration of 100% bonus depreciation, and an EBITDA-based interest expense limitation. These provisions did not have a material impact on the Company’s Consolidated Financial Statements for Fiscal 2026. Effective starting in Fiscal 2027, additional changes will include certain modifications to the international tax framework. We currently do not anticipate these changes to have a material impact to our results in future periods. The Company will continue to monitor any developments and guidance related to OBBBA.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further discussion regarding tax matters, including the status of income tax audits and the effects of tax holidays, see Note 12 of the Notes to the Consolidated Financial Statements included in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net income increased 30% to $5.9 billion primarily due to an increase in operating income and, to a lesser extent, a favorable change in interest and other, net, the effects of which were partially offset by higher income tax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non-GAAP net income increased 20% to $7.0 billion, primarily due to an increase in operating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6415"/>
                <wp:effectExtent l="0" t="0" r="0" b="0"/>
                <wp:wrapNone/>
                <wp:docPr id="52" name="Frame5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Unit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reportable segments are based on the ISG and CSG business units. A description of our business units is provided under “Introduction.” See Note 18 of the Notes to the Consolidated Financial Statements included in this report for a reconciliation of net revenue and operating income by reportable segment to consolidated net revenue and consolidated operating income,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Infrastructure Solutions Group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net revenue and operating income attributable to ISG for the periods indicated:</w:t>
      </w:r>
    </w:p>
    <w:tbl>
      <w:tblPr>
        <w:tblW w:w="10205" w:type="dxa"/>
        <w:jc w:val="center"/>
        <w:tblInd w:w="0" w:type="dxa"/>
        <w:tblLayout w:type="fixed"/>
        <w:tblCellMar>
          <w:top w:w="28" w:type="dxa"/>
          <w:left w:w="28" w:type="dxa"/>
          <w:bottom w:w="28" w:type="dxa"/>
          <w:right w:w="28" w:type="dxa"/>
        </w:tblCellMar>
      </w:tblPr>
      <w:tblGrid>
        <w:gridCol w:w="794"/>
        <w:gridCol w:w="698"/>
        <w:gridCol w:w="704"/>
        <w:gridCol w:w="109"/>
        <w:gridCol w:w="109"/>
        <w:gridCol w:w="109"/>
        <w:gridCol w:w="109"/>
        <w:gridCol w:w="109"/>
        <w:gridCol w:w="109"/>
        <w:gridCol w:w="448"/>
        <w:gridCol w:w="292"/>
        <w:gridCol w:w="581"/>
        <w:gridCol w:w="109"/>
        <w:gridCol w:w="109"/>
        <w:gridCol w:w="109"/>
        <w:gridCol w:w="233"/>
        <w:gridCol w:w="233"/>
        <w:gridCol w:w="551"/>
        <w:gridCol w:w="109"/>
        <w:gridCol w:w="109"/>
        <w:gridCol w:w="109"/>
        <w:gridCol w:w="448"/>
        <w:gridCol w:w="292"/>
        <w:gridCol w:w="581"/>
        <w:gridCol w:w="109"/>
        <w:gridCol w:w="109"/>
        <w:gridCol w:w="109"/>
        <w:gridCol w:w="233"/>
        <w:gridCol w:w="233"/>
        <w:gridCol w:w="551"/>
        <w:gridCol w:w="109"/>
        <w:gridCol w:w="109"/>
        <w:gridCol w:w="109"/>
        <w:gridCol w:w="441"/>
        <w:gridCol w:w="261"/>
        <w:gridCol w:w="669"/>
      </w:tblGrid>
      <w:tr>
        <w:trPr/>
        <w:tc>
          <w:tcPr>
            <w:tcW w:w="7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9"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042" w:type="dxa"/>
            <w:gridSpan w:val="12"/>
            <w:tcBorders/>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Servers and networking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ISG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33,885</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segment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11.7 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12.8 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12.6 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Net Revenue</w:t>
      </w:r>
      <w:r>
        <w:rPr>
          <w:color w:val="000000"/>
        </w:rPr>
        <w:t xml:space="preserve"> — </w:t>
      </w:r>
      <w:r>
        <w:rPr>
          <w:rFonts w:ascii="Times New Roman;serif" w:hAnsi="Times New Roman;serif"/>
          <w:b w:val="false"/>
          <w:color w:val="000000"/>
          <w:sz w:val="20"/>
        </w:rPr>
        <w:t>During Fiscal 2026, ISG net revenue increased 40%, driven primarily by strength in our AI-optimized servers offerings and, to a lesser extent, our traditional servers and networking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AI-optimized servers net revenue increased 166% and 396% during Fiscal 2026 and Fiscal 2025, respectively, primarily driven by an increase in units sold as a result of significant increased demand for our AI-optimized servers offerings for both periods.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 net revenue increased 9% and 13% during Fiscal 2026 and Fiscal 2025, respectively, primarily due to an increase in the average selling price of our traditional servers and networking offerings, partially offset by a decline in units sold for both periods. The increase in the average selling price was primarily driven by richer configurations for both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storage net revenue increased 1% primarily due to an increase in our core storage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a geographical perspective, ISG net revenue during Fiscal 2026 increased in the Americas, driven by our AI-optimized servers offerings and, to a lesser extent, in EMEA and APJ.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Operating Income</w:t>
      </w:r>
      <w:r>
        <w:rPr>
          <w:color w:val="000000"/>
        </w:rPr>
        <w:t xml:space="preserve"> — </w:t>
      </w:r>
      <w:r>
        <w:rPr>
          <w:rFonts w:ascii="Times New Roman;serif" w:hAnsi="Times New Roman;serif"/>
          <w:b w:val="false"/>
          <w:color w:val="000000"/>
          <w:sz w:val="20"/>
        </w:rPr>
        <w:t>During Fiscal 2026, ISG operating income as a percentage of net revenue decreased 110 basis points to 11.7%, due to a decline in gross margin rate that outpaced the decline in operating expense rate. Gross margin rate decreased primarily as the result of a shift in mix towards our AI-optimized servers offerings. Operating expense rate declined primarily due to strong ISG net revenue growth coupled with continued disciplined cost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6415"/>
                <wp:effectExtent l="0" t="0" r="0" b="0"/>
                <wp:wrapNone/>
                <wp:docPr id="53" name="Frame5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Client Solutions Group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net revenue and operating income attributable to CSG for the periods indicated:</w:t>
      </w:r>
    </w:p>
    <w:tbl>
      <w:tblPr>
        <w:tblW w:w="10205" w:type="dxa"/>
        <w:jc w:val="center"/>
        <w:tblInd w:w="0" w:type="dxa"/>
        <w:tblLayout w:type="fixed"/>
        <w:tblCellMar>
          <w:top w:w="28" w:type="dxa"/>
          <w:left w:w="28" w:type="dxa"/>
          <w:bottom w:w="28" w:type="dxa"/>
          <w:right w:w="28" w:type="dxa"/>
        </w:tblCellMar>
      </w:tblPr>
      <w:tblGrid>
        <w:gridCol w:w="698"/>
        <w:gridCol w:w="614"/>
        <w:gridCol w:w="606"/>
        <w:gridCol w:w="109"/>
        <w:gridCol w:w="109"/>
        <w:gridCol w:w="109"/>
        <w:gridCol w:w="109"/>
        <w:gridCol w:w="109"/>
        <w:gridCol w:w="109"/>
        <w:gridCol w:w="497"/>
        <w:gridCol w:w="292"/>
        <w:gridCol w:w="644"/>
        <w:gridCol w:w="109"/>
        <w:gridCol w:w="109"/>
        <w:gridCol w:w="109"/>
        <w:gridCol w:w="220"/>
        <w:gridCol w:w="220"/>
        <w:gridCol w:w="551"/>
        <w:gridCol w:w="109"/>
        <w:gridCol w:w="109"/>
        <w:gridCol w:w="109"/>
        <w:gridCol w:w="497"/>
        <w:gridCol w:w="292"/>
        <w:gridCol w:w="644"/>
        <w:gridCol w:w="109"/>
        <w:gridCol w:w="109"/>
        <w:gridCol w:w="109"/>
        <w:gridCol w:w="220"/>
        <w:gridCol w:w="220"/>
        <w:gridCol w:w="551"/>
        <w:gridCol w:w="109"/>
        <w:gridCol w:w="109"/>
        <w:gridCol w:w="109"/>
        <w:gridCol w:w="481"/>
        <w:gridCol w:w="267"/>
        <w:gridCol w:w="729"/>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7"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122" w:type="dxa"/>
            <w:gridSpan w:val="12"/>
            <w:tcBorders/>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39,814</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CSG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48,916</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segment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5.6 </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Net Revenue</w:t>
      </w:r>
      <w:r>
        <w:rPr>
          <w:color w:val="000000"/>
        </w:rPr>
        <w:t xml:space="preserve"> — </w:t>
      </w:r>
      <w:r>
        <w:rPr>
          <w:rFonts w:ascii="Times New Roman;serif" w:hAnsi="Times New Roman;serif"/>
          <w:b w:val="false"/>
          <w:color w:val="000000"/>
          <w:sz w:val="20"/>
        </w:rPr>
        <w:t>During Fiscal 2026, CSG net revenue increased 5%, driven by strength in our commercial offerings, partially offset by lower demand for our consumer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commercial net revenue increased 8% primarily due to an increase in units sold and richer configurations, partially offset by a decline in average selling prices.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net revenue decreased 8% during Fiscal 2026 due to a decline in average selling prices and units sold. The decline in average selling prices for our consumer offerings was primarily driven by lower attach rates and mix of configurations.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a geographical perspective, net revenue attributable to CSG during Fiscal 2026 increased in EMEA and the Americas and, to a lesser extent, in APJ.</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Operating Income</w:t>
      </w:r>
      <w:r>
        <w:rPr>
          <w:color w:val="000000"/>
        </w:rPr>
        <w:t xml:space="preserve"> — </w:t>
      </w:r>
      <w:r>
        <w:rPr>
          <w:rFonts w:ascii="Times New Roman;serif" w:hAnsi="Times New Roman;serif"/>
          <w:b w:val="false"/>
          <w:color w:val="000000"/>
          <w:sz w:val="20"/>
        </w:rPr>
        <w:t>During Fiscal 2026, CSG operating income as a percentage of net revenue decreased 50 basis points to 5.6%. The decline in operating income rate during Fiscal 2026 was primarily due to a decline in gross margin rate driven by a change in mix within our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6415"/>
                <wp:effectExtent l="0" t="0" r="0" b="0"/>
                <wp:wrapNone/>
                <wp:docPr id="54" name="Frame5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BALANCE SHEET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Accounts Receivable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sell products and services directly to customers and through a variety of sales channels, including retail distribution. Our accounts receivable, net was $17.6 billion and $10.3 billion as of January 30, 2026 and January 31, 2025, respectively. The increase in accounts receivable, net was primarily driven by an increase in net revenue largely due to our AI-optimized servers offerings.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its reasonable and supportable expectation of future conditions, as well as specific identifiable customer accounts considered at risk or uncollectible. As of January 30, 2026 and January 31, 2025, the allowance for expected credit losses was $77 million and $63 million, respectively. Based on our assessment, we believe that we are adequately reserved for expected credit losses.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Dell Financial Services and Financing Receivables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offer or arrange a portfolio of payment and consumption solutions and services for our customers globally, including as-a-Service, subscription, utility, leases, and loans, designed to match customers' consumption and financing preferences. We believe these options provide operational and financial flexibility and strengthen our customer relationships. To support financing solutions and services as part of the portfolio, DFS originates, collects, and services customer receivables primarily related to the purchase of our product and services solutions. New financing originations were $11.9 billion for Fiscal 2026 and $8.4 billion for both Fiscal 2025 and Fiscal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leases are generally classified as sales-type leases or operating leases. On commencement of sales-type leases, we recognize profit up-front and recognize amounts due from the customer under the lease contract as financing receivables. Interest income is recognized as net product revenue over the term of the lease. Upon origination of operating leases, we record equipment under operating leases, classified as property, plant, and equipment, net. We recognize product revenue and depreciation expense, classified as cost of net revenue, over the contract term.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As of January 30, 2026 and January 31, 2025, our financing receivables, net were $14.3 billion and $11.2 billion,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financing receivables, net was primarily attributable to our AI-optimized servers offerings.</w:t>
      </w:r>
      <w:r>
        <w:rPr>
          <w:color w:val="000000"/>
          <w:shd w:fill="FFFFFF" w:val="clear"/>
        </w:rPr>
        <w:t xml:space="preserve"> </w:t>
      </w:r>
      <w:r>
        <w:rPr>
          <w:rFonts w:ascii="Times New Roman;serif" w:hAnsi="Times New Roman;serif"/>
          <w:b w:val="false"/>
          <w:color w:val="000000"/>
          <w:sz w:val="20"/>
        </w:rPr>
        <w:t>We maintain an allowance to cover expected financing receivables credit losses and evaluate credit loss expectations based on our total portfolio. The principal charge-off rate for our financing receivables portfolio was 0.2%, 0.6%, and 0.5% for Fiscal 2026, Fiscal 2025, and Fiscal 2024, respectively. The credit quality of our financing receivables remains strong due to the mix of high-quality commercial accounts in our portfolio. We continue to monitor broader economic indicators and their potential impact on future credit loss performance. We have an extensive process to manage our exposure to customer credit risk that includes active management of credit lines and collection activities. We also sell select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retain a residual interest in equipment leased under our lease programs. As of January 30, 2026 and January 31, 2025, the residual interest recorded as part of financing receivables was $198 million and $168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expected losses. Generally, expected losses as a result of residual value risk on equipment under lease are not considered to be significant primarily because of the existence of a secondary market with respect to the equipment. Further, the lease agreement defines applicable return conditions and remedies for non-compliance to ensure that the leased equipment will be in good operating condition upon return. No expected losses were recorded related to residual assets during Fiscal 2026 and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and January 31, 2025, equipment under operating leases, net was $2.5 billion and $2.2 billion, respectively. We assess the carrying amount of the equipment under operating leases for impairment whenever events or circumstances may indicate that an impairment has occurred. No material impairment losses were recorded related to such equipment during Fiscal 2026, Fiscal 2025, and Fiscal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5 of the Notes to the Consolidated Financial Statements included in this report for additional information about our financing receivables and the associated allowances, and equipment under operating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6415"/>
                <wp:effectExtent l="0" t="0" r="0" b="0"/>
                <wp:wrapNone/>
                <wp:docPr id="55" name="Frame5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CASH REQUIREMENTS, AND MARKET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operating cash flows, which are impacted by trends in the demand environment, as our primary source of liquidity for our ongoing business operations. We monitor the efficiency of our balance sheet to ensure that we have adequate liquidity to support our business and strategic initiatives.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internally generated cash, we have access to other capital sources to finance our strategic initiatives and fund growth in our financing operations. Our strategy is to deploy capital from any potential source, whether internally generated cash or debt, depending on the adequacy and availability of that source of capital and whether it can be accessed in a cost-effective manner.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current cash and cash equivalents, together with cash that will be provided by future operations and borrowings and issuances expected to be available under our revolving credit facility and commercial paper program, will be sufficient over the next twelve months and for the foreseeable future thereafter to meet our material cash requirements, including funding of our operations, debt-related payments, capital expenditures, and other corporate needs.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overall capital allocation strategy, we intend to continue returning capital to our stockholders through both share repurchase programs and dividend payments and to use the remaining available cash to drive growth and maintain our investment grade credit rating.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cash and cash equivalents as well as our available borrowings as of the dates indicated: </w:t>
      </w:r>
    </w:p>
    <w:tbl>
      <w:tblPr>
        <w:tblW w:w="9115" w:type="dxa"/>
        <w:jc w:val="left"/>
        <w:tblInd w:w="0" w:type="dxa"/>
        <w:tblLayout w:type="fixed"/>
        <w:tblCellMar>
          <w:top w:w="28" w:type="dxa"/>
          <w:left w:w="28" w:type="dxa"/>
          <w:bottom w:w="28" w:type="dxa"/>
          <w:right w:w="28" w:type="dxa"/>
        </w:tblCellMar>
      </w:tblPr>
      <w:tblGrid>
        <w:gridCol w:w="2014"/>
        <w:gridCol w:w="1773"/>
        <w:gridCol w:w="1778"/>
        <w:gridCol w:w="322"/>
        <w:gridCol w:w="1101"/>
        <w:gridCol w:w="166"/>
        <w:gridCol w:w="109"/>
        <w:gridCol w:w="109"/>
        <w:gridCol w:w="109"/>
        <w:gridCol w:w="351"/>
        <w:gridCol w:w="1027"/>
        <w:gridCol w:w="256"/>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 and available borrowings:</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available borrowings under the revolving credit facility</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available borrowings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cash and cash equivalents increased by $7.9 billion primarily due to an increase in cash flows from operations, net debt from the issuance of Senior Notes and DFS debt, and the proceeds from the sale of Secureworks, the effects of which were partially offset by the return of capital to our stockholders, capital expenditures, and payments to settle employee tax withholdings on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our revolving credit facility had a maximum capacity of $6.0 billion. Available borrowings under this facility are reduced by draws on the facility and outstanding letters of credit. As of January 30, 2026, there were no borrowings outstanding under the facility and remaining available borrowings totaled approximately $5.9 billion. The facility also acts as a backstop to provide liquidity support for our commercial paper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commercial paper program under which we may issue unsecured notes in a maximum aggregate face amount of $5.0 billion outstanding at any time, with maturities of up to 397 days from the date of issue. As of January 30, 2026, we had no outstanding issuances under the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regularly use our available borrowings from the revolving credit facility and issuances under the commercial paper program, generally on a short-term basis, for general corporate purposes. See the following discussion for additional information about our debt.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6415"/>
                <wp:effectExtent l="0" t="0" r="0" b="0"/>
                <wp:wrapNone/>
                <wp:docPr id="56" name="Frame5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outstanding debt as of the dates indicated:</w:t>
      </w:r>
    </w:p>
    <w:tbl>
      <w:tblPr>
        <w:tblW w:w="7257" w:type="dxa"/>
        <w:jc w:val="center"/>
        <w:tblInd w:w="0" w:type="dxa"/>
        <w:tblLayout w:type="fixed"/>
        <w:tblCellMar>
          <w:top w:w="28" w:type="dxa"/>
          <w:left w:w="28" w:type="dxa"/>
          <w:bottom w:w="28" w:type="dxa"/>
          <w:right w:w="28" w:type="dxa"/>
        </w:tblCellMar>
      </w:tblPr>
      <w:tblGrid>
        <w:gridCol w:w="885"/>
        <w:gridCol w:w="778"/>
        <w:gridCol w:w="781"/>
        <w:gridCol w:w="322"/>
        <w:gridCol w:w="1101"/>
        <w:gridCol w:w="166"/>
        <w:gridCol w:w="109"/>
        <w:gridCol w:w="109"/>
        <w:gridCol w:w="109"/>
        <w:gridCol w:w="211"/>
        <w:gridCol w:w="616"/>
        <w:gridCol w:w="109"/>
        <w:gridCol w:w="109"/>
        <w:gridCol w:w="109"/>
        <w:gridCol w:w="109"/>
        <w:gridCol w:w="317"/>
        <w:gridCol w:w="1086"/>
        <w:gridCol w:w="231"/>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debt</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Notes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DFS allocated debt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core debt </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DFS related debt</w:t>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DFS debt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DFS allocated debt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DFS related debt</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principal amount</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adjustments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carrying value</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outstanding principal amount of our total debt increased $7.0 billion to $31.8 billion as of January 30, 2026, driven primarily by an increase in net debt from the issuance of Senior Notes and, to a lesser extent, DFS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the close of the fiscal year ended January 30, 2026, we repaid the remaining outstanding $0.5 billion principal amount of 6.02% Senior Notes due June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define core debt as the total principal amount of our debt, less DFS related debt and other debt. Our core debt was $17.0 billion and $13.0 billion as of January 30, 2026 and January 31, 2025, respectively. See Note 7 of the Notes to the Consolidated Financial Statements included in this report for additional information about our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DFS debt primarily represents debt from our securitization and structured financing programs. Our risk of loss under these programs is limited to transferred lease and loan payments and associated equipment, as the credit holders have no recourse to Dell Technologies.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fund the expansion of our DFS business, we balance the use of the securitization and structured financing programs with other sources of liquidity. We approximate the amount of our core debt used to fund the DFS business by applying a 7:1 debt-to-equity ratio to the sum of our financing receivables balance and equipment under operating leases, net, also referred to as DFS owned assets. The debt-to-equity ratio is based on the underlying credit quality of the assets. See Note 5 of the Notes to the Consolidated Financial Statements included in this report for additional information about our DFS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DFS owned assets as of the dates indicated:</w:t>
      </w:r>
    </w:p>
    <w:tbl>
      <w:tblPr>
        <w:tblW w:w="6775" w:type="dxa"/>
        <w:jc w:val="left"/>
        <w:tblInd w:w="0" w:type="dxa"/>
        <w:tblLayout w:type="fixed"/>
        <w:tblCellMar>
          <w:top w:w="28" w:type="dxa"/>
          <w:left w:w="28" w:type="dxa"/>
          <w:bottom w:w="28" w:type="dxa"/>
          <w:right w:w="28" w:type="dxa"/>
        </w:tblCellMar>
      </w:tblPr>
      <w:tblGrid>
        <w:gridCol w:w="1167"/>
        <w:gridCol w:w="1026"/>
        <w:gridCol w:w="1032"/>
        <w:gridCol w:w="322"/>
        <w:gridCol w:w="1101"/>
        <w:gridCol w:w="166"/>
        <w:gridCol w:w="109"/>
        <w:gridCol w:w="109"/>
        <w:gridCol w:w="109"/>
        <w:gridCol w:w="317"/>
        <w:gridCol w:w="1086"/>
        <w:gridCol w:w="231"/>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Financing receivables, net</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Equipment under operating leases, net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DFS owned assets</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26415"/>
                <wp:effectExtent l="0" t="0" r="0" b="0"/>
                <wp:wrapNone/>
                <wp:docPr id="57" name="Frame5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we will continue to be able to make our debt principal and interest payments, including payment of short-term maturities, from existing and expected sources of cash. Cash used for debt principal and interest payments may include operating cash flows, short-term borrowings under our commercial paper program or our revolving credit facility, or other borrowings. Under our variable-rate debt, we could experience variations in our future interest expense from potential fluctuations in applicable reference rates, or from possible fluctuations in the level of DFS debt required to meet future demand for customer financing.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our sole discretion, we may purchase, redeem, prepay, refinance, or otherwise retire any amount of our outstanding indebtedness under the terms of such indebtedness at any time and from time to time, in open market or negotiated transactions with the holders of such indebtedness or otherwise, as we consider appropriate in light of market conditions and other relevant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Cash Flows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following table presents a summary of our </w:t>
      </w:r>
      <w:r>
        <w:rPr>
          <w:rFonts w:ascii="Times New Roman;serif" w:hAnsi="Times New Roman;serif"/>
          <w:b w:val="false"/>
          <w:color w:val="000000"/>
          <w:sz w:val="20"/>
        </w:rPr>
        <w:t>Consolidated Statements of Cash Flows</w:t>
      </w:r>
      <w:r>
        <w:rPr>
          <w:color w:val="000000"/>
          <w:shd w:fill="FFFFFF" w:val="clear"/>
        </w:rPr>
        <w:t xml:space="preserve"> </w:t>
      </w:r>
      <w:r>
        <w:rPr>
          <w:rFonts w:ascii="Times New Roman;serif" w:hAnsi="Times New Roman;serif"/>
          <w:b w:val="false"/>
          <w:color w:val="000000"/>
          <w:sz w:val="20"/>
          <w:shd w:fill="FFFFFF" w:val="clear"/>
        </w:rPr>
        <w:t>for the periods indicated:</w:t>
      </w:r>
    </w:p>
    <w:tbl>
      <w:tblPr>
        <w:tblW w:w="10205" w:type="dxa"/>
        <w:jc w:val="left"/>
        <w:tblInd w:w="0" w:type="dxa"/>
        <w:tblLayout w:type="fixed"/>
        <w:tblCellMar>
          <w:top w:w="28" w:type="dxa"/>
          <w:left w:w="28" w:type="dxa"/>
          <w:bottom w:w="28" w:type="dxa"/>
          <w:right w:w="28" w:type="dxa"/>
        </w:tblCellMar>
      </w:tblPr>
      <w:tblGrid>
        <w:gridCol w:w="1928"/>
        <w:gridCol w:w="1612"/>
        <w:gridCol w:w="1626"/>
        <w:gridCol w:w="296"/>
        <w:gridCol w:w="1013"/>
        <w:gridCol w:w="152"/>
        <w:gridCol w:w="109"/>
        <w:gridCol w:w="109"/>
        <w:gridCol w:w="109"/>
        <w:gridCol w:w="304"/>
        <w:gridCol w:w="982"/>
        <w:gridCol w:w="156"/>
        <w:gridCol w:w="109"/>
        <w:gridCol w:w="109"/>
        <w:gridCol w:w="109"/>
        <w:gridCol w:w="297"/>
        <w:gridCol w:w="961"/>
        <w:gridCol w:w="224"/>
      </w:tblGrid>
      <w:tr>
        <w:trPr/>
        <w:tc>
          <w:tcPr>
            <w:tcW w:w="192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51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change in cash from:</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Operating Activities</w:t>
      </w:r>
      <w:r>
        <w:rPr>
          <w:color w:val="000000"/>
        </w:rPr>
        <w:t xml:space="preserve"> — </w:t>
      </w:r>
      <w:r>
        <w:rPr>
          <w:rFonts w:ascii="Times New Roman;serif" w:hAnsi="Times New Roman;serif"/>
          <w:b w:val="false"/>
          <w:color w:val="000000"/>
          <w:sz w:val="20"/>
        </w:rPr>
        <w:t>Cash provided by operating activities was $11.2 billion during Fiscal 2026 and was driven by net revenue growth, profitability, and working capital dynamics, partially offset by higher financing receivables. Financing receivables and working capital were primarily affected by increased demand for our AI-optimized servers offerings. During Fiscal 2025, cash provided by operating activities was $4.5 billion and was driven by profitability, partially offset by working capital dynamics. Working capital was primarily impacted by AI dynamics, which led to higher inventory, accounts receivable, and accounts payable levels.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Investing Activities</w:t>
      </w:r>
      <w:r>
        <w:rPr>
          <w:color w:val="000000"/>
        </w:rPr>
        <w:t xml:space="preserve"> — </w:t>
      </w:r>
      <w:r>
        <w:rPr>
          <w:rFonts w:ascii="Times New Roman;serif" w:hAnsi="Times New Roman;serif"/>
          <w:b w:val="false"/>
          <w:color w:val="000000"/>
          <w:sz w:val="20"/>
        </w:rPr>
        <w:t>Investing activities primarily consist of cash used to fund capital expenditures for property, plant, and equipment inclusive of equipment under operating leases and equipment used to support our as-a-Service offerings, which we refer to collectively as assets in a customer contract. Additional activities may include capitalized software development costs, the maturities, sales, and purchases of investments, and acquisitions and divestitures. Cash used in investing activities was $2.1 billion during Fiscal 2026 and consisted of cash used for capital expenditures, partially offset by cash proceeds from the sale of Secureworks. Cash used in investing activities was $2.2 billion during Fiscal 2025 and was primarily used for capital expenditures.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i/>
          <w:color w:val="000000"/>
          <w:sz w:val="20"/>
          <w:u w:val="single"/>
        </w:rPr>
        <w:t>Financing Activities</w:t>
      </w:r>
      <w:r>
        <w:rPr>
          <w:color w:val="000000"/>
        </w:rPr>
        <w:t xml:space="preserve"> — </w:t>
      </w:r>
      <w:r>
        <w:rPr>
          <w:rFonts w:ascii="Times New Roman;serif" w:hAnsi="Times New Roman;serif"/>
          <w:b w:val="false"/>
          <w:color w:val="000000"/>
          <w:sz w:val="20"/>
        </w:rPr>
        <w:t>Financing activities primarily consist of the proceeds and repayments of debt and return of capital to our stockholders. Cash used in financing activities was $1.5 billion during Fiscal 2026 and primarily consisted of repurchases of common stock, inclusive of payments to settle employee tax withholdings on stock-based compensation, and the payment of quarterly dividends, partially offset by net proceeds from the issuance of Senior Notes and DFS debt. Cash used in financing activities was $5.8 billion during Fiscal 2025 and primarily consisted of repurchases of common stock, inclusive of payments to settle employee tax withholdings on stock-based compensation, net repayments on our DFS debt and Senior Notes, and the payment of quarterly dividends.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DFS Cash Flow Impacts</w:t>
      </w:r>
      <w:r>
        <w:rPr>
          <w:color w:val="000000"/>
        </w:rPr>
        <w:t xml:space="preserve"> — </w:t>
      </w:r>
      <w:r>
        <w:rPr>
          <w:rFonts w:ascii="Times New Roman;serif" w:hAnsi="Times New Roman;serif"/>
          <w:b w:val="false"/>
          <w:color w:val="000000"/>
          <w:sz w:val="20"/>
        </w:rPr>
        <w:t>DFS offerings are initially funded through cash on hand at the time of origination, some of which is subsequently replaced with financing. For offerings that qualify as sales-type leases, the initial funding of financing receivables is reflected as an impact to cash flows from operations. For offerings that qualify as operating leases, the initial funding is classified as a capital expenditure and reflected as cash flows used in investing activities. DFS new financing originations were $11.9 billion during Fiscal 2026 and $8.4 billion during both Fiscal 2025 and Fiscal 2024. As of January 30, 2026, we had $14.3 billion of total net financing receivables and $2.5 billion of equipment under operating leases,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26415"/>
                <wp:effectExtent l="0" t="0" r="0" b="0"/>
                <wp:wrapNone/>
                <wp:docPr id="58" name="Frame5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u w:val="single"/>
        </w:rPr>
        <w:t>Supply Chain Finance Program</w:t>
      </w:r>
      <w:r>
        <w:rPr>
          <w:color w:val="000000"/>
        </w:rPr>
        <w:t xml:space="preserve"> — </w:t>
      </w:r>
      <w:r>
        <w:rPr>
          <w:rFonts w:ascii="Times New Roman;serif" w:hAnsi="Times New Roman;serif"/>
          <w:b w:val="false"/>
          <w:color w:val="000000"/>
          <w:sz w:val="20"/>
        </w:rPr>
        <w:t>We maintain a Supply Chain Finance Program (the “SCF Program”) that enables eligible suppliers to sell receivables due from us to a third-party financial institution at the suppliers’ sole discretion. The SCF Program does not impact our liquidity, as payments by us to participating suppliers are remitted to the financial institution on the original invoice due date. Further, we negotiate payment terms with our suppliers regardless of their decision to participate in the SCF Program. Payments made under the SCF Program are included in cash flows from operating activities on the Consolidated Statements of Cash Flows. See Note 20 of the Notes to the Consolidated Financial Statements included in this report for more information regarding the SCF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Material Capital Commitments and Cash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material capital commitments include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Capital Expenditures</w:t>
      </w:r>
      <w:r>
        <w:rPr>
          <w:color w:val="000000"/>
        </w:rPr>
        <w:t xml:space="preserve"> — </w:t>
      </w:r>
      <w:r>
        <w:rPr>
          <w:rFonts w:ascii="Times New Roman;serif" w:hAnsi="Times New Roman;serif"/>
          <w:b w:val="false"/>
          <w:color w:val="000000"/>
          <w:sz w:val="20"/>
        </w:rPr>
        <w:t>We spent $2.6 billion and $2.7 billion during Fiscal 2026 and Fiscal 2025, respectively, on property, plant, and equipment and capitalized software development costs. Of total expenditures incurred, funding of assets in a customer contract totaled $1.4 billion and $1.3 billion during Fiscal 2026 and Fiscal 2025, respectively. Product demand, product mix, the use of contract manufacturers, and ongoing investments in operating and information technology infrastructure influence the level and prioritization of our capital expenditures.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u w:val="single"/>
        </w:rPr>
        <w:t>Repurchases of Common Stock</w:t>
      </w:r>
      <w:r>
        <w:rPr>
          <w:color w:val="000000"/>
        </w:rPr>
        <w:t xml:space="preserve"> — </w:t>
      </w:r>
      <w:r>
        <w:rPr>
          <w:rFonts w:ascii="Times New Roman;serif" w:hAnsi="Times New Roman;serif"/>
          <w:b w:val="false"/>
          <w:color w:val="000000"/>
          <w:sz w:val="20"/>
        </w:rPr>
        <w:t>On September 23, 2021, our Board of Directors approved a stock repurchase program with no fixed expiration date under which we were authorized to repurchase a specified dollar value of Class C Common Stock, exclusive of any fees, commissions, or other expenses related to such repurchases. As of January 30, 2026, our Board of Directors authorized the repurchase of up to $20 billion of Class C Common Stock and on February 26, 2026, subsequent to the close of Fiscal 2026, authorized an additional $10 billion of Class C Common Stock for repurchase. Following the February 26, 2026 approval, we had approximately $15.2 billion of authorized shares remaining for repurchase under the program.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we repurchased approximately 54 million shares of Class C Common Stock for a total purchase price of approximately $6.0 billion. During Fiscal 2025, we repurchased approximately 22 million shares of Class C Common Stock for a total purchase price of approximately $2.6 billion.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Dividend Payments</w:t>
      </w:r>
      <w:r>
        <w:rPr>
          <w:color w:val="000000"/>
        </w:rPr>
        <w:t xml:space="preserve"> — </w:t>
      </w:r>
      <w:r>
        <w:rPr>
          <w:rFonts w:ascii="Times New Roman;serif" w:hAnsi="Times New Roman;serif"/>
          <w:b w:val="false"/>
          <w:color w:val="000000"/>
          <w:sz w:val="20"/>
        </w:rPr>
        <w:t xml:space="preserve">During Fiscal 2026 and Fiscal 2025, we paid $1.5 billion and $1.3 billion, respectively, in dividends and dividend equivalents at a rate of $0.525 per share per fiscal quarter and $0.445 per share per fiscal quarter,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subsequent to the close of Fiscal 2026, we announced that the Board of Directors approved a 20% increase in the dividend rate to $0.630 per share per fiscal quarter beginning in the first quarter of Fiscal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our material cash requirements include the following contractual obligations: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Debt</w:t>
      </w:r>
      <w:r>
        <w:rPr>
          <w:color w:val="000000"/>
        </w:rPr>
        <w:t> — </w:t>
      </w:r>
      <w:r>
        <w:rPr>
          <w:rFonts w:ascii="Times New Roman;serif" w:hAnsi="Times New Roman;serif"/>
          <w:b w:val="false"/>
          <w:color w:val="000000"/>
          <w:sz w:val="20"/>
        </w:rPr>
        <w:t xml:space="preserve">Our expected principal cash payments on borrowings are exclusive of discounts and premiums. As of January 30, 2026, the Company had outstanding debt in an aggregate principal amount of $31.8 billion, with $8.0 billion payable within 12 months. Included within the aggregate principal amount was $22.6 billion of corporate and other debt with varying maturities, with $2.3 billion payable within 12 months, and $9.1 billion of DFS debt, with $5.7 billion payable within 12 months.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future interest payments associated with outstanding debt were $9.1 billion, with $1.4 billion payable within 12 months. Included within total future interest payments are $8.7 billion of payments related to corporate and other debt, with $1.1 billion payable within 12 months, and $0.4 billion of payments related to our DFS debt, with $0.3 billion payable within 12 months.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Purchase Obligations</w:t>
      </w:r>
      <w:r>
        <w:rPr>
          <w:color w:val="000000"/>
        </w:rPr>
        <w:t> — </w:t>
      </w:r>
      <w:r>
        <w:rPr>
          <w:rFonts w:ascii="Times New Roman;serif" w:hAnsi="Times New Roman;serif"/>
          <w:b w:val="false"/>
          <w:color w:val="000000"/>
          <w:sz w:val="20"/>
        </w:rPr>
        <w:t>Purchase obligations are defined as contractual obligations to purchase goods or services that are enforceable and legally binding on us. These obligations specify all significant terms, including fixed or minimum quantities to be purchased; fixed, minimum, or variable price provisions; and the approximate timing of the transaction. Purchase obligations include the non-cancelable portion or the minimum cancellation fee under the contract and do not include contracts that may be canceled without penalty.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6415"/>
                <wp:effectExtent l="0" t="0" r="0" b="0"/>
                <wp:wrapNone/>
                <wp:docPr id="59" name="Frame5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meet growing demand, we have increased, and expect we will continue to increase, our purchases of certain components with suppliers, resulting in increased purchase obligations. As of January 30, 2026, the Company had purchase obligations of $18.8 billion, with $16.8 billion payable within 12 months.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Operating Leases</w:t>
      </w:r>
      <w:r>
        <w:rPr>
          <w:color w:val="000000"/>
        </w:rPr>
        <w:t xml:space="preserve"> — </w:t>
      </w:r>
      <w:r>
        <w:rPr>
          <w:rFonts w:ascii="Times New Roman;serif" w:hAnsi="Times New Roman;serif"/>
          <w:b w:val="false"/>
          <w:color w:val="000000"/>
          <w:sz w:val="20"/>
        </w:rPr>
        <w:t>We lease property and equipment, warehouses, and office space under non-cancelable leases. Certain of these leases obligate us to pay taxes, maintenance, and repair costs. As of January 30, 2026, the Company had operating lease obligations of $0.8 billion, with $0.2 billion payable within 12 months. See Note 6 of the Notes to the Consolidated Financial Statements included in this report for additional information about our leasing transactions in which we are the lessee.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monitor credit risk associated with our financial counterparties using various market credit risk indicators such as credit ratings issued by nationally recognized credit rating agencies and changes in market credit default swap levels. Our AI solutions to date have been purchased primarily by a small number of larger customers and cloud service providers. Such purchases generally involve larger amounts of credit, and could impact overall credit risk in trade and financing receivables. We perform periodic evaluations of our positions with counterparties and may limit exposure to any one counterparty in accordance with our policies. We monitor and manage our positions based on current and expected market developments.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8 of the Notes to the Consolidated Financial Statements included in this report for additional information about our use of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related to our variable-rate debt portfolio. In the normal course of business we follow established policies and procedures to manage this risk, including monitoring of our asset and liability mix and the use of derivative instruments. As a result, we do not anticipate any material losses from interest rate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6415"/>
                <wp:effectExtent l="0" t="0" r="0" b="0"/>
                <wp:wrapNone/>
                <wp:docPr id="60" name="Frame5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Summarized Guarantor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outstanding senior notes (“Senior Notes”) are registered, unsecured, and issued by Dell International L.L.C. and EMC Corporation (the “Issuers”), both of which are wholly-owned subsidiaries of Dell Technologies Inc. The Senior Notes are guaranteed on a joint and several unsecured basis by Dell Technologies Inc. and its wholly-owned subsidiaries, Denali Intermediate, Inc. and Dell Inc. (collectively, the “Guarantors”).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Basis of Preparation of the Summarized Financial Information</w:t>
      </w:r>
      <w:r>
        <w:rPr>
          <w:color w:val="000000"/>
        </w:rPr>
        <w:t xml:space="preserve"> — </w:t>
      </w:r>
      <w:r>
        <w:rPr>
          <w:rFonts w:ascii="Times New Roman;serif" w:hAnsi="Times New Roman;serif"/>
          <w:b w:val="false"/>
          <w:color w:val="000000"/>
          <w:sz w:val="20"/>
        </w:rPr>
        <w:t xml:space="preserve">The tables below are summarized financial information provided in conformity with Rule 13-01 of the SEC’s Regulation S-X. The summarized financial information of the Issuers and Guarantors (collectively, the “Obligor Group”) is presented on a combined basis, excluding intercompany balances and transactions between entities in the Obligor Group. The Obligor Group’s investment balances in subsidiaries of Dell Technologies Inc. that are not part of the Obligor Group (the “Non-Obligor Subsidiaries”) have been excluded. The Obligor Group’s amounts due from, amounts due to, and transactions with Non-Obligor Subsidiaries have been presented separately.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summarized results of operations information for the Obligor Group for the period indicated:</w:t>
      </w:r>
    </w:p>
    <w:tbl>
      <w:tblPr>
        <w:tblW w:w="5158" w:type="dxa"/>
        <w:jc w:val="left"/>
        <w:tblInd w:w="0" w:type="dxa"/>
        <w:tblLayout w:type="fixed"/>
        <w:tblCellMar>
          <w:top w:w="28" w:type="dxa"/>
          <w:left w:w="28" w:type="dxa"/>
          <w:bottom w:w="28" w:type="dxa"/>
          <w:right w:w="28" w:type="dxa"/>
        </w:tblCellMar>
      </w:tblPr>
      <w:tblGrid>
        <w:gridCol w:w="1246"/>
        <w:gridCol w:w="1099"/>
        <w:gridCol w:w="1104"/>
        <w:gridCol w:w="341"/>
        <w:gridCol w:w="1119"/>
        <w:gridCol w:w="249"/>
      </w:tblGrid>
      <w:tr>
        <w:trPr/>
        <w:tc>
          <w:tcPr>
            <w:tcW w:w="12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Obligor Group (a)</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(a)Includes net loss from intercompany transactions with Non-Obligor Subsidiaries of $4,706 million, which primarily consists of interest expense, shared services, and the resale of solutions.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summarized balance sheet information for the Obligor Group as of the dates indicated:</w:t>
      </w:r>
    </w:p>
    <w:tbl>
      <w:tblPr>
        <w:tblW w:w="7060" w:type="dxa"/>
        <w:jc w:val="left"/>
        <w:tblInd w:w="0" w:type="dxa"/>
        <w:tblLayout w:type="fixed"/>
        <w:tblCellMar>
          <w:top w:w="28" w:type="dxa"/>
          <w:left w:w="28" w:type="dxa"/>
          <w:bottom w:w="28" w:type="dxa"/>
          <w:right w:w="28" w:type="dxa"/>
        </w:tblCellMar>
      </w:tblPr>
      <w:tblGrid>
        <w:gridCol w:w="1267"/>
        <w:gridCol w:w="1116"/>
        <w:gridCol w:w="1127"/>
        <w:gridCol w:w="322"/>
        <w:gridCol w:w="1101"/>
        <w:gridCol w:w="166"/>
        <w:gridCol w:w="109"/>
        <w:gridCol w:w="109"/>
        <w:gridCol w:w="109"/>
        <w:gridCol w:w="317"/>
        <w:gridCol w:w="1086"/>
        <w:gridCol w:w="231"/>
      </w:tblGrid>
      <w:tr>
        <w:trPr/>
        <w:tc>
          <w:tcPr>
            <w:tcW w:w="126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706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receivables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intercompany loan receivables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6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intercompany loan payables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6415"/>
                <wp:effectExtent l="0" t="0" r="0" b="0"/>
                <wp:wrapNone/>
                <wp:docPr id="61" name="Frame6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prepare our financial statements in conformity with GAAP, which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Revenue Recognition</w:t>
      </w:r>
      <w:r>
        <w:rPr>
          <w:color w:val="000000"/>
        </w:rPr>
        <w:t xml:space="preserve"> — </w:t>
      </w:r>
      <w:r>
        <w:rPr>
          <w:rFonts w:ascii="Times New Roman;serif" w:hAnsi="Times New Roman;serif"/>
          <w:b w:val="false"/>
          <w:color w:val="000000"/>
          <w:sz w:val="20"/>
        </w:rPr>
        <w:t>We sell a wide portfolio of products and services offerings to our customers. Our agreements have varying terms and conditions depending on the goods and services being sold, the rights and obligations conveyed, and the legal jurisdiction of the arrangement. While most of our agreements have standard terms and conditions, more complex agreements may contain nonstandard terms and conditions. There are significant judgments in interpreting agreements to determine the appropriate accounting for nonstandard terms and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contracts with customers often include multiple performance obligations for various distinct goods and services such as hardware, software licenses, support and maintenance agreements, and other service offerings and solutions. We use significant judgment to assess whether these promises are distinct performance obligations that should be accounted for separately. In certain hardware solutions, the hardware is highly interdependent on, and interrelated with, the embedded software. In these offerings, the hardware and software licenses are accounted for as a single performance obligation.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price reflects the amount of consideration to which we expect to be entitled in exchange for transferring goods or services to the customer. If the consideration promised in a contract includes a variable amount, we estimate the amount to which we expect to be entitled using either the expected value or most likely amount method. Estimates are updated each reporting period as the variability is resolved or if additional information becomes available. Generally, volume discounts, rebates, and sales returns reduce the transaction price. When we determine the transaction price, we only include amounts that are not subject to significant future reversal.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When a contract includes multiple performance obligations, the transaction price is allocated to each performance obligation in proportion to the standalone selling price (“SSP”) of each performance obligation.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Judgment is required when determining the SSP of our performance obligations. If the observable price is available, we utilize that price for the SSP. If the observable price is not available, the SSP must be estimated by considering multiple factors, including, but not limited to, pricing practices, internal costs, and profit objectives as well as overall market and industry conditions, which include geographic or regional specific factors, competitive positioning, and competitor actions. Our SSP estimates rely, in part, on company pricing trends. Market conditions could impact the selling price in the current period which may not be reflective of trends, and could lead to revenue timing, classification, and segment differences when compared to similar contracts in other periods. SSP for our performance obligations is periodically reassessed.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transactions that involve a third party, we evaluate whether we are acting as the principal or the agent in the transaction. This determination requires significant judgment and impacts the amount and timing of revenue recognized. If we determine that we control a good or service before it is transferred to the customer, we are acting as the principal and recognize revenue at the gross amount of consideration we are entitled to from the customer. Indicators that we control a good or service before transferring to a customer include, but are not limited to, Dell Technologies being the primary obligor to the customer, establishing our own pricing, and having inventory and credit risks.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Goodwill and Indefinite-Lived Intangible Assets Impairment Assessments </w:t>
      </w:r>
      <w:r>
        <w:rPr>
          <w:color w:val="000000"/>
        </w:rPr>
        <w:t xml:space="preserve">— </w:t>
      </w:r>
      <w:r>
        <w:rPr>
          <w:rFonts w:ascii="Times New Roman;serif" w:hAnsi="Times New Roman;serif"/>
          <w:b w:val="false"/>
          <w:color w:val="000000"/>
          <w:sz w:val="20"/>
        </w:rPr>
        <w:t>Goodwill and indefinite-lived intangible assets are tested for impairment annually during the third fiscal quarter and whenever events or circumstances may indicate that an impairment has occurred.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determine whether goodwill is impaired, we first assess certain qualitative factors. Qualitative factors that may be assessed include, but are not limited to, macroeconomic conditions, industry and market considerations, cost factors, overall financial performance, or other relevant company-specific events. Based on this assessment, if it is determined to be more likely than not that the fair value of a goodwill reporting unit is less than its carrying amount, we perform a quantitative analysis of the goodwill impairment test. Alternatively, we may bypass the qualitative assessment and perform a quantitative impairment test.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6415"/>
                <wp:effectExtent l="0" t="0" r="0" b="0"/>
                <wp:wrapNone/>
                <wp:docPr id="62" name="Frame6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judgment is exercised in the identification of goodwill reporting units, assignment of assets and liabilities to goodwill reporting units, assignment of goodwill to reporting units, and determination of the fair value of each goodwill reporting unit. The fair value of each of our goodwill reporting units is generally estimated using a combination of public company multiples and discounted cash flow methodologies, which is then compared to the carrying value of each goodwill reporting unit.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our business, and the determination of our weighted average cost of capital. Changes in these estimates and assumptions could materially affect the fair value of the goodwill reporting unit, potentially resulting in a non-cash impairment charge.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indefinite-lived intangible assets is generally estimated using discounted cash flow methodologies. The discounted cash flow methodologies require significant judgment, including estimation of future revenue, the estimation of the long-term revenue growth rate of our business, and the determination of the weighted average cost of capital and royalty rates. Changes in these estimates and assumptions could materially affect the fair value of the indefinite-lived intangible assets, potentially resulting in a non-cash impairment charge.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our annual impairment assessment during the third quarter of Fiscal 2026, we performed a qualitative assessment and determined that it was more likely than not that the estimated fair values of each of the reporting units and indefinite-lived assets were higher than their respective carrying values. For more information about our goodwill and intangible assets, see Note 9 of the Notes to the Consolidated Financial Statements included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Income Taxes </w:t>
      </w:r>
      <w:r>
        <w:rPr>
          <w:color w:val="000000"/>
        </w:rPr>
        <w:t xml:space="preserve">— </w:t>
      </w:r>
      <w:r>
        <w:rPr>
          <w:rFonts w:ascii="Times New Roman;serif" w:hAnsi="Times New Roman;serif"/>
          <w:b w:val="false"/>
          <w:color w:val="000000"/>
          <w:sz w:val="20"/>
        </w:rPr>
        <w:t>We are subject to income tax in the United States and numerous foreign jurisdictions. Significant judgments are required in determining the 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a determination is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a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Legal and Other Contingencies </w:t>
      </w:r>
      <w:r>
        <w:rPr>
          <w:color w:val="000000"/>
        </w:rPr>
        <w:t xml:space="preserve">— </w:t>
      </w:r>
      <w:r>
        <w:rPr>
          <w:rFonts w:ascii="Times New Roman;serif" w:hAnsi="Times New Roman;serif"/>
          <w:b w:val="false"/>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Significant judgment is required in determining whether a loss should be accrued, and changes in these factors could materially impact our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6415"/>
                <wp:effectExtent l="0" t="0" r="0" b="0"/>
                <wp:wrapNone/>
                <wp:docPr id="63" name="Frame6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rPr>
        <w:t xml:space="preserve">Inventories </w:t>
      </w:r>
      <w:r>
        <w:rPr>
          <w:color w:val="000000"/>
        </w:rPr>
        <w:t xml:space="preserve">— </w:t>
      </w:r>
      <w:r>
        <w:rPr>
          <w:rFonts w:ascii="Times New Roman;serif" w:hAnsi="Times New Roman;serif"/>
          <w:b w:val="false"/>
          <w:color w:val="000000"/>
          <w:sz w:val="20"/>
        </w:rPr>
        <w:t>We state our inventory at the lower of cost or net realizable value. We record a write-down for inventories of components and products, including third-party products held for resale, which have become obsolete or are in excess of anticipated demand or net realizable value. We perform a detailed review of inventory each fiscal</w:t>
      </w:r>
      <w:r>
        <w:rPr>
          <w:color w:val="000000"/>
        </w:rPr>
        <w:t> </w:t>
      </w:r>
      <w:r>
        <w:rPr>
          <w:rFonts w:ascii="Times New Roman;serif" w:hAnsi="Times New Roman;serif"/>
          <w:b w:val="false"/>
          <w:color w:val="000000"/>
          <w:sz w:val="20"/>
        </w:rPr>
        <w:t>quarter that considers multiple factors, including demand forecasts, product life cycle status, product development plans, current sales levels, product pricing, and component cost trends. The industries in which we compete are subject to demand changes. If future demand or market conditions for our products are less favorable than</w:t>
      </w:r>
      <w:r>
        <w:rPr>
          <w:color w:val="000000"/>
        </w:rPr>
        <w:t> </w:t>
      </w:r>
      <w:r>
        <w:rPr>
          <w:rFonts w:ascii="Times New Roman;serif" w:hAnsi="Times New Roman;serif"/>
          <w:b w:val="false"/>
          <w:color w:val="000000"/>
          <w:sz w:val="20"/>
        </w:rPr>
        <w:t>forecasted, or if unforeseen technological changes negatively impact the utility of component inventory, we may be required to record additional write-downs, which would adversely affect our gross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2 of the Notes to the Consolidated Financial Statements included in this report for a summary of recently issued accounting pronouncements that are applicable to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6415"/>
                <wp:effectExtent l="0" t="0" r="0" b="0"/>
                <wp:wrapNone/>
                <wp:docPr id="64" name="Frame6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Dell Technologies is exposed to a variety of market risks, including risks associated with foreign currency exchange rate fluctuations, interest rate changes affecting its variable-rate debt, and changes in the market value of equity investments. In the normal course of business, Dell Technologies employs established policies and procedures to manage these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the principal foreign currencies in which Dell Technologies transacted business were the Euro, Indian Rupee, Japanese Yen, British Pound, Canadian Dollar, and Australian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Based on the outstanding foreign currency hedge instruments of Dell Technologies, which include designated and non-designated instruments, there was a maximum potential one-day loss in fair value at</w:t>
      </w:r>
      <w:r>
        <w:rPr>
          <w:color w:val="000000"/>
          <w:shd w:fill="FFFFFF" w:val="clear"/>
        </w:rPr>
        <w:t xml:space="preserve"> </w:t>
      </w:r>
      <w:r>
        <w:rPr>
          <w:rFonts w:ascii="Times New Roman;serif" w:hAnsi="Times New Roman;serif"/>
          <w:b w:val="false"/>
          <w:color w:val="000000"/>
          <w:sz w:val="20"/>
          <w:shd w:fill="FFFFFF" w:val="clear"/>
        </w:rPr>
        <w:t>a 95% confidence level of approximately $6 million</w:t>
      </w:r>
      <w:r>
        <w:rPr>
          <w:color w:val="00000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January 30, 2026 and approximately $9 million as of January 31, 2025, using a Value-at-Risk (“VAR”) model.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Dell Technologies is primarily exposed to interest rate risk related to its variable-rate debt portfolio and fixed-rate debt which has been converted to variable-rate debt through the use of derivative instruments. As of January 30, 2026, interest rate risk exposure is related to DFS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DFS debt represents borrowings under securitization programs and structured financing programs that facilitate the funding of leases, loans, and other alternative payment structures. Amounts outstanding under these facilities generally bear interest at variable rates equal to applicable margins plus specified base rates. Interest expense on such borrowings is recognized within interest and other, net whereas interest income on the underlying assets is recognized to net revenue over time. The Company uses interest rate swaps to hedge the variability in cash flows related to the interest rate payments on such borrowings. These contracts are not designated for hedge accounting and mark-to-market adjustments are recognized immediately within interest and other, net.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Dell Technologies’ interest rate risk exposure is limited to fluctuations in interest rates on unhedged borrowings where we do not mitigate the interest rate risk through the use of interest rate swaps.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borrowings exposed to interest rate fluctuations were $3.0 billion relative to total borrowings of $31.5 billion, and accrued interest at an annual rate between 2.96% and 4.82%. Based on this debt outstanding as of January 30, 2026, a 100 basis point increase in interest rates would have resulted in an increase of approximately $30 million in annual interest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comparison, as of January 31, 2025, borrowings exposed to interest rate fluctuations were $2.6 billion relative to total borrowings of $24.6 billion, and accrued interest at an annual rate between 3.65% and 6.53%. Based on this debt outstanding as of January 31, 2025, a 100 basis point increase in interest rates would have resulted in an increase of approximately $26 million in annual interest expense.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our debt and use of derivative instruments, see Note 5, Note 7, and Note 8 of the Notes to the Consolidated Financial Statements included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6415"/>
                <wp:effectExtent l="0" t="0" r="0" b="0"/>
                <wp:wrapNone/>
                <wp:docPr id="65" name="Frame6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Equity Price Risk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Strategic Investments</w:t>
      </w:r>
      <w:r>
        <w:rPr>
          <w:color w:val="000000"/>
        </w:rPr>
        <w:t xml:space="preserve"> — </w:t>
      </w:r>
      <w:r>
        <w:rPr>
          <w:rFonts w:ascii="Times New Roman;serif" w:hAnsi="Times New Roman;serif"/>
          <w:b w:val="false"/>
          <w:color w:val="000000"/>
          <w:sz w:val="20"/>
        </w:rPr>
        <w:t>Our strategic investments include primarily early-stage, privately-held companies that are considered to be in the start-up or development stages and are inherently risky. The technologies or products these companies have under development are typically in the early stages and may never materialize, which could result in a loss of a substantial part of our initial investment in the companies. We record these investments at cost, less impairment, adjusted for observable price changes. The evaluation is based on information provided by these companies, which are not subject to the same disclosure obligations as U.S. publicly-traded companies, and, accordingly, the basis for these evaluations is subject to the timing and accuracy of the data provided. As of January 30, 2026 and January 31, 2025, we held strategic investments in non-marketable securities of $1.6 billion and $1.5 billion,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4 of the Notes to the Consolidated Financial Statements included in this report for additional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6415"/>
                <wp:effectExtent l="0" t="0" r="0" b="0"/>
                <wp:wrapNone/>
                <wp:docPr id="66" name="Frame6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8 </w:t>
      </w:r>
      <w:r>
        <w:rPr>
          <w:color w:val="000000"/>
        </w:rPr>
        <w:t xml:space="preserve">— </w:t>
      </w:r>
      <w:r>
        <w:rPr>
          <w:rFonts w:ascii="Times New Roman;serif" w:hAnsi="Times New Roman;serif"/>
          <w:b/>
          <w:color w:val="000000"/>
          <w:sz w:val="20"/>
        </w:rPr>
        <w:t xml:space="preserve">FINANCIAL STATEMENTS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37"/>
        <w:gridCol w:w="3040"/>
        <w:gridCol w:w="3056"/>
        <w:gridCol w:w="167"/>
        <w:gridCol w:w="167"/>
        <w:gridCol w:w="238"/>
      </w:tblGrid>
      <w:tr>
        <w:trPr/>
        <w:tc>
          <w:tcPr>
            <w:tcW w:w="3537"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5">
              <w:r>
                <w:rPr>
                  <w:rStyle w:val="InternetLink"/>
                  <w:rFonts w:ascii="Times New Roman;serif" w:hAnsi="Times New Roman;serif"/>
                  <w:b w:val="false"/>
                  <w:color w:val="000080"/>
                  <w:sz w:val="20"/>
                  <w:u w:val="single"/>
                </w:rPr>
                <w:t xml:space="preserve">Report of Independent Registered Public Accounting Firm (Public Company Accounting Oversight Board ID: </w:t>
              </w:r>
            </w:hyperlink>
            <w:r>
              <w:rPr>
                <w:rFonts w:ascii="Times New Roman;serif" w:hAnsi="Times New Roman;serif"/>
                <w:b w:val="false"/>
                <w:color w:val="0000FF"/>
                <w:sz w:val="20"/>
                <w:u w:val="single"/>
              </w:rPr>
              <w:t>238</w:t>
            </w:r>
            <w:hyperlink w:anchor="ieecfa9cdffdd430cb1da4c02ab2461d3_25">
              <w:r>
                <w:rPr>
                  <w:rStyle w:val="InternetLink"/>
                  <w:rFonts w:ascii="Times New Roman;serif" w:hAnsi="Times New Roman;serif"/>
                  <w:b w:val="false"/>
                  <w:color w:val="000080"/>
                  <w:sz w:val="20"/>
                  <w:u w:val="single"/>
                </w:rPr>
                <w: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5">
              <w:r>
                <w:rPr>
                  <w:rStyle w:val="InternetLink"/>
                  <w:rFonts w:ascii="Times New Roman;serif" w:hAnsi="Times New Roman;serif"/>
                  <w:b w:val="false"/>
                  <w:color w:val="0000FF"/>
                  <w:sz w:val="20"/>
                  <w:u w:val="single"/>
                </w:rPr>
                <w:t>67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28">
              <w:r>
                <w:rPr>
                  <w:rStyle w:val="InternetLink"/>
                  <w:rFonts w:ascii="Times New Roman;serif" w:hAnsi="Times New Roman;serif"/>
                  <w:b w:val="false"/>
                  <w:color w:val="000080"/>
                  <w:sz w:val="20"/>
                  <w:u w:val="single"/>
                </w:rPr>
                <w:t xml:space="preserve">Consolidated Statements of Financial Position as of </w:t>
              </w:r>
            </w:hyperlink>
            <w:hyperlink w:anchor="ieecfa9cdffdd430cb1da4c02ab2461d3_28">
              <w:r>
                <w:rPr>
                  <w:rStyle w:val="InternetLink"/>
                  <w:rFonts w:ascii="Times New Roman;serif" w:hAnsi="Times New Roman;serif"/>
                  <w:b w:val="false"/>
                  <w:color w:val="000080"/>
                  <w:sz w:val="20"/>
                  <w:u w:val="single"/>
                </w:rPr>
                <w:t>January 30, 2026</w:t>
              </w:r>
            </w:hyperlink>
            <w:hyperlink w:anchor="ieecfa9cdffdd430cb1da4c02ab2461d3_28">
              <w:r>
                <w:rPr>
                  <w:rStyle w:val="InternetLink"/>
                  <w:rFonts w:ascii="Times New Roman;serif" w:hAnsi="Times New Roman;serif"/>
                  <w:b w:val="false"/>
                  <w:color w:val="000080"/>
                  <w:sz w:val="20"/>
                  <w:u w:val="single"/>
                </w:rPr>
                <w:t xml:space="preserve"> and January 31,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28">
              <w:r>
                <w:rPr>
                  <w:rStyle w:val="InternetLink"/>
                  <w:rFonts w:ascii="Times New Roman;serif" w:hAnsi="Times New Roman;serif"/>
                  <w:b w:val="false"/>
                  <w:color w:val="0000FF"/>
                  <w:sz w:val="20"/>
                  <w:u w:val="single"/>
                </w:rPr>
                <w:t>69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31">
              <w:r>
                <w:rPr>
                  <w:rStyle w:val="InternetLink"/>
                  <w:rFonts w:ascii="Times New Roman;serif" w:hAnsi="Times New Roman;serif"/>
                  <w:b w:val="false"/>
                  <w:color w:val="000080"/>
                  <w:sz w:val="20"/>
                  <w:u w:val="single"/>
                </w:rPr>
                <w:t xml:space="preserve">Consolidated Statements of Income for the </w:t>
              </w:r>
            </w:hyperlink>
            <w:hyperlink w:anchor="ieecfa9cdffdd430cb1da4c02ab2461d3_31">
              <w:r>
                <w:rPr>
                  <w:rStyle w:val="InternetLink"/>
                  <w:rFonts w:ascii="Times New Roman;serif" w:hAnsi="Times New Roman;serif"/>
                  <w:b w:val="false"/>
                  <w:color w:val="000080"/>
                  <w:sz w:val="20"/>
                  <w:u w:val="single"/>
                </w:rPr>
                <w:t>fiscal years</w:t>
              </w:r>
            </w:hyperlink>
            <w:hyperlink w:anchor="ieecfa9cdffdd430cb1da4c02ab2461d3_31">
              <w:r>
                <w:rPr>
                  <w:rStyle w:val="InternetLink"/>
                  <w:rFonts w:ascii="Times New Roman;serif" w:hAnsi="Times New Roman;serif"/>
                  <w:b w:val="false"/>
                  <w:color w:val="000080"/>
                  <w:sz w:val="20"/>
                  <w:u w:val="single"/>
                </w:rPr>
                <w:t xml:space="preserve"> ended January 30, 2026, January 31, 2025, and </w:t>
              </w:r>
            </w:hyperlink>
            <w:hyperlink w:anchor="ieecfa9cdffdd430cb1da4c02ab2461d3_31">
              <w:r>
                <w:rPr>
                  <w:rStyle w:val="InternetLink"/>
                  <w:rFonts w:ascii="Times New Roman;serif" w:hAnsi="Times New Roman;serif"/>
                  <w:b w:val="false"/>
                  <w:color w:val="000080"/>
                  <w:sz w:val="20"/>
                  <w:u w:val="single"/>
                </w:rPr>
                <w:t>February 2,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31">
              <w:r>
                <w:rPr>
                  <w:rStyle w:val="InternetLink"/>
                  <w:rFonts w:ascii="Times New Roman;serif" w:hAnsi="Times New Roman;serif"/>
                  <w:b w:val="false"/>
                  <w:color w:val="0000FF"/>
                  <w:sz w:val="20"/>
                  <w:u w:val="single"/>
                </w:rPr>
                <w:t>70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37">
              <w:r>
                <w:rPr>
                  <w:rStyle w:val="InternetLink"/>
                  <w:rFonts w:ascii="Times New Roman;serif" w:hAnsi="Times New Roman;serif"/>
                  <w:b w:val="false"/>
                  <w:color w:val="000080"/>
                  <w:sz w:val="20"/>
                  <w:u w:val="single"/>
                </w:rPr>
                <w:t xml:space="preserve">Consolidated Statements of Comprehensive Income for the </w:t>
              </w:r>
            </w:hyperlink>
            <w:hyperlink w:anchor="ieecfa9cdffdd430cb1da4c02ab2461d3_37">
              <w:r>
                <w:rPr>
                  <w:rStyle w:val="InternetLink"/>
                  <w:rFonts w:ascii="Times New Roman;serif" w:hAnsi="Times New Roman;serif"/>
                  <w:b w:val="false"/>
                  <w:color w:val="000080"/>
                  <w:sz w:val="20"/>
                  <w:u w:val="single"/>
                </w:rPr>
                <w:t>fiscal years</w:t>
              </w:r>
            </w:hyperlink>
            <w:hyperlink w:anchor="ieecfa9cdffdd430cb1da4c02ab2461d3_37">
              <w:r>
                <w:rPr>
                  <w:rStyle w:val="InternetLink"/>
                  <w:rFonts w:ascii="Times New Roman;serif" w:hAnsi="Times New Roman;serif"/>
                  <w:b w:val="false"/>
                  <w:color w:val="000080"/>
                  <w:sz w:val="20"/>
                  <w:u w:val="single"/>
                </w:rPr>
                <w:t xml:space="preserve"> ended January 30, 2026, January 31, 2025, and February 2,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37">
              <w:r>
                <w:rPr>
                  <w:rStyle w:val="InternetLink"/>
                  <w:rFonts w:ascii="Times New Roman;serif" w:hAnsi="Times New Roman;serif"/>
                  <w:b w:val="false"/>
                  <w:color w:val="0000FF"/>
                  <w:sz w:val="20"/>
                  <w:u w:val="single"/>
                </w:rPr>
                <w:t>71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40">
              <w:r>
                <w:rPr>
                  <w:rStyle w:val="InternetLink"/>
                  <w:rFonts w:ascii="Times New Roman;serif" w:hAnsi="Times New Roman;serif"/>
                  <w:b w:val="false"/>
                  <w:color w:val="000080"/>
                  <w:sz w:val="20"/>
                  <w:u w:val="single"/>
                </w:rPr>
                <w:t xml:space="preserve">Consolidated Statements of Cash Flows for the </w:t>
              </w:r>
            </w:hyperlink>
            <w:hyperlink w:anchor="ieecfa9cdffdd430cb1da4c02ab2461d3_40">
              <w:r>
                <w:rPr>
                  <w:rStyle w:val="InternetLink"/>
                  <w:rFonts w:ascii="Times New Roman;serif" w:hAnsi="Times New Roman;serif"/>
                  <w:b w:val="false"/>
                  <w:color w:val="000080"/>
                  <w:sz w:val="20"/>
                  <w:u w:val="single"/>
                </w:rPr>
                <w:t>fiscal years</w:t>
              </w:r>
            </w:hyperlink>
            <w:hyperlink w:anchor="ieecfa9cdffdd430cb1da4c02ab2461d3_40">
              <w:r>
                <w:rPr>
                  <w:rStyle w:val="InternetLink"/>
                  <w:rFonts w:ascii="Times New Roman;serif" w:hAnsi="Times New Roman;serif"/>
                  <w:b w:val="false"/>
                  <w:color w:val="000080"/>
                  <w:sz w:val="20"/>
                  <w:u w:val="single"/>
                </w:rPr>
                <w:t xml:space="preserve"> ended January 30, 2026, January 31, 2025, and February 2,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40">
              <w:r>
                <w:rPr>
                  <w:rStyle w:val="InternetLink"/>
                  <w:rFonts w:ascii="Times New Roman;serif" w:hAnsi="Times New Roman;serif"/>
                  <w:b w:val="false"/>
                  <w:color w:val="0000FF"/>
                  <w:sz w:val="20"/>
                  <w:u w:val="single"/>
                </w:rPr>
                <w:t>72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46">
              <w:r>
                <w:rPr>
                  <w:rStyle w:val="InternetLink"/>
                  <w:rFonts w:ascii="Times New Roman;serif" w:hAnsi="Times New Roman;serif"/>
                  <w:b w:val="false"/>
                  <w:color w:val="000080"/>
                  <w:sz w:val="20"/>
                  <w:u w:val="single"/>
                </w:rPr>
                <w:t xml:space="preserve">Consolidated Statements of Stockholders’ Equity (Deficit) for the </w:t>
              </w:r>
            </w:hyperlink>
            <w:hyperlink w:anchor="ieecfa9cdffdd430cb1da4c02ab2461d3_46">
              <w:r>
                <w:rPr>
                  <w:rStyle w:val="InternetLink"/>
                  <w:rFonts w:ascii="Times New Roman;serif" w:hAnsi="Times New Roman;serif"/>
                  <w:b w:val="false"/>
                  <w:color w:val="000080"/>
                  <w:sz w:val="20"/>
                  <w:u w:val="single"/>
                </w:rPr>
                <w:t>fiscal years</w:t>
              </w:r>
            </w:hyperlink>
            <w:hyperlink w:anchor="ieecfa9cdffdd430cb1da4c02ab2461d3_46">
              <w:r>
                <w:rPr>
                  <w:rStyle w:val="InternetLink"/>
                  <w:rFonts w:ascii="Times New Roman;serif" w:hAnsi="Times New Roman;serif"/>
                  <w:b w:val="false"/>
                  <w:color w:val="000080"/>
                  <w:sz w:val="20"/>
                  <w:u w:val="single"/>
                </w:rPr>
                <w:t xml:space="preserve"> ended January 30, 2026, January 31, 2025, and February 2, 2024</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46">
              <w:r>
                <w:rPr>
                  <w:rStyle w:val="InternetLink"/>
                  <w:rFonts w:ascii="Times New Roman;serif" w:hAnsi="Times New Roman;serif"/>
                  <w:b w:val="false"/>
                  <w:color w:val="0000FF"/>
                  <w:sz w:val="20"/>
                  <w:u w:val="single"/>
                </w:rPr>
                <w:t>73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49">
              <w:r>
                <w:rPr>
                  <w:rStyle w:val="InternetLink"/>
                  <w:rFonts w:ascii="Times New Roman;serif" w:hAnsi="Times New Roman;serif"/>
                  <w:b w:val="false"/>
                  <w:color w:val="000080"/>
                  <w:sz w:val="20"/>
                  <w:u w:val="single"/>
                </w:rPr>
                <w:t xml:space="preserve">Notes to the </w:t>
              </w:r>
            </w:hyperlink>
            <w:hyperlink w:anchor="ieecfa9cdffdd430cb1da4c02ab2461d3_49">
              <w:r>
                <w:rPr>
                  <w:rStyle w:val="InternetLink"/>
                  <w:rFonts w:ascii="Times New Roman;serif" w:hAnsi="Times New Roman;serif"/>
                  <w:b w:val="false"/>
                  <w:color w:val="000080"/>
                  <w:sz w:val="20"/>
                  <w:u w:val="single"/>
                </w:rPr>
                <w:t>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49">
              <w:r>
                <w:rPr>
                  <w:rStyle w:val="InternetLink"/>
                  <w:rFonts w:ascii="Times New Roman;serif" w:hAnsi="Times New Roman;serif"/>
                  <w:b w:val="false"/>
                  <w:color w:val="0000FF"/>
                  <w:sz w:val="20"/>
                  <w:u w:val="single"/>
                </w:rPr>
                <w:t>76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52">
              <w:r>
                <w:rPr>
                  <w:rStyle w:val="InternetLink"/>
                  <w:rFonts w:ascii="Times New Roman;serif" w:hAnsi="Times New Roman;serif"/>
                  <w:b w:val="false"/>
                  <w:color w:val="0000FF"/>
                  <w:sz w:val="20"/>
                  <w:u w:val="single"/>
                </w:rPr>
                <w:t>Note 1 — Overview and Basis of Presentation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52">
              <w:r>
                <w:rPr>
                  <w:rStyle w:val="InternetLink"/>
                  <w:rFonts w:ascii="Times New Roman;serif" w:hAnsi="Times New Roman;serif"/>
                  <w:b w:val="false"/>
                  <w:color w:val="0000FF"/>
                  <w:sz w:val="20"/>
                  <w:u w:val="single"/>
                </w:rPr>
                <w:t>76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55">
              <w:r>
                <w:rPr>
                  <w:rStyle w:val="InternetLink"/>
                  <w:rFonts w:ascii="Times New Roman;serif" w:hAnsi="Times New Roman;serif"/>
                  <w:b w:val="false"/>
                  <w:color w:val="0000FF"/>
                  <w:sz w:val="20"/>
                  <w:u w:val="single"/>
                </w:rPr>
                <w:t>Note 2 — Summary of Significant Accounting Policies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55">
              <w:r>
                <w:rPr>
                  <w:rStyle w:val="InternetLink"/>
                  <w:rFonts w:ascii="Times New Roman;serif" w:hAnsi="Times New Roman;serif"/>
                  <w:b w:val="false"/>
                  <w:color w:val="0000FF"/>
                  <w:sz w:val="20"/>
                  <w:u w:val="single"/>
                </w:rPr>
                <w:t>77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58">
              <w:r>
                <w:rPr>
                  <w:rStyle w:val="InternetLink"/>
                  <w:rFonts w:ascii="Times New Roman;serif" w:hAnsi="Times New Roman;serif"/>
                  <w:b w:val="false"/>
                  <w:color w:val="000080"/>
                  <w:sz w:val="20"/>
                  <w:u w:val="single"/>
                </w:rPr>
                <w:t xml:space="preserve">Note </w:t>
              </w:r>
            </w:hyperlink>
            <w:hyperlink w:anchor="ieecfa9cdffdd430cb1da4c02ab2461d3_58">
              <w:r>
                <w:rPr>
                  <w:rStyle w:val="InternetLink"/>
                  <w:rFonts w:ascii="Times New Roman;serif" w:hAnsi="Times New Roman;serif"/>
                  <w:b w:val="false"/>
                  <w:color w:val="000080"/>
                  <w:sz w:val="20"/>
                  <w:u w:val="single"/>
                </w:rPr>
                <w:t>3</w:t>
              </w:r>
            </w:hyperlink>
            <w:hyperlink w:anchor="ieecfa9cdffdd430cb1da4c02ab2461d3_58">
              <w:r>
                <w:rPr>
                  <w:rStyle w:val="InternetLink"/>
                  <w:rFonts w:ascii="Times New Roman;serif" w:hAnsi="Times New Roman;serif"/>
                  <w:b w:val="false"/>
                  <w:color w:val="000080"/>
                  <w:sz w:val="20"/>
                  <w:u w:val="single"/>
                </w:rPr>
                <w:t xml:space="preserve"> — Fair Value Measurements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58">
              <w:r>
                <w:rPr>
                  <w:rStyle w:val="InternetLink"/>
                  <w:rFonts w:ascii="Times New Roman;serif" w:hAnsi="Times New Roman;serif"/>
                  <w:b w:val="false"/>
                  <w:color w:val="0000FF"/>
                  <w:sz w:val="20"/>
                  <w:u w:val="single"/>
                </w:rPr>
                <w:t>88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61">
              <w:r>
                <w:rPr>
                  <w:rStyle w:val="InternetLink"/>
                  <w:rFonts w:ascii="Times New Roman;serif" w:hAnsi="Times New Roman;serif"/>
                  <w:b w:val="false"/>
                  <w:color w:val="000080"/>
                  <w:sz w:val="20"/>
                  <w:u w:val="single"/>
                </w:rPr>
                <w:t xml:space="preserve">Note </w:t>
              </w:r>
            </w:hyperlink>
            <w:hyperlink w:anchor="ieecfa9cdffdd430cb1da4c02ab2461d3_61">
              <w:r>
                <w:rPr>
                  <w:rStyle w:val="InternetLink"/>
                  <w:rFonts w:ascii="Times New Roman;serif" w:hAnsi="Times New Roman;serif"/>
                  <w:b w:val="false"/>
                  <w:color w:val="000080"/>
                  <w:sz w:val="20"/>
                  <w:u w:val="single"/>
                </w:rPr>
                <w:t>4</w:t>
              </w:r>
            </w:hyperlink>
            <w:hyperlink w:anchor="ieecfa9cdffdd430cb1da4c02ab2461d3_61">
              <w:r>
                <w:rPr>
                  <w:rStyle w:val="InternetLink"/>
                  <w:rFonts w:ascii="Times New Roman;serif" w:hAnsi="Times New Roman;serif"/>
                  <w:b w:val="false"/>
                  <w:color w:val="000080"/>
                  <w:sz w:val="20"/>
                  <w:u w:val="single"/>
                </w:rPr>
                <w:t xml:space="preserve"> — Investments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61">
              <w:r>
                <w:rPr>
                  <w:rStyle w:val="InternetLink"/>
                  <w:rFonts w:ascii="Times New Roman;serif" w:hAnsi="Times New Roman;serif"/>
                  <w:b w:val="false"/>
                  <w:color w:val="0000FF"/>
                  <w:sz w:val="20"/>
                  <w:u w:val="single"/>
                </w:rPr>
                <w:t>90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64">
              <w:r>
                <w:rPr>
                  <w:rStyle w:val="InternetLink"/>
                  <w:rFonts w:ascii="Times New Roman;serif" w:hAnsi="Times New Roman;serif"/>
                  <w:b w:val="false"/>
                  <w:color w:val="000080"/>
                  <w:sz w:val="20"/>
                  <w:u w:val="single"/>
                </w:rPr>
                <w:t xml:space="preserve">Note </w:t>
              </w:r>
            </w:hyperlink>
            <w:hyperlink w:anchor="ieecfa9cdffdd430cb1da4c02ab2461d3_64">
              <w:r>
                <w:rPr>
                  <w:rStyle w:val="InternetLink"/>
                  <w:rFonts w:ascii="Times New Roman;serif" w:hAnsi="Times New Roman;serif"/>
                  <w:b w:val="false"/>
                  <w:color w:val="000080"/>
                  <w:sz w:val="20"/>
                  <w:u w:val="single"/>
                </w:rPr>
                <w:t>5</w:t>
              </w:r>
            </w:hyperlink>
            <w:hyperlink w:anchor="ieecfa9cdffdd430cb1da4c02ab2461d3_64">
              <w:r>
                <w:rPr>
                  <w:rStyle w:val="InternetLink"/>
                  <w:rFonts w:ascii="Times New Roman;serif" w:hAnsi="Times New Roman;serif"/>
                  <w:b w:val="false"/>
                  <w:color w:val="000080"/>
                  <w:sz w:val="20"/>
                  <w:u w:val="single"/>
                </w:rPr>
                <w:t xml:space="preserve"> — Financial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64">
              <w:r>
                <w:rPr>
                  <w:rStyle w:val="InternetLink"/>
                  <w:rFonts w:ascii="Times New Roman;serif" w:hAnsi="Times New Roman;serif"/>
                  <w:b w:val="false"/>
                  <w:color w:val="0000FF"/>
                  <w:sz w:val="20"/>
                  <w:u w:val="single"/>
                </w:rPr>
                <w:t>91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67">
              <w:r>
                <w:rPr>
                  <w:rStyle w:val="InternetLink"/>
                  <w:rFonts w:ascii="Times New Roman;serif" w:hAnsi="Times New Roman;serif"/>
                  <w:b w:val="false"/>
                  <w:color w:val="000080"/>
                  <w:sz w:val="20"/>
                  <w:u w:val="single"/>
                </w:rPr>
                <w:t xml:space="preserve">Note </w:t>
              </w:r>
            </w:hyperlink>
            <w:hyperlink w:anchor="ieecfa9cdffdd430cb1da4c02ab2461d3_67">
              <w:r>
                <w:rPr>
                  <w:rStyle w:val="InternetLink"/>
                  <w:rFonts w:ascii="Times New Roman;serif" w:hAnsi="Times New Roman;serif"/>
                  <w:b w:val="false"/>
                  <w:color w:val="000080"/>
                  <w:sz w:val="20"/>
                  <w:u w:val="single"/>
                </w:rPr>
                <w:t>6</w:t>
              </w:r>
            </w:hyperlink>
            <w:hyperlink w:anchor="ieecfa9cdffdd430cb1da4c02ab2461d3_67">
              <w:r>
                <w:rPr>
                  <w:rStyle w:val="InternetLink"/>
                  <w:rFonts w:ascii="Times New Roman;serif" w:hAnsi="Times New Roman;serif"/>
                  <w:b w:val="false"/>
                  <w:color w:val="000080"/>
                  <w:sz w:val="20"/>
                  <w:u w:val="single"/>
                </w:rPr>
                <w:t xml:space="preserve"> — Leases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67">
              <w:r>
                <w:rPr>
                  <w:rStyle w:val="InternetLink"/>
                  <w:rFonts w:ascii="Times New Roman;serif" w:hAnsi="Times New Roman;serif"/>
                  <w:b w:val="false"/>
                  <w:color w:val="0000FF"/>
                  <w:sz w:val="20"/>
                  <w:u w:val="single"/>
                </w:rPr>
                <w:t>98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70">
              <w:r>
                <w:rPr>
                  <w:rStyle w:val="InternetLink"/>
                  <w:rFonts w:ascii="Times New Roman;serif" w:hAnsi="Times New Roman;serif"/>
                  <w:b w:val="false"/>
                  <w:color w:val="000080"/>
                  <w:sz w:val="20"/>
                  <w:u w:val="single"/>
                </w:rPr>
                <w:t xml:space="preserve">Note </w:t>
              </w:r>
            </w:hyperlink>
            <w:hyperlink w:anchor="ieecfa9cdffdd430cb1da4c02ab2461d3_70">
              <w:r>
                <w:rPr>
                  <w:rStyle w:val="InternetLink"/>
                  <w:rFonts w:ascii="Times New Roman;serif" w:hAnsi="Times New Roman;serif"/>
                  <w:b w:val="false"/>
                  <w:color w:val="000080"/>
                  <w:sz w:val="20"/>
                  <w:u w:val="single"/>
                </w:rPr>
                <w:t>7</w:t>
              </w:r>
            </w:hyperlink>
            <w:hyperlink w:anchor="ieecfa9cdffdd430cb1da4c02ab2461d3_70">
              <w:r>
                <w:rPr>
                  <w:rStyle w:val="InternetLink"/>
                  <w:rFonts w:ascii="Times New Roman;serif" w:hAnsi="Times New Roman;serif"/>
                  <w:b w:val="false"/>
                  <w:color w:val="000080"/>
                  <w:sz w:val="20"/>
                  <w:u w:val="single"/>
                </w:rPr>
                <w:t xml:space="preserve"> — Debt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70">
              <w:r>
                <w:rPr>
                  <w:rStyle w:val="InternetLink"/>
                  <w:rFonts w:ascii="Times New Roman;serif" w:hAnsi="Times New Roman;serif"/>
                  <w:b w:val="false"/>
                  <w:color w:val="0000FF"/>
                  <w:sz w:val="20"/>
                  <w:u w:val="single"/>
                </w:rPr>
                <w:t>100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73">
              <w:r>
                <w:rPr>
                  <w:rStyle w:val="InternetLink"/>
                  <w:rFonts w:ascii="Times New Roman;serif" w:hAnsi="Times New Roman;serif"/>
                  <w:b w:val="false"/>
                  <w:color w:val="000080"/>
                  <w:sz w:val="20"/>
                  <w:u w:val="single"/>
                </w:rPr>
                <w:t xml:space="preserve">Note </w:t>
              </w:r>
            </w:hyperlink>
            <w:hyperlink w:anchor="ieecfa9cdffdd430cb1da4c02ab2461d3_73">
              <w:r>
                <w:rPr>
                  <w:rStyle w:val="InternetLink"/>
                  <w:rFonts w:ascii="Times New Roman;serif" w:hAnsi="Times New Roman;serif"/>
                  <w:b w:val="false"/>
                  <w:color w:val="000080"/>
                  <w:sz w:val="20"/>
                  <w:u w:val="single"/>
                </w:rPr>
                <w:t>8</w:t>
              </w:r>
            </w:hyperlink>
            <w:hyperlink w:anchor="ieecfa9cdffdd430cb1da4c02ab2461d3_73">
              <w:r>
                <w:rPr>
                  <w:rStyle w:val="InternetLink"/>
                  <w:rFonts w:ascii="Times New Roman;serif" w:hAnsi="Times New Roman;serif"/>
                  <w:b w:val="false"/>
                  <w:color w:val="000080"/>
                  <w:sz w:val="20"/>
                  <w:u w:val="single"/>
                </w:rPr>
                <w:t xml:space="preserve"> — Derivative Instruments and Hedging Activities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73">
              <w:r>
                <w:rPr>
                  <w:rStyle w:val="InternetLink"/>
                  <w:rFonts w:ascii="Times New Roman;serif" w:hAnsi="Times New Roman;serif"/>
                  <w:b w:val="false"/>
                  <w:color w:val="0000FF"/>
                  <w:sz w:val="20"/>
                  <w:u w:val="single"/>
                </w:rPr>
                <w:t>102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76">
              <w:r>
                <w:rPr>
                  <w:rStyle w:val="InternetLink"/>
                  <w:rFonts w:ascii="Times New Roman;serif" w:hAnsi="Times New Roman;serif"/>
                  <w:b w:val="false"/>
                  <w:color w:val="000080"/>
                  <w:sz w:val="20"/>
                  <w:u w:val="single"/>
                </w:rPr>
                <w:t xml:space="preserve">Note </w:t>
              </w:r>
            </w:hyperlink>
            <w:hyperlink w:anchor="ieecfa9cdffdd430cb1da4c02ab2461d3_76">
              <w:r>
                <w:rPr>
                  <w:rStyle w:val="InternetLink"/>
                  <w:rFonts w:ascii="Times New Roman;serif" w:hAnsi="Times New Roman;serif"/>
                  <w:b w:val="false"/>
                  <w:color w:val="000080"/>
                  <w:sz w:val="20"/>
                  <w:u w:val="single"/>
                </w:rPr>
                <w:t>9</w:t>
              </w:r>
            </w:hyperlink>
            <w:hyperlink w:anchor="ieecfa9cdffdd430cb1da4c02ab2461d3_76">
              <w:r>
                <w:rPr>
                  <w:rStyle w:val="InternetLink"/>
                  <w:rFonts w:ascii="Times New Roman;serif" w:hAnsi="Times New Roman;serif"/>
                  <w:b w:val="false"/>
                  <w:color w:val="000080"/>
                  <w:sz w:val="20"/>
                  <w:u w:val="single"/>
                </w:rPr>
                <w:t xml:space="preserve"> — Goodwill and Intangible Assets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76">
              <w:r>
                <w:rPr>
                  <w:rStyle w:val="InternetLink"/>
                  <w:rFonts w:ascii="Times New Roman;serif" w:hAnsi="Times New Roman;serif"/>
                  <w:b w:val="false"/>
                  <w:color w:val="0000FF"/>
                  <w:sz w:val="20"/>
                  <w:u w:val="single"/>
                </w:rPr>
                <w:t>106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79">
              <w:r>
                <w:rPr>
                  <w:rStyle w:val="InternetLink"/>
                  <w:rFonts w:ascii="Times New Roman;serif" w:hAnsi="Times New Roman;serif"/>
                  <w:b w:val="false"/>
                  <w:color w:val="000080"/>
                  <w:sz w:val="20"/>
                  <w:u w:val="single"/>
                </w:rPr>
                <w:t xml:space="preserve">Note </w:t>
              </w:r>
            </w:hyperlink>
            <w:hyperlink w:anchor="ieecfa9cdffdd430cb1da4c02ab2461d3_79">
              <w:r>
                <w:rPr>
                  <w:rStyle w:val="InternetLink"/>
                  <w:rFonts w:ascii="Times New Roman;serif" w:hAnsi="Times New Roman;serif"/>
                  <w:b w:val="false"/>
                  <w:color w:val="000080"/>
                  <w:sz w:val="20"/>
                  <w:u w:val="single"/>
                </w:rPr>
                <w:t>10</w:t>
              </w:r>
            </w:hyperlink>
            <w:hyperlink w:anchor="ieecfa9cdffdd430cb1da4c02ab2461d3_79">
              <w:r>
                <w:rPr>
                  <w:rStyle w:val="InternetLink"/>
                  <w:rFonts w:ascii="Times New Roman;serif" w:hAnsi="Times New Roman;serif"/>
                  <w:b w:val="false"/>
                  <w:color w:val="000080"/>
                  <w:sz w:val="20"/>
                  <w:u w:val="single"/>
                </w:rPr>
                <w:t xml:space="preserve"> — Deferred Revenue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79">
              <w:r>
                <w:rPr>
                  <w:rStyle w:val="InternetLink"/>
                  <w:rFonts w:ascii="Times New Roman;serif" w:hAnsi="Times New Roman;serif"/>
                  <w:b w:val="false"/>
                  <w:color w:val="0000FF"/>
                  <w:sz w:val="20"/>
                  <w:u w:val="single"/>
                </w:rPr>
                <w:t>108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85">
              <w:r>
                <w:rPr>
                  <w:rStyle w:val="InternetLink"/>
                  <w:rFonts w:ascii="Times New Roman;serif" w:hAnsi="Times New Roman;serif"/>
                  <w:b w:val="false"/>
                  <w:color w:val="000080"/>
                  <w:sz w:val="20"/>
                  <w:u w:val="single"/>
                </w:rPr>
                <w:t>Note 1</w:t>
              </w:r>
            </w:hyperlink>
            <w:hyperlink w:anchor="ieecfa9cdffdd430cb1da4c02ab2461d3_85">
              <w:r>
                <w:rPr>
                  <w:rStyle w:val="InternetLink"/>
                  <w:rFonts w:ascii="Times New Roman;serif" w:hAnsi="Times New Roman;serif"/>
                  <w:b w:val="false"/>
                  <w:color w:val="000080"/>
                  <w:sz w:val="20"/>
                  <w:u w:val="single"/>
                </w:rPr>
                <w:t>1</w:t>
              </w:r>
            </w:hyperlink>
            <w:hyperlink w:anchor="ieecfa9cdffdd430cb1da4c02ab2461d3_85">
              <w:r>
                <w:rPr>
                  <w:rStyle w:val="InternetLink"/>
                  <w:rFonts w:ascii="Times New Roman;serif" w:hAnsi="Times New Roman;serif"/>
                  <w:b w:val="false"/>
                  <w:color w:val="000080"/>
                  <w:sz w:val="20"/>
                  <w:u w:val="single"/>
                </w:rPr>
                <w:t xml:space="preserve"> — Commitments and Contingencies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85">
              <w:r>
                <w:rPr>
                  <w:rStyle w:val="InternetLink"/>
                  <w:rFonts w:ascii="Times New Roman;serif" w:hAnsi="Times New Roman;serif"/>
                  <w:b w:val="false"/>
                  <w:color w:val="0000FF"/>
                  <w:sz w:val="20"/>
                  <w:u w:val="single"/>
                </w:rPr>
                <w:t>109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91">
              <w:r>
                <w:rPr>
                  <w:rStyle w:val="InternetLink"/>
                  <w:rFonts w:ascii="Times New Roman;serif" w:hAnsi="Times New Roman;serif"/>
                  <w:b w:val="false"/>
                  <w:color w:val="000080"/>
                  <w:sz w:val="20"/>
                  <w:u w:val="single"/>
                </w:rPr>
                <w:t>Note 1</w:t>
              </w:r>
            </w:hyperlink>
            <w:hyperlink w:anchor="ieecfa9cdffdd430cb1da4c02ab2461d3_91">
              <w:r>
                <w:rPr>
                  <w:rStyle w:val="InternetLink"/>
                  <w:rFonts w:ascii="Times New Roman;serif" w:hAnsi="Times New Roman;serif"/>
                  <w:b w:val="false"/>
                  <w:color w:val="000080"/>
                  <w:sz w:val="20"/>
                  <w:u w:val="single"/>
                </w:rPr>
                <w:t>2</w:t>
              </w:r>
            </w:hyperlink>
            <w:hyperlink w:anchor="ieecfa9cdffdd430cb1da4c02ab2461d3_91">
              <w:r>
                <w:rPr>
                  <w:rStyle w:val="InternetLink"/>
                  <w:rFonts w:ascii="Times New Roman;serif" w:hAnsi="Times New Roman;serif"/>
                  <w:b w:val="false"/>
                  <w:color w:val="000080"/>
                  <w:sz w:val="20"/>
                  <w:u w:val="single"/>
                </w:rPr>
                <w:t xml:space="preserve"> — Income and Other Taxes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91">
              <w:r>
                <w:rPr>
                  <w:rStyle w:val="InternetLink"/>
                  <w:rFonts w:ascii="Times New Roman;serif" w:hAnsi="Times New Roman;serif"/>
                  <w:b w:val="false"/>
                  <w:color w:val="0000FF"/>
                  <w:sz w:val="20"/>
                  <w:u w:val="single"/>
                </w:rPr>
                <w:t>111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94">
              <w:r>
                <w:rPr>
                  <w:rStyle w:val="InternetLink"/>
                  <w:rFonts w:ascii="Times New Roman;serif" w:hAnsi="Times New Roman;serif"/>
                  <w:b w:val="false"/>
                  <w:color w:val="000080"/>
                  <w:sz w:val="20"/>
                  <w:u w:val="single"/>
                </w:rPr>
                <w:t>Note 1</w:t>
              </w:r>
            </w:hyperlink>
            <w:hyperlink w:anchor="ieecfa9cdffdd430cb1da4c02ab2461d3_94">
              <w:r>
                <w:rPr>
                  <w:rStyle w:val="InternetLink"/>
                  <w:rFonts w:ascii="Times New Roman;serif" w:hAnsi="Times New Roman;serif"/>
                  <w:b w:val="false"/>
                  <w:color w:val="000080"/>
                  <w:sz w:val="20"/>
                  <w:u w:val="single"/>
                </w:rPr>
                <w:t>3</w:t>
              </w:r>
            </w:hyperlink>
            <w:hyperlink w:anchor="ieecfa9cdffdd430cb1da4c02ab2461d3_94">
              <w:r>
                <w:rPr>
                  <w:rStyle w:val="InternetLink"/>
                  <w:rFonts w:ascii="Times New Roman;serif" w:hAnsi="Times New Roman;serif"/>
                  <w:b w:val="false"/>
                  <w:color w:val="000080"/>
                  <w:sz w:val="20"/>
                  <w:u w:val="single"/>
                </w:rPr>
                <w:t xml:space="preserve"> — Accumulated Other Comprehensive Income (Loss)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94">
              <w:r>
                <w:rPr>
                  <w:rStyle w:val="InternetLink"/>
                  <w:rFonts w:ascii="Times New Roman;serif" w:hAnsi="Times New Roman;serif"/>
                  <w:b w:val="false"/>
                  <w:color w:val="0000FF"/>
                  <w:sz w:val="20"/>
                  <w:u w:val="single"/>
                </w:rPr>
                <w:t>117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97">
              <w:r>
                <w:rPr>
                  <w:rStyle w:val="InternetLink"/>
                  <w:rFonts w:ascii="Times New Roman;serif" w:hAnsi="Times New Roman;serif"/>
                  <w:b w:val="false"/>
                  <w:color w:val="000080"/>
                  <w:sz w:val="20"/>
                  <w:u w:val="single"/>
                </w:rPr>
                <w:t>Note 1</w:t>
              </w:r>
            </w:hyperlink>
            <w:hyperlink w:anchor="ieecfa9cdffdd430cb1da4c02ab2461d3_97">
              <w:r>
                <w:rPr>
                  <w:rStyle w:val="InternetLink"/>
                  <w:rFonts w:ascii="Times New Roman;serif" w:hAnsi="Times New Roman;serif"/>
                  <w:b w:val="false"/>
                  <w:color w:val="000080"/>
                  <w:sz w:val="20"/>
                  <w:u w:val="single"/>
                </w:rPr>
                <w:t>4</w:t>
              </w:r>
            </w:hyperlink>
            <w:hyperlink w:anchor="ieecfa9cdffdd430cb1da4c02ab2461d3_97">
              <w:r>
                <w:rPr>
                  <w:rStyle w:val="InternetLink"/>
                  <w:rFonts w:ascii="Times New Roman;serif" w:hAnsi="Times New Roman;serif"/>
                  <w:b w:val="false"/>
                  <w:color w:val="000080"/>
                  <w:sz w:val="20"/>
                  <w:u w:val="single"/>
                </w:rPr>
                <w:t xml:space="preserve"> — Capitalization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97">
              <w:r>
                <w:rPr>
                  <w:rStyle w:val="InternetLink"/>
                  <w:rFonts w:ascii="Times New Roman;serif" w:hAnsi="Times New Roman;serif"/>
                  <w:b w:val="false"/>
                  <w:color w:val="0000FF"/>
                  <w:sz w:val="20"/>
                  <w:u w:val="single"/>
                </w:rPr>
                <w:t>119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00">
              <w:r>
                <w:rPr>
                  <w:rStyle w:val="InternetLink"/>
                  <w:rFonts w:ascii="Times New Roman;serif" w:hAnsi="Times New Roman;serif"/>
                  <w:b w:val="false"/>
                  <w:color w:val="000080"/>
                  <w:sz w:val="20"/>
                  <w:u w:val="single"/>
                </w:rPr>
                <w:t>Note 1</w:t>
              </w:r>
            </w:hyperlink>
            <w:hyperlink w:anchor="ieecfa9cdffdd430cb1da4c02ab2461d3_100">
              <w:r>
                <w:rPr>
                  <w:rStyle w:val="InternetLink"/>
                  <w:rFonts w:ascii="Times New Roman;serif" w:hAnsi="Times New Roman;serif"/>
                  <w:b w:val="false"/>
                  <w:color w:val="000080"/>
                  <w:sz w:val="20"/>
                  <w:u w:val="single"/>
                </w:rPr>
                <w:t>5</w:t>
              </w:r>
            </w:hyperlink>
            <w:hyperlink w:anchor="ieecfa9cdffdd430cb1da4c02ab2461d3_100">
              <w:r>
                <w:rPr>
                  <w:rStyle w:val="InternetLink"/>
                  <w:rFonts w:ascii="Times New Roman;serif" w:hAnsi="Times New Roman;serif"/>
                  <w:b w:val="false"/>
                  <w:color w:val="000080"/>
                  <w:sz w:val="20"/>
                  <w:u w:val="single"/>
                </w:rPr>
                <w:t xml:space="preserve"> — Earnings Per Share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00">
              <w:r>
                <w:rPr>
                  <w:rStyle w:val="InternetLink"/>
                  <w:rFonts w:ascii="Times New Roman;serif" w:hAnsi="Times New Roman;serif"/>
                  <w:b w:val="false"/>
                  <w:color w:val="0000FF"/>
                  <w:sz w:val="20"/>
                  <w:u w:val="single"/>
                </w:rPr>
                <w:t>121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15">
              <w:r>
                <w:rPr>
                  <w:rStyle w:val="InternetLink"/>
                  <w:rFonts w:ascii="Times New Roman;serif" w:hAnsi="Times New Roman;serif"/>
                  <w:b w:val="false"/>
                  <w:color w:val="0000FF"/>
                  <w:sz w:val="20"/>
                  <w:u w:val="single"/>
                </w:rPr>
                <w:t>Note 16 — Stock-Based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15">
              <w:r>
                <w:rPr>
                  <w:rStyle w:val="InternetLink"/>
                  <w:rFonts w:ascii="Times New Roman;serif" w:hAnsi="Times New Roman;serif"/>
                  <w:b w:val="false"/>
                  <w:color w:val="0000FF"/>
                  <w:sz w:val="20"/>
                  <w:u w:val="single"/>
                </w:rPr>
                <w:t>122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21">
              <w:r>
                <w:rPr>
                  <w:rStyle w:val="InternetLink"/>
                  <w:rFonts w:ascii="Times New Roman;serif" w:hAnsi="Times New Roman;serif"/>
                  <w:b w:val="false"/>
                  <w:color w:val="0000FF"/>
                  <w:sz w:val="20"/>
                  <w:u w:val="single"/>
                </w:rPr>
                <w:t>Note 17 — Retirement Plan Benefits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21">
              <w:r>
                <w:rPr>
                  <w:rStyle w:val="InternetLink"/>
                  <w:rFonts w:ascii="Times New Roman;serif" w:hAnsi="Times New Roman;serif"/>
                  <w:b w:val="false"/>
                  <w:color w:val="0000FF"/>
                  <w:sz w:val="20"/>
                  <w:u w:val="single"/>
                </w:rPr>
                <w:t>125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03">
              <w:r>
                <w:rPr>
                  <w:rStyle w:val="InternetLink"/>
                  <w:rFonts w:ascii="Times New Roman;serif" w:hAnsi="Times New Roman;serif"/>
                  <w:b w:val="false"/>
                  <w:color w:val="000080"/>
                  <w:sz w:val="20"/>
                  <w:u w:val="single"/>
                </w:rPr>
                <w:t>Note 1</w:t>
              </w:r>
            </w:hyperlink>
            <w:hyperlink w:anchor="ieecfa9cdffdd430cb1da4c02ab2461d3_103">
              <w:r>
                <w:rPr>
                  <w:rStyle w:val="InternetLink"/>
                  <w:rFonts w:ascii="Times New Roman;serif" w:hAnsi="Times New Roman;serif"/>
                  <w:b w:val="false"/>
                  <w:color w:val="000080"/>
                  <w:sz w:val="20"/>
                  <w:u w:val="single"/>
                </w:rPr>
                <w:t>8</w:t>
              </w:r>
            </w:hyperlink>
            <w:hyperlink w:anchor="ieecfa9cdffdd430cb1da4c02ab2461d3_103">
              <w:r>
                <w:rPr>
                  <w:rStyle w:val="InternetLink"/>
                  <w:rFonts w:ascii="Times New Roman;serif" w:hAnsi="Times New Roman;serif"/>
                  <w:b w:val="false"/>
                  <w:color w:val="000080"/>
                  <w:sz w:val="20"/>
                  <w:u w:val="single"/>
                </w:rPr>
                <w:t xml:space="preserve"> — Segment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03">
              <w:r>
                <w:rPr>
                  <w:rStyle w:val="InternetLink"/>
                  <w:rFonts w:ascii="Times New Roman;serif" w:hAnsi="Times New Roman;serif"/>
                  <w:b w:val="false"/>
                  <w:color w:val="0000FF"/>
                  <w:sz w:val="20"/>
                  <w:u w:val="single"/>
                </w:rPr>
                <w:t>127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24">
              <w:r>
                <w:rPr>
                  <w:rStyle w:val="InternetLink"/>
                  <w:rFonts w:ascii="Times New Roman;serif" w:hAnsi="Times New Roman;serif"/>
                  <w:b w:val="false"/>
                  <w:color w:val="0000FF"/>
                  <w:sz w:val="20"/>
                  <w:u w:val="single"/>
                </w:rPr>
                <w:t>Note 19 — Related Party Transactions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24">
              <w:r>
                <w:rPr>
                  <w:rStyle w:val="InternetLink"/>
                  <w:rFonts w:ascii="Times New Roman;serif" w:hAnsi="Times New Roman;serif"/>
                  <w:b w:val="false"/>
                  <w:color w:val="0000FF"/>
                  <w:sz w:val="20"/>
                  <w:u w:val="single"/>
                </w:rPr>
                <w:t>131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06">
              <w:r>
                <w:rPr>
                  <w:rStyle w:val="InternetLink"/>
                  <w:rFonts w:ascii="Times New Roman;serif" w:hAnsi="Times New Roman;serif"/>
                  <w:b w:val="false"/>
                  <w:color w:val="000080"/>
                  <w:sz w:val="20"/>
                  <w:u w:val="single"/>
                </w:rPr>
                <w:t xml:space="preserve">Note </w:t>
              </w:r>
            </w:hyperlink>
            <w:hyperlink w:anchor="ieecfa9cdffdd430cb1da4c02ab2461d3_106">
              <w:r>
                <w:rPr>
                  <w:rStyle w:val="InternetLink"/>
                  <w:rFonts w:ascii="Times New Roman;serif" w:hAnsi="Times New Roman;serif"/>
                  <w:b w:val="false"/>
                  <w:color w:val="000080"/>
                  <w:sz w:val="20"/>
                  <w:u w:val="single"/>
                </w:rPr>
                <w:t>20</w:t>
              </w:r>
            </w:hyperlink>
            <w:hyperlink w:anchor="ieecfa9cdffdd430cb1da4c02ab2461d3_106">
              <w:r>
                <w:rPr>
                  <w:rStyle w:val="InternetLink"/>
                  <w:rFonts w:ascii="Times New Roman;serif" w:hAnsi="Times New Roman;serif"/>
                  <w:b w:val="false"/>
                  <w:color w:val="000080"/>
                  <w:sz w:val="20"/>
                  <w:u w:val="single"/>
                </w:rPr>
                <w:t xml:space="preserve"> — Supplemental Consolidated Financial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06">
              <w:r>
                <w:rPr>
                  <w:rStyle w:val="InternetLink"/>
                  <w:rFonts w:ascii="Times New Roman;serif" w:hAnsi="Times New Roman;serif"/>
                  <w:b w:val="false"/>
                  <w:color w:val="0000FF"/>
                  <w:sz w:val="20"/>
                  <w:u w:val="single"/>
                </w:rPr>
                <w:t>133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27">
              <w:r>
                <w:rPr>
                  <w:rStyle w:val="InternetLink"/>
                  <w:rFonts w:ascii="Times New Roman;serif" w:hAnsi="Times New Roman;serif"/>
                  <w:b w:val="false"/>
                  <w:color w:val="0000FF"/>
                  <w:sz w:val="20"/>
                  <w:u w:val="single"/>
                </w:rPr>
                <w:t>Note 21 — Government Assistance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27">
              <w:r>
                <w:rPr>
                  <w:rStyle w:val="InternetLink"/>
                  <w:rFonts w:ascii="Times New Roman;serif" w:hAnsi="Times New Roman;serif"/>
                  <w:b w:val="false"/>
                  <w:color w:val="0000FF"/>
                  <w:sz w:val="20"/>
                  <w:u w:val="single"/>
                </w:rPr>
                <w:t>137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cfa9cdffdd430cb1da4c02ab2461d3_112">
              <w:r>
                <w:rPr>
                  <w:rStyle w:val="InternetLink"/>
                  <w:rFonts w:ascii="Times New Roman;serif" w:hAnsi="Times New Roman;serif"/>
                  <w:b w:val="false"/>
                  <w:color w:val="000080"/>
                  <w:sz w:val="20"/>
                  <w:u w:val="single"/>
                </w:rPr>
                <w:t xml:space="preserve">Note </w:t>
              </w:r>
            </w:hyperlink>
            <w:hyperlink w:anchor="ieecfa9cdffdd430cb1da4c02ab2461d3_112">
              <w:r>
                <w:rPr>
                  <w:rStyle w:val="InternetLink"/>
                  <w:rFonts w:ascii="Times New Roman;serif" w:hAnsi="Times New Roman;serif"/>
                  <w:b w:val="false"/>
                  <w:color w:val="000080"/>
                  <w:sz w:val="20"/>
                  <w:u w:val="single"/>
                </w:rPr>
                <w:t>2</w:t>
              </w:r>
            </w:hyperlink>
            <w:hyperlink w:anchor="ieecfa9cdffdd430cb1da4c02ab2461d3_112">
              <w:r>
                <w:rPr>
                  <w:rStyle w:val="InternetLink"/>
                  <w:rFonts w:ascii="Times New Roman;serif" w:hAnsi="Times New Roman;serif"/>
                  <w:b w:val="false"/>
                  <w:color w:val="000080"/>
                  <w:sz w:val="20"/>
                  <w:u w:val="single"/>
                </w:rPr>
                <w:t>2</w:t>
              </w:r>
            </w:hyperlink>
            <w:hyperlink w:anchor="ieecfa9cdffdd430cb1da4c02ab2461d3_112">
              <w:r>
                <w:rPr>
                  <w:rStyle w:val="InternetLink"/>
                  <w:rFonts w:ascii="Times New Roman;serif" w:hAnsi="Times New Roman;serif"/>
                  <w:b w:val="false"/>
                  <w:color w:val="000080"/>
                  <w:sz w:val="20"/>
                  <w:u w:val="single"/>
                </w:rPr>
                <w:t xml:space="preserve"> — Subsequent Events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cfa9cdffdd430cb1da4c02ab2461d3_112">
              <w:r>
                <w:rPr>
                  <w:rStyle w:val="InternetLink"/>
                  <w:rFonts w:ascii="Times New Roman;serif" w:hAnsi="Times New Roman;serif"/>
                  <w:b w:val="false"/>
                  <w:color w:val="0000FF"/>
                  <w:sz w:val="20"/>
                  <w:u w:val="single"/>
                </w:rPr>
                <w:t>138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6415"/>
                <wp:effectExtent l="0" t="0" r="0" b="0"/>
                <wp:wrapNone/>
                <wp:docPr id="67" name="Frame6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Dell Technologies Inc.</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have audited the accompanying consolidated statements of financial position of Dell Technologies Inc.</w:t>
      </w:r>
      <w:r>
        <w:rPr>
          <w:color w:val="FF0000"/>
        </w:rPr>
        <w:t xml:space="preserve"> </w:t>
      </w:r>
      <w:r>
        <w:rPr>
          <w:rFonts w:ascii="Times New Roman;serif" w:hAnsi="Times New Roman;serif"/>
          <w:b w:val="false"/>
          <w:color w:val="000000"/>
          <w:sz w:val="20"/>
        </w:rPr>
        <w:t>and its subsidiaries (the “Company”) as of January 30, 2026</w:t>
      </w:r>
      <w:r>
        <w:rPr>
          <w:color w:val="FF0000"/>
        </w:rPr>
        <w:t xml:space="preserve"> </w:t>
      </w:r>
      <w:r>
        <w:rPr>
          <w:rFonts w:ascii="Times New Roman;serif" w:hAnsi="Times New Roman;serif"/>
          <w:b w:val="false"/>
          <w:color w:val="000000"/>
          <w:sz w:val="20"/>
        </w:rPr>
        <w:t>and January 31, 2025,</w:t>
      </w:r>
      <w:r>
        <w:rPr>
          <w:color w:val="FF0000"/>
        </w:rPr>
        <w:t xml:space="preserve"> </w:t>
      </w:r>
      <w:r>
        <w:rPr>
          <w:rFonts w:ascii="Times New Roman;serif" w:hAnsi="Times New Roman;serif"/>
          <w:b w:val="false"/>
          <w:color w:val="000000"/>
          <w:sz w:val="20"/>
        </w:rPr>
        <w:t>and the related consolidated</w:t>
      </w:r>
      <w:r>
        <w:rPr>
          <w:color w:val="FF0000"/>
        </w:rPr>
        <w:t xml:space="preserve"> </w:t>
      </w:r>
      <w:r>
        <w:rPr>
          <w:rFonts w:ascii="Times New Roman;serif" w:hAnsi="Times New Roman;serif"/>
          <w:b w:val="false"/>
          <w:color w:val="000000"/>
          <w:sz w:val="20"/>
        </w:rPr>
        <w:t>statements of income, of comprehensive income, of stockholders’ equity (deficit) and of cash flows for each of the three years in the period ended January 30, 2026, including the related notes (collectively referred to as the “consolidated financial statements”).</w:t>
      </w:r>
      <w:r>
        <w:rPr>
          <w:color w:val="000000"/>
        </w:rPr>
        <w:t xml:space="preserve"> </w:t>
      </w:r>
      <w:r>
        <w:rPr>
          <w:rFonts w:ascii="Times New Roman;serif" w:hAnsi="Times New Roman;serif"/>
          <w:b w:val="false"/>
          <w:color w:val="000000"/>
          <w:sz w:val="20"/>
        </w:rPr>
        <w:t xml:space="preserve">We also have audited the Company's internal control over financial reporting as of January 30, 2026, based on criteria established in </w:t>
      </w:r>
      <w:r>
        <w:rPr>
          <w:rFonts w:ascii="Times New Roman;serif" w:hAnsi="Times New Roman;serif"/>
          <w:b w:val="false"/>
          <w:i/>
          <w:color w:val="000000"/>
          <w:sz w:val="20"/>
        </w:rPr>
        <w:t>Internal Control - Integrated Framework</w:t>
      </w:r>
      <w:r>
        <w:rPr>
          <w:color w:val="FF0000"/>
        </w:rPr>
        <w:t xml:space="preserve"> </w:t>
      </w:r>
      <w:r>
        <w:rPr>
          <w:rFonts w:ascii="Times New Roman;serif" w:hAnsi="Times New Roman;serif"/>
          <w:b w:val="false"/>
          <w:color w:val="000000"/>
          <w:sz w:val="20"/>
        </w:rPr>
        <w:t>(2013)</w:t>
      </w:r>
      <w:r>
        <w:rPr>
          <w:color w:val="FF0000"/>
        </w:rPr>
        <w:t xml:space="preserve"> </w:t>
      </w:r>
      <w:r>
        <w:rPr>
          <w:rFonts w:ascii="Times New Roman;serif" w:hAnsi="Times New Roman;serif"/>
          <w:b w:val="false"/>
          <w:color w:val="000000"/>
          <w:sz w:val="20"/>
        </w:rPr>
        <w:t xml:space="preserve">issued by the Committee of Sponsoring Organizations of the Treadway Commission (COSO).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January 30, 2026</w:t>
      </w:r>
      <w:r>
        <w:rPr>
          <w:color w:val="FF0000"/>
        </w:rPr>
        <w:t xml:space="preserve"> </w:t>
      </w:r>
      <w:r>
        <w:rPr>
          <w:rFonts w:ascii="Times New Roman;serif" w:hAnsi="Times New Roman;serif"/>
          <w:b w:val="false"/>
          <w:color w:val="000000"/>
          <w:sz w:val="20"/>
        </w:rPr>
        <w:t>and January 31, 2025, and the results of its</w:t>
      </w:r>
      <w:r>
        <w:rPr>
          <w:color w:val="FF0000"/>
        </w:rPr>
        <w:t xml:space="preserve"> </w:t>
      </w:r>
      <w:r>
        <w:rPr>
          <w:rFonts w:ascii="Times New Roman;serif" w:hAnsi="Times New Roman;serif"/>
          <w:b w:val="false"/>
          <w:color w:val="000000"/>
          <w:sz w:val="20"/>
        </w:rPr>
        <w:t>operations and its</w:t>
      </w:r>
      <w:r>
        <w:rPr>
          <w:color w:val="FF0000"/>
        </w:rPr>
        <w:t xml:space="preserve"> </w:t>
      </w:r>
      <w:r>
        <w:rPr>
          <w:rFonts w:ascii="Times New Roman;serif" w:hAnsi="Times New Roman;serif"/>
          <w:b w:val="false"/>
          <w:color w:val="000000"/>
          <w:sz w:val="20"/>
        </w:rPr>
        <w:t xml:space="preserve">cash flows for each of the three years in the period ended January 30, 2026 in conformity with accounting principles generally accepted in the United States of America. Also in our opinion, the Company maintained, in all material respects, effective internal control over financial reporting as of January 30, 2026, based on criteria established in </w:t>
      </w:r>
      <w:r>
        <w:rPr>
          <w:rFonts w:ascii="Times New Roman;serif" w:hAnsi="Times New Roman;serif"/>
          <w:b w:val="false"/>
          <w:i/>
          <w:color w:val="000000"/>
          <w:sz w:val="20"/>
        </w:rPr>
        <w:t>Internal Control - Integrated Framework</w:t>
      </w:r>
      <w:r>
        <w:rPr>
          <w:color w:val="FF0000"/>
        </w:rPr>
        <w:t xml:space="preserve"> </w:t>
      </w:r>
      <w:r>
        <w:rPr>
          <w:rFonts w:ascii="Times New Roman;serif" w:hAnsi="Times New Roman;serif"/>
          <w:b w:val="false"/>
          <w:color w:val="000000"/>
          <w:sz w:val="20"/>
        </w:rPr>
        <w:t>(2013)</w:t>
      </w:r>
      <w:r>
        <w:rPr>
          <w:color w:val="FF0000"/>
        </w:rPr>
        <w:t xml:space="preserve"> </w:t>
      </w:r>
      <w:r>
        <w:rPr>
          <w:rFonts w:ascii="Times New Roman;serif" w:hAnsi="Times New Roman;serif"/>
          <w:b w:val="false"/>
          <w:color w:val="000000"/>
          <w:sz w:val="20"/>
        </w:rPr>
        <w:t>issued by the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6415"/>
                <wp:effectExtent l="0" t="0" r="0" b="0"/>
                <wp:wrapNone/>
                <wp:docPr id="68" name="Frame6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222222"/>
          <w:sz w:val="20"/>
        </w:rPr>
      </w:pPr>
      <w:r>
        <w:rPr>
          <w:rFonts w:ascii="Times New Roman;serif" w:hAnsi="Times New Roman;serif"/>
          <w:b w:val="false"/>
          <w:i/>
          <w:color w:val="222222"/>
          <w:sz w:val="20"/>
        </w:rPr>
        <w:t>Revenue Recognition for Certain Products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the Company sells a wide portfolio of products and services to its customers. The Company’s contracts with customers often include the promise to transfer multiple goods and services to the customer. Distinct promises within a contract are referred to as “performance obligations” and are accounted for as separate units of account. The Company’s performance obligations include various distinct goods and services such as hardware, software licenses, support and maintenance agreements, and other service offerings and solutions. The Company recognizes revenue when obligations under the terms of the contract with the Company’s customer are satisfied, either over time or at a point in time, depending on when the underlying products or services are transferred to the customer. For the year ended January 30, 2026, the Company’s total net revenue was $113.5 billion, of which the majority relates to certain product and services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consideration for our determination that performing procedures relating to revenue recognition for certain products and services is a critical audit matter is a high degree of auditor effort in performing procedures related to the Company’s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the completeness and accuracy of management’s identification of performance obligations by examining revenue contracts on a test basis; (ii) testing a sample of revenue transactions by obtaining and inspecting source documents, such as executed contracts, purchase orders, invoices, and proof of delivery; and (iii) confirming a sample of outstanding customer invoice balances as of January 30, 2026 and, for confirmations not returned, obtaining and inspecting source documents, such as executed contracts, purchase orders, invoices, proof of delivery, and subsequent cash receipts.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Austin, Texas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March 16,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6415"/>
                <wp:effectExtent l="0" t="0" r="0" b="0"/>
                <wp:wrapNone/>
                <wp:docPr id="69" name="Frame6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FINANCIAL POSITION</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9114" w:type="dxa"/>
        <w:jc w:val="center"/>
        <w:tblInd w:w="0" w:type="dxa"/>
        <w:tblLayout w:type="fixed"/>
        <w:tblCellMar>
          <w:top w:w="28" w:type="dxa"/>
          <w:left w:w="28" w:type="dxa"/>
          <w:bottom w:w="28" w:type="dxa"/>
          <w:right w:w="28" w:type="dxa"/>
        </w:tblCellMar>
      </w:tblPr>
      <w:tblGrid>
        <w:gridCol w:w="2012"/>
        <w:gridCol w:w="1771"/>
        <w:gridCol w:w="1781"/>
        <w:gridCol w:w="292"/>
        <w:gridCol w:w="1146"/>
        <w:gridCol w:w="151"/>
        <w:gridCol w:w="109"/>
        <w:gridCol w:w="109"/>
        <w:gridCol w:w="109"/>
        <w:gridCol w:w="317"/>
        <w:gridCol w:w="1086"/>
        <w:gridCol w:w="231"/>
      </w:tblGrid>
      <w:tr>
        <w:trPr/>
        <w:tc>
          <w:tcPr>
            <w:tcW w:w="201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91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assets:</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$77 and $63</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net of allowance of $121 and $78</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net of allowance of $92 and $75</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liabilities:</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deferred revenue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Stockholders’ equity (deficit):</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and capital in excess of $0.01 par value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Dell Technologies Inc. stockholders’ equity (deficit)</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60"/>
        <w:jc w:val="center"/>
        <w:rPr/>
      </w:pPr>
      <w:r>
        <w:rPr>
          <w:rFonts w:ascii="Times New Roman;serif" w:hAnsi="Times New Roman;serif"/>
          <w:b w:val="false"/>
          <w:color w:val="000000"/>
          <w:sz w:val="20"/>
          <w:shd w:fill="FFFFFF" w:val="clear"/>
        </w:rPr>
        <w:t>The accompanying notes are an integral part of these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6415"/>
                <wp:effectExtent l="0" t="0" r="0" b="0"/>
                <wp:wrapNone/>
                <wp:docPr id="70" name="Frame6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pPr>
      <w:r>
        <w:rPr>
          <w:rFonts w:ascii="Times New Roman;serif" w:hAnsi="Times New Roman;serif"/>
          <w:b w:val="false"/>
          <w:color w:val="000000"/>
          <w:sz w:val="20"/>
          <w:shd w:fill="FFFFFF" w:val="clear"/>
        </w:rPr>
        <w:t>(in millions, except per share amounts</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734"/>
        <w:gridCol w:w="1435"/>
        <w:gridCol w:w="1433"/>
        <w:gridCol w:w="118"/>
        <w:gridCol w:w="109"/>
        <w:gridCol w:w="109"/>
        <w:gridCol w:w="109"/>
        <w:gridCol w:w="301"/>
        <w:gridCol w:w="1032"/>
        <w:gridCol w:w="155"/>
        <w:gridCol w:w="109"/>
        <w:gridCol w:w="109"/>
        <w:gridCol w:w="109"/>
        <w:gridCol w:w="301"/>
        <w:gridCol w:w="1032"/>
        <w:gridCol w:w="155"/>
        <w:gridCol w:w="109"/>
        <w:gridCol w:w="109"/>
        <w:gridCol w:w="109"/>
        <w:gridCol w:w="295"/>
        <w:gridCol w:w="1011"/>
        <w:gridCol w:w="222"/>
      </w:tblGrid>
      <w:tr>
        <w:trPr/>
        <w:tc>
          <w:tcPr>
            <w:tcW w:w="173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855" w:type="dxa"/>
            <w:gridSpan w:val="6"/>
            <w:tcBorders/>
          </w:tcPr>
          <w:p>
            <w:pPr>
              <w:pStyle w:val="TableContents"/>
              <w:bidi w:val="0"/>
              <w:spacing w:before="0" w:after="283"/>
              <w:jc w:val="left"/>
              <w:rPr>
                <w:sz w:val="4"/>
                <w:szCs w:val="4"/>
              </w:rPr>
            </w:pPr>
            <w:r>
              <w:rPr>
                <w:sz w:val="4"/>
                <w:szCs w:val="4"/>
              </w:rPr>
            </w:r>
          </w:p>
        </w:tc>
      </w:tr>
      <w:tr>
        <w:trPr/>
        <w:tc>
          <w:tcPr>
            <w:tcW w:w="46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net revenue (a):</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net revenue</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67,356 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602"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Dell Technologies Inc.</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Earnings per share attributable to Dell Technologies Inc.</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Includes related party cost of net revenue as follows (Note 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2"/>
            <w:tcBorders/>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shd w:fill="FFFFFF" w:val="clear"/>
        </w:rPr>
        <w:t>The accompanying notes are an integral part of these Consolidated Financial Statements</w:t>
      </w:r>
      <w:r>
        <w:rPr>
          <w:rFonts w:ascii="Times New Roman;serif" w:hAnsi="Times New Roman;serif"/>
          <w:b w:val="false"/>
          <w:color w:val="000000"/>
          <w:sz w:val="2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6415"/>
                <wp:effectExtent l="0" t="0" r="0" b="0"/>
                <wp:wrapNone/>
                <wp:docPr id="71" name="Frame7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pPr>
      <w:r>
        <w:rPr>
          <w:rFonts w:ascii="Times New Roman;serif" w:hAnsi="Times New Roman;serif"/>
          <w:b w:val="false"/>
          <w:color w:val="000000"/>
          <w:sz w:val="20"/>
          <w:shd w:fill="FFFFFF" w:val="clear"/>
        </w:rPr>
        <w:t>(in millions</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852"/>
        <w:gridCol w:w="1587"/>
        <w:gridCol w:w="1606"/>
        <w:gridCol w:w="109"/>
        <w:gridCol w:w="109"/>
        <w:gridCol w:w="109"/>
        <w:gridCol w:w="109"/>
        <w:gridCol w:w="286"/>
        <w:gridCol w:w="836"/>
        <w:gridCol w:w="147"/>
        <w:gridCol w:w="109"/>
        <w:gridCol w:w="109"/>
        <w:gridCol w:w="109"/>
        <w:gridCol w:w="286"/>
        <w:gridCol w:w="836"/>
        <w:gridCol w:w="147"/>
        <w:gridCol w:w="109"/>
        <w:gridCol w:w="109"/>
        <w:gridCol w:w="109"/>
        <w:gridCol w:w="284"/>
        <w:gridCol w:w="831"/>
        <w:gridCol w:w="146"/>
        <w:gridCol w:w="109"/>
        <w:gridCol w:w="162"/>
      </w:tblGrid>
      <w:tr>
        <w:trPr/>
        <w:tc>
          <w:tcPr>
            <w:tcW w:w="185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5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(gains) losses included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actuarial net gains (losses) from pension and other postretirement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net (gains) losses from pension and other postretirement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actuarial net gains (losses) from pension and other postretirement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 expense (benefit) of $(22), $9, and $15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Dell Technologies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6415"/>
                <wp:effectExtent l="0" t="0" r="0" b="0"/>
                <wp:wrapNone/>
                <wp:docPr id="72" name="Frame7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60"/>
        <w:jc w:val="center"/>
        <w:rPr/>
      </w:pPr>
      <w:r>
        <w:rPr>
          <w:rFonts w:ascii="Times New Roman;serif" w:hAnsi="Times New Roman;serif"/>
          <w:b w:val="false"/>
          <w:color w:val="000000"/>
          <w:sz w:val="20"/>
          <w:shd w:fill="FFFFFF" w:val="clear"/>
        </w:rPr>
        <w:t>(in millions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957"/>
        <w:gridCol w:w="1640"/>
        <w:gridCol w:w="1651"/>
        <w:gridCol w:w="292"/>
        <w:gridCol w:w="998"/>
        <w:gridCol w:w="150"/>
        <w:gridCol w:w="109"/>
        <w:gridCol w:w="109"/>
        <w:gridCol w:w="109"/>
        <w:gridCol w:w="318"/>
        <w:gridCol w:w="930"/>
        <w:gridCol w:w="164"/>
        <w:gridCol w:w="109"/>
        <w:gridCol w:w="109"/>
        <w:gridCol w:w="109"/>
        <w:gridCol w:w="311"/>
        <w:gridCol w:w="908"/>
        <w:gridCol w:w="232"/>
      </w:tblGrid>
      <w:tr>
        <w:trPr/>
        <w:tc>
          <w:tcPr>
            <w:tcW w:w="1957"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52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from/to related party, net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operating activities</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and sales of investments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capitalized software development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and assets, net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 of businesses and assets, net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investing activities</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for employee tax withholdings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 and dividend equivalents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(11,246)</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Debt-related costs and other, net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financing activities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paid</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6415"/>
                <wp:effectExtent l="0" t="0" r="0" b="0"/>
                <wp:wrapNone/>
                <wp:docPr id="73" name="Frame7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p>
      <w:pPr>
        <w:pStyle w:val="TextBody"/>
        <w:bidi w:val="0"/>
        <w:spacing w:lineRule="auto" w:line="288" w:before="0" w:after="0"/>
        <w:jc w:val="center"/>
        <w:rPr/>
      </w:pPr>
      <w:r>
        <w:rPr>
          <w:rFonts w:ascii="Times New Roman;serif" w:hAnsi="Times New Roman;serif"/>
          <w:b w:val="false"/>
          <w:color w:val="000000"/>
          <w:sz w:val="20"/>
          <w:shd w:fill="FFFFFF" w:val="clear"/>
        </w:rPr>
        <w:t>(in millions, except per share amounts; continued on next page</w:t>
      </w:r>
      <w:r>
        <w:rPr>
          <w:rFonts w:ascii="Times New Roman;serif" w:hAnsi="Times New Roman;serif"/>
          <w:b w:val="false"/>
          <w:color w:val="000000"/>
          <w:sz w:val="20"/>
        </w:rPr>
        <w:t>)</w:t>
      </w:r>
    </w:p>
    <w:p>
      <w:pPr>
        <w:pStyle w:val="TextBody"/>
        <w:bidi w:val="0"/>
        <w:spacing w:before="0" w:after="0"/>
        <w:jc w:val="center"/>
        <w:rPr/>
      </w:pPr>
      <w:r>
        <w:rPr/>
      </w:r>
    </w:p>
    <w:tbl>
      <w:tblPr>
        <w:tblW w:w="12642" w:type="dxa"/>
        <w:jc w:val="left"/>
        <w:tblInd w:w="0" w:type="dxa"/>
        <w:tblLayout w:type="fixed"/>
        <w:tblCellMar>
          <w:top w:w="28" w:type="dxa"/>
          <w:left w:w="28" w:type="dxa"/>
          <w:bottom w:w="28" w:type="dxa"/>
          <w:right w:w="28" w:type="dxa"/>
        </w:tblCellMar>
      </w:tblPr>
      <w:tblGrid>
        <w:gridCol w:w="699"/>
        <w:gridCol w:w="258"/>
        <w:gridCol w:w="259"/>
        <w:gridCol w:w="272"/>
        <w:gridCol w:w="205"/>
        <w:gridCol w:w="109"/>
        <w:gridCol w:w="109"/>
        <w:gridCol w:w="109"/>
        <w:gridCol w:w="109"/>
        <w:gridCol w:w="196"/>
        <w:gridCol w:w="556"/>
        <w:gridCol w:w="109"/>
        <w:gridCol w:w="109"/>
        <w:gridCol w:w="109"/>
        <w:gridCol w:w="109"/>
        <w:gridCol w:w="210"/>
        <w:gridCol w:w="211"/>
        <w:gridCol w:w="196"/>
        <w:gridCol w:w="109"/>
        <w:gridCol w:w="109"/>
        <w:gridCol w:w="109"/>
        <w:gridCol w:w="196"/>
        <w:gridCol w:w="571"/>
        <w:gridCol w:w="109"/>
        <w:gridCol w:w="109"/>
        <w:gridCol w:w="109"/>
        <w:gridCol w:w="109"/>
        <w:gridCol w:w="248"/>
        <w:gridCol w:w="724"/>
        <w:gridCol w:w="139"/>
        <w:gridCol w:w="109"/>
        <w:gridCol w:w="109"/>
        <w:gridCol w:w="109"/>
        <w:gridCol w:w="272"/>
        <w:gridCol w:w="792"/>
        <w:gridCol w:w="152"/>
        <w:gridCol w:w="109"/>
        <w:gridCol w:w="109"/>
        <w:gridCol w:w="109"/>
        <w:gridCol w:w="245"/>
        <w:gridCol w:w="714"/>
        <w:gridCol w:w="137"/>
        <w:gridCol w:w="109"/>
        <w:gridCol w:w="109"/>
        <w:gridCol w:w="109"/>
        <w:gridCol w:w="402"/>
        <w:gridCol w:w="679"/>
        <w:gridCol w:w="225"/>
        <w:gridCol w:w="109"/>
        <w:gridCol w:w="109"/>
        <w:gridCol w:w="109"/>
        <w:gridCol w:w="242"/>
        <w:gridCol w:w="707"/>
        <w:gridCol w:w="192"/>
      </w:tblGrid>
      <w:tr>
        <w:trPr/>
        <w:tc>
          <w:tcPr>
            <w:tcW w:w="6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and 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b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Dell Technologies</w:t>
              <w:br/>
              <w:t>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February 3, 2023</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Dividends and dividend equivalents declared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($1.48 per common share)</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 net change</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shares repurchased for employee tax withholding</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from equity transactions of non-controlling interests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February 2, 2024</w:t>
            </w:r>
          </w:p>
        </w:tc>
        <w:tc>
          <w:tcPr>
            <w:tcW w:w="4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26415"/>
                <wp:effectExtent l="0" t="0" r="0" b="0"/>
                <wp:wrapNone/>
                <wp:docPr id="74" name="Frame7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p>
      <w:pPr>
        <w:pStyle w:val="TextBody"/>
        <w:bidi w:val="0"/>
        <w:spacing w:lineRule="auto" w:line="288" w:before="0" w:after="0"/>
        <w:jc w:val="center"/>
        <w:rPr/>
      </w:pPr>
      <w:r>
        <w:rPr>
          <w:rFonts w:ascii="Times New Roman;serif" w:hAnsi="Times New Roman;serif"/>
          <w:b w:val="false"/>
          <w:color w:val="000000"/>
          <w:sz w:val="20"/>
          <w:shd w:fill="FFFFFF" w:val="clear"/>
        </w:rPr>
        <w:t>(in millions, except per share amounts; continued on next page</w:t>
      </w:r>
      <w:r>
        <w:rPr>
          <w:rFonts w:ascii="Times New Roman;serif" w:hAnsi="Times New Roman;serif"/>
          <w:b w:val="false"/>
          <w:color w:val="000000"/>
          <w:sz w:val="20"/>
        </w:rPr>
        <w:t>)</w:t>
      </w:r>
    </w:p>
    <w:p>
      <w:pPr>
        <w:pStyle w:val="TextBody"/>
        <w:bidi w:val="0"/>
        <w:spacing w:before="0" w:after="0"/>
        <w:jc w:val="center"/>
        <w:rPr/>
      </w:pPr>
      <w:r>
        <w:rPr/>
      </w:r>
    </w:p>
    <w:tbl>
      <w:tblPr>
        <w:tblW w:w="12642" w:type="dxa"/>
        <w:jc w:val="center"/>
        <w:tblInd w:w="0" w:type="dxa"/>
        <w:tblLayout w:type="fixed"/>
        <w:tblCellMar>
          <w:top w:w="28" w:type="dxa"/>
          <w:left w:w="28" w:type="dxa"/>
          <w:bottom w:w="28" w:type="dxa"/>
          <w:right w:w="28" w:type="dxa"/>
        </w:tblCellMar>
      </w:tblPr>
      <w:tblGrid>
        <w:gridCol w:w="699"/>
        <w:gridCol w:w="258"/>
        <w:gridCol w:w="259"/>
        <w:gridCol w:w="272"/>
        <w:gridCol w:w="205"/>
        <w:gridCol w:w="109"/>
        <w:gridCol w:w="109"/>
        <w:gridCol w:w="109"/>
        <w:gridCol w:w="109"/>
        <w:gridCol w:w="196"/>
        <w:gridCol w:w="556"/>
        <w:gridCol w:w="109"/>
        <w:gridCol w:w="109"/>
        <w:gridCol w:w="109"/>
        <w:gridCol w:w="109"/>
        <w:gridCol w:w="210"/>
        <w:gridCol w:w="211"/>
        <w:gridCol w:w="196"/>
        <w:gridCol w:w="109"/>
        <w:gridCol w:w="109"/>
        <w:gridCol w:w="109"/>
        <w:gridCol w:w="196"/>
        <w:gridCol w:w="571"/>
        <w:gridCol w:w="109"/>
        <w:gridCol w:w="109"/>
        <w:gridCol w:w="109"/>
        <w:gridCol w:w="109"/>
        <w:gridCol w:w="248"/>
        <w:gridCol w:w="724"/>
        <w:gridCol w:w="139"/>
        <w:gridCol w:w="109"/>
        <w:gridCol w:w="109"/>
        <w:gridCol w:w="109"/>
        <w:gridCol w:w="321"/>
        <w:gridCol w:w="715"/>
        <w:gridCol w:w="180"/>
        <w:gridCol w:w="109"/>
        <w:gridCol w:w="109"/>
        <w:gridCol w:w="109"/>
        <w:gridCol w:w="245"/>
        <w:gridCol w:w="714"/>
        <w:gridCol w:w="137"/>
        <w:gridCol w:w="109"/>
        <w:gridCol w:w="109"/>
        <w:gridCol w:w="109"/>
        <w:gridCol w:w="402"/>
        <w:gridCol w:w="679"/>
        <w:gridCol w:w="225"/>
        <w:gridCol w:w="109"/>
        <w:gridCol w:w="109"/>
        <w:gridCol w:w="109"/>
        <w:gridCol w:w="242"/>
        <w:gridCol w:w="707"/>
        <w:gridCol w:w="192"/>
      </w:tblGrid>
      <w:tr>
        <w:trPr/>
        <w:tc>
          <w:tcPr>
            <w:tcW w:w="6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and 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b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Dell Technologies</w:t>
              <w:br/>
              <w:t>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February 2, 2024</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Dividends and dividend equivalents declared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($1.78 per common share)</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 net change</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shares repurchased for employee tax withholding</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from equity transactions of non-controlling interests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January 31, 2025</w:t>
            </w:r>
          </w:p>
        </w:tc>
        <w:tc>
          <w:tcPr>
            <w:tcW w:w="4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26415"/>
                <wp:effectExtent l="0" t="0" r="0" b="0"/>
                <wp:wrapNone/>
                <wp:docPr id="75" name="Frame7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p>
      <w:pPr>
        <w:pStyle w:val="TextBody"/>
        <w:bidi w:val="0"/>
        <w:spacing w:lineRule="auto" w:line="288" w:before="0" w:after="0"/>
        <w:jc w:val="center"/>
        <w:rPr/>
      </w:pPr>
      <w:r>
        <w:rPr>
          <w:rFonts w:ascii="Times New Roman;serif" w:hAnsi="Times New Roman;serif"/>
          <w:b w:val="false"/>
          <w:color w:val="000000"/>
          <w:sz w:val="20"/>
          <w:shd w:fill="FFFFFF" w:val="clear"/>
        </w:rPr>
        <w:t>(continued; in millions, except per share amounts</w:t>
      </w:r>
      <w:r>
        <w:rPr>
          <w:rFonts w:ascii="Times New Roman;serif" w:hAnsi="Times New Roman;serif"/>
          <w:b w:val="false"/>
          <w:color w:val="000000"/>
          <w:sz w:val="20"/>
        </w:rPr>
        <w:t>)</w:t>
      </w:r>
    </w:p>
    <w:p>
      <w:pPr>
        <w:pStyle w:val="TextBody"/>
        <w:bidi w:val="0"/>
        <w:spacing w:before="0" w:after="0"/>
        <w:jc w:val="center"/>
        <w:rPr/>
      </w:pPr>
      <w:r>
        <w:rPr/>
      </w:r>
    </w:p>
    <w:tbl>
      <w:tblPr>
        <w:tblW w:w="12687" w:type="dxa"/>
        <w:jc w:val="left"/>
        <w:tblInd w:w="0" w:type="dxa"/>
        <w:tblLayout w:type="fixed"/>
        <w:tblCellMar>
          <w:top w:w="28" w:type="dxa"/>
          <w:left w:w="28" w:type="dxa"/>
          <w:bottom w:w="28" w:type="dxa"/>
          <w:right w:w="28" w:type="dxa"/>
        </w:tblCellMar>
      </w:tblPr>
      <w:tblGrid>
        <w:gridCol w:w="692"/>
        <w:gridCol w:w="239"/>
        <w:gridCol w:w="240"/>
        <w:gridCol w:w="272"/>
        <w:gridCol w:w="205"/>
        <w:gridCol w:w="109"/>
        <w:gridCol w:w="109"/>
        <w:gridCol w:w="109"/>
        <w:gridCol w:w="109"/>
        <w:gridCol w:w="196"/>
        <w:gridCol w:w="556"/>
        <w:gridCol w:w="109"/>
        <w:gridCol w:w="109"/>
        <w:gridCol w:w="109"/>
        <w:gridCol w:w="109"/>
        <w:gridCol w:w="210"/>
        <w:gridCol w:w="211"/>
        <w:gridCol w:w="196"/>
        <w:gridCol w:w="109"/>
        <w:gridCol w:w="109"/>
        <w:gridCol w:w="109"/>
        <w:gridCol w:w="196"/>
        <w:gridCol w:w="661"/>
        <w:gridCol w:w="109"/>
        <w:gridCol w:w="109"/>
        <w:gridCol w:w="109"/>
        <w:gridCol w:w="109"/>
        <w:gridCol w:w="248"/>
        <w:gridCol w:w="724"/>
        <w:gridCol w:w="139"/>
        <w:gridCol w:w="109"/>
        <w:gridCol w:w="109"/>
        <w:gridCol w:w="109"/>
        <w:gridCol w:w="321"/>
        <w:gridCol w:w="715"/>
        <w:gridCol w:w="180"/>
        <w:gridCol w:w="109"/>
        <w:gridCol w:w="109"/>
        <w:gridCol w:w="109"/>
        <w:gridCol w:w="245"/>
        <w:gridCol w:w="714"/>
        <w:gridCol w:w="137"/>
        <w:gridCol w:w="109"/>
        <w:gridCol w:w="109"/>
        <w:gridCol w:w="109"/>
        <w:gridCol w:w="360"/>
        <w:gridCol w:w="745"/>
        <w:gridCol w:w="201"/>
        <w:gridCol w:w="109"/>
        <w:gridCol w:w="109"/>
        <w:gridCol w:w="109"/>
        <w:gridCol w:w="242"/>
        <w:gridCol w:w="707"/>
        <w:gridCol w:w="192"/>
      </w:tblGrid>
      <w:tr>
        <w:trPr/>
        <w:tc>
          <w:tcPr>
            <w:tcW w:w="6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and 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b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Dell Technologies</w:t>
              <w:br/>
              <w:t>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January 31, 2025</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dividend equivalents declared ($2.10 per common share)</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 net change</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shares repurchased for employee tax withholding</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repurchases</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SecureWorks Corp.</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January 30, 2026</w:t>
            </w:r>
          </w:p>
        </w:tc>
        <w:tc>
          <w:tcPr>
            <w:tcW w:w="4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26415"/>
                <wp:effectExtent l="0" t="0" r="0" b="0"/>
                <wp:wrapNone/>
                <wp:docPr id="76" name="Frame7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OVERVIEW AND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Dell Technologies is a leader in the global technology industry that designs, develops, manufactures, markets, sells, and supports a wide range of comprehensive and integrated solutions, products, and services. Dell Technologies offerings include servers, networking, storage, cloud solutions, desktops, notebooks, services, software, branded peripherals, and third-party software and peripherals. References in these Notes to the Consolidated Financial Statements to the “Company” or “Dell Technologies” mean Dell Technologies Inc. individually and together with its consolidated subsidiaries.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Basis of Presentation — </w:t>
      </w:r>
      <w:r>
        <w:rPr>
          <w:rFonts w:ascii="Times New Roman;serif" w:hAnsi="Times New Roman;serif"/>
          <w:b w:val="false"/>
          <w:color w:val="000000"/>
          <w:sz w:val="20"/>
        </w:rPr>
        <w:t>These Consolidated Financial Statements have been prepared in accordance with accounting principles generally accepted in the United States of America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fiscal year is the 52- or 53-week period ending on the Friday nearest January 31. The fiscal years ended January 30, 2026, January 31, 2025, and February 2, 2024 may be referred to as “Fiscal 2026,” “Fiscal 2025,” and “Fiscal 2024,” respectively. All fiscal years presented included 52 weeks.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Secureworks </w:t>
      </w:r>
      <w:r>
        <w:rPr>
          <w:color w:val="000000"/>
        </w:rPr>
        <w:t xml:space="preserve">— </w:t>
      </w:r>
      <w:r>
        <w:rPr>
          <w:rFonts w:ascii="Times New Roman;serif" w:hAnsi="Times New Roman;serif"/>
          <w:b w:val="false"/>
          <w:color w:val="000000"/>
          <w:sz w:val="20"/>
        </w:rPr>
        <w:t>On February 3, 2025, the sale of SecureWorks Corp. (“Secureworks”) to Sophos Inc., an affiliate of Thoma Bravo, L.P., was completed in an all-cash transaction for a purchase price of approximately $0.9 billion. The Company received total cash consideration for the equity interest held in Secureworks of approximately $0.6 billion, resulting in a gain on sale of $0.2 billion recognized in interest and other, net in the Consolidated Statements of Income for the fiscal year ended January 30, 2026. Prior to the sale, Secureworks’ operating results were included within Corporate and other and did not qualify for presentation as a discontinued operation. Additionally, the Company reclassified Secureworks’ assets and liabilities as current assets held for sale and current liabilities held for sale in the accompanying Consolidated Statements of Financial Position as of January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previously held approximately 78.6% of the outstanding equity interest in Secureworks as of January 31, 2025. The portion of the results of operations of Secureworks allocable to its other owners was shown as net loss attributable to non-controlling interests in the Consolidated Statements of Income, as an adjustment to net income attributable to Dell Technologies stockholders. The non-controlling interests’ share of equity in Secureworks was reflected as non-controlling interests in the Consolidated Statements of Financial Position and was $95 million as of January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Other Events </w:t>
      </w:r>
      <w:r>
        <w:rPr>
          <w:color w:val="000000"/>
        </w:rPr>
        <w:t xml:space="preserve">— </w:t>
      </w:r>
      <w:r>
        <w:rPr>
          <w:rFonts w:ascii="Times New Roman;serif" w:hAnsi="Times New Roman;serif"/>
          <w:b w:val="false"/>
          <w:color w:val="000000"/>
          <w:sz w:val="20"/>
        </w:rPr>
        <w:t>On October 4, 2023, the Company established a new consumer revolving financing program with Comenity Capital Bank, a subsidiary of Bread Financial Holdings, Inc. (“Bread”), under which transactions are originated, owned, serviced, and collected by Bread. Under the agreement, the Company also sold its U.S. consumer revolving customer receivables portfolio for total cash consideration of approximately $390 million, resulting in an immaterial gain recognized within the Consolidated Statements of Income. The Company has no continuing involvement with these receivables, which are serviced by Bread.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6415"/>
                <wp:effectExtent l="0" t="0" r="0" b="0"/>
                <wp:wrapNone/>
                <wp:docPr id="77" name="Frame7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2 — SUMMARY OF SIGNIFICANT ACCOUNTING POLICIES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Principles of Consolidation </w:t>
      </w:r>
      <w:r>
        <w:rPr>
          <w:color w:val="000000"/>
        </w:rPr>
        <w:t xml:space="preserve">— </w:t>
      </w:r>
      <w:r>
        <w:rPr>
          <w:rFonts w:ascii="Times New Roman;serif" w:hAnsi="Times New Roman;serif"/>
          <w:b w:val="false"/>
          <w:color w:val="000000"/>
          <w:sz w:val="20"/>
        </w:rPr>
        <w:t>These Consolidated Financial Statements include the accounts of Dell Technologies and its wholly-owned subsidiaries, as well as the accounts of Secureworks, which, as indicated in Note 1 of the Notes to the Consolidated Financial Statements, was majority-owned by Dell Technologies until its sale on February 3, 2025. All intercompany transactions have been eliminated.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consolidates Variable Interest Entities ("VIEs") where it has been determined that the Company is the primary beneficiary of the applicable entities’ operations. For each VIE, the primary beneficiary is the party that has both the power to direct the activities that most significantly impact the VIE's economic performance and the obligation to absorb losses or the right to receive benefits of the VIE that could potentially be significant to such VIE. In evaluating whether the Company is the primary beneficiary of each entity, the Company evaluates its power to direct the most significant activities of the VIE by considering the purpose and design of each entity and the risks each entity was designed to create and pass through to its respective variable interest holders. The Company also evaluates its economic interests in each of the VIEs. See Note 5 of the Notes to the Consolidated Financial Statements for more information regarding consolidated VIEs.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Use of Estimates </w:t>
      </w:r>
      <w:r>
        <w:rPr>
          <w:color w:val="000000"/>
        </w:rPr>
        <w:t xml:space="preserve">— </w:t>
      </w:r>
      <w:r>
        <w:rPr>
          <w:rFonts w:ascii="Times New Roman;serif" w:hAnsi="Times New Roman;serif"/>
          <w:b w:val="false"/>
          <w:color w:val="000000"/>
          <w:sz w:val="20"/>
        </w:rPr>
        <w:t>The preparation of financial statements in accordance with GAAP requires management to make estimates and assumptions that affect the amounts reported in the Consolidated Financial Statements and the accompanying Notes. Actual results could differ materially from those estimates.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Cash and Cash Equivalents </w:t>
      </w:r>
      <w:r>
        <w:rPr>
          <w:color w:val="000000"/>
        </w:rPr>
        <w:t xml:space="preserve">— </w:t>
      </w:r>
      <w:r>
        <w:rPr>
          <w:rFonts w:ascii="Times New Roman;serif" w:hAnsi="Times New Roman;serif"/>
          <w:b w:val="false"/>
          <w:color w:val="000000"/>
          <w:sz w:val="20"/>
        </w:rPr>
        <w:t xml:space="preserve">All highly liquid investments with original maturities of 90 days or less at date of purchase are reported at fair value and are considered to be cash equivalents. Credit card receivables are classified as either cash and cash equivalents or receivables depending on the nature of the payment terms.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Investments </w:t>
      </w:r>
      <w:r>
        <w:rPr>
          <w:color w:val="000000"/>
        </w:rPr>
        <w:t xml:space="preserve">— </w:t>
      </w:r>
      <w:r>
        <w:rPr>
          <w:rFonts w:ascii="Times New Roman;serif" w:hAnsi="Times New Roman;serif"/>
          <w:b w:val="false"/>
          <w:color w:val="000000"/>
          <w:sz w:val="20"/>
        </w:rPr>
        <w:t>The Company has strategic investments in equity and other securities as well as investments in fixed-income debt securities. All equity and other securities and long-term fixed income debt securities are recorded as long-term investments in the Consolidated Statements of Financial Position. Short-term fixed income debt securities are recorded as other current assets in the Consolidated Statements of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Strategic investments in marketable equity and other securities are recorded at fair value based on quoted prices in active markets. Strategic investments in non-marketable equity and other securities without readily determinable fair values are recorded at cost, less impairment, and are adjusted for observable price changes.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 Fair value measurements and impairments for strategic investments are recognized in interest and other, net in the Consolidated Statements of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Fixed-income debt securities are carried at amortized cost and approximate fair value. The Company intends to hold its fixed-income debt securities to maturity.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Allowance for Expected Credit Losses on Accounts Receivable </w:t>
      </w:r>
      <w:r>
        <w:rPr>
          <w:color w:val="000000"/>
        </w:rPr>
        <w:t xml:space="preserve">— </w:t>
      </w:r>
      <w:r>
        <w:rPr>
          <w:rFonts w:ascii="Times New Roman;serif" w:hAnsi="Times New Roman;serif"/>
          <w:b w:val="false"/>
          <w:color w:val="000000"/>
          <w:sz w:val="20"/>
        </w:rPr>
        <w:t>The Company recognizes an allowance for losses on accounts receivable in an amount equal to the current expected credit losses. The estimation of the allowance is based on an analysis of historical loss experience, current receivables aging, and management’s assessment of current conditions and reasonable and supportable expectation of future conditions, as well as an assessment of specific identifiable customer accounts considered at risk or uncollectible. The Company assesses collectibility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selling, general, and administrative expenses in the Consolidated Statements of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26415"/>
                <wp:effectExtent l="0" t="0" r="0" b="0"/>
                <wp:wrapNone/>
                <wp:docPr id="78" name="Frame7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 xml:space="preserve">Accounting for Operating Leases as a Lessee — </w:t>
      </w:r>
      <w:r>
        <w:rPr>
          <w:rFonts w:ascii="Times New Roman;serif" w:hAnsi="Times New Roman;serif"/>
          <w:b w:val="false"/>
          <w:color w:val="000000"/>
          <w:sz w:val="20"/>
        </w:rPr>
        <w:t xml:space="preserve">In its ordinary course of business, the Company enters into leases as a lessee for property and equipment, warehouses, and office space. The Company determines if an arrangement is a lease or contains a lease at inception. The Company’s leases are generally classified as operating leases. The Company does not have any material finance leases. Operating leases result in the recognition of right of use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 At lease commencement, the lease liability is measured at the present value of the lease payments over the lease term. The operating lease ROU asset equals the lease liability adjusted for any initial direct costs, prepaid or deferred rent, and lease incentives. The Company uses the implicit rate when readily determinable. As most of the leases do not provide an implicit rate, the Company uses its incremental borrowing rate based on the information available at the commencement date to determine the present value of lease payments.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lease term may include options to extend or to terminate the lease that the Company is reasonably certain to exercise. The Company has elected not to record leases with an initial term of 12 months or less on the Consolidated Statements of Financial Position. Lease expense is recognized on a straight-line basis over the lease term in most instances. The Company does not generate material sublease income and has no material related party leases. The Company’s lease agreements do not contain any material residual value guarantees or material restrictive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office space agreements contain costs such as common area maintenance and other executory costs that may be either fixed or variable in nature. Variable lease costs are expensed as incurred. The Company combines lease and non-lease components, including fixed common area and other maintenance costs, in calculating the ROU assets and lease liabilities for its office space.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for its warehouses and equipment.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6 of the Notes to the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Accounting for Leases as a Lessor — </w:t>
      </w:r>
      <w:r>
        <w:rPr>
          <w:rFonts w:ascii="Times New Roman;serif" w:hAnsi="Times New Roman;serif"/>
          <w:b w:val="false"/>
          <w:color w:val="000000"/>
          <w:sz w:val="20"/>
        </w:rPr>
        <w:t>The Company’s wholly-owned subsidiary Dell Financial Services and its affiliates (“DFS”) act as a lessor to provide equipment financing to customers through a variety of lease arrangements. The Company’s leases are classified as sales-type leases, direct financing leases, or operating leases. Direct financing leases are immaterial.</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offers alternative payment structures and as-a-Service offerings that are assessed to determine whether an embedded lease arrangement exists. The Company accounts for those contracts as a lease arrangement if it is determined that the contract contains an identified asset and that control of that asset has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When a contract includes lease and non-lease components, the Company allocates consideration under the contract to each component based on relative standalone selling price and subsequently assesses lease classification for each lease component within a contract. DFS provides lessees with the option to extend the lease or purchase the underlying asset at the end of the lease term, which is considered when evaluating lease classification. In general, DFS lease arrangements do not have variable payment terms and are typically non-cancelable.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commencement of sales-type leases, the Company recognizes profit up-front, and amounts due from the customer under the lease contract are recognized as financing receivables on the Consolidated Statements of Financial Position. Interest income is recognized as net product revenue over the term of the lease based on the effective interest method. The Company has elected not to include sales and other taxes collected from the lessee as part of lease revenue.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6415"/>
                <wp:effectExtent l="0" t="0" r="0" b="0"/>
                <wp:wrapNone/>
                <wp:docPr id="79" name="Frame7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leases that do not meet the definition of a sales-type lease or direct financing lease are classified as operating leases. The underlying asset in an operating lease arrangement is carried at depreciated cost as “Assets in a customer contract”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residual value is based upon estimates of the value of the equipment at the end of the lease term using historical studies, industry data, and future value-at-risk demand valuation methods. The Company recognizes operating lease income to product revenue generally on a straight-line basis over the lease term and expenses deferred initial direct costs on the same basis. The Company recognizes variable lease income to product revenue generally as earned. Impairment of assets in a customer contract is assessed on the same basis as other long-lived assets.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Financing Receivables </w:t>
      </w:r>
      <w:r>
        <w:rPr>
          <w:color w:val="000000"/>
        </w:rPr>
        <w:t xml:space="preserve">— </w:t>
      </w:r>
      <w:r>
        <w:rPr>
          <w:rFonts w:ascii="Times New Roman;serif" w:hAnsi="Times New Roman;serif"/>
          <w:b w:val="false"/>
          <w:color w:val="000000"/>
          <w:sz w:val="20"/>
        </w:rPr>
        <w:t>Financing receivables are presented net of allowance for losses and consist of customer receivables and residual interest. Gross customer receivables primarily include amounts due from customers under fixed-term leases, fixed-term loans, and accrued interest. The Company utilizes various credit quality indicators to assess risk and determine the appropriate allowance levels. Fixed-term leases and loans are further segregated into classes based on products, customer type, and credit risk evaluation. Fixed-term leases and loans are offered to qualified small and medium-sized businesses, large commercial accounts, governmental organizations, and educational entities. Fixed-term loans are also offered to qualified individual consumers. The Company historically offered revolving loans until these offerings were discontinued during the fiscal year ended January 31, 2025. As of January 30, 2026, the majority of customer arrangements under revolving loan offerings were transitioned to fixed-term offerings and the revolving loan portfolio is no longer a component of the Company’s financing receivables.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Allowance for Financing Receivable Losses </w:t>
      </w:r>
      <w:r>
        <w:rPr>
          <w:color w:val="000000"/>
        </w:rPr>
        <w:t xml:space="preserve">— </w:t>
      </w:r>
      <w:r>
        <w:rPr>
          <w:rFonts w:ascii="Times New Roman;serif" w:hAnsi="Times New Roman;serif"/>
          <w:b w:val="false"/>
          <w:color w:val="000000"/>
          <w:sz w:val="20"/>
        </w:rPr>
        <w:t>The Company recognizes an allowance for financing receivable losses, including both the lease receivable and unguaranteed residual, in an amount equal to the expected losses net of recoveries. The allowance for financing receivable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Generally, expected credit losses as a result of residual value risk on equipment under lease are not considered to be significant primarily because of the existence of a secondary market with respect to the equipment. The Company’s lease agreements also generally define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When an account is deemed to be uncollectible, customer account principal and interest are charged off to the allowance for losses.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 losses. The expense associated with the allowance for financing receivable losses is recognized as cost of net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Asset Securitization </w:t>
      </w:r>
      <w:r>
        <w:rPr>
          <w:color w:val="000000"/>
        </w:rPr>
        <w:t xml:space="preserve">— </w:t>
      </w:r>
      <w:r>
        <w:rPr>
          <w:rFonts w:ascii="Times New Roman;serif" w:hAnsi="Times New Roman;serif"/>
          <w:b w:val="false"/>
          <w:color w:val="000000"/>
          <w:sz w:val="20"/>
        </w:rPr>
        <w:t xml:space="preserve">The Company transfers certain U.S. and European customer lease and loan payments and associated equipment to Special Purpose 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lease and loan payments and associated equipment in the capital markets. Some of these SPEs have entered into financing arrangements with multi-seller conduits that, in turn, issue asset-backed debt securities in the capital markets. The asset securitizations in the SPEs are accounted for as secured borrowings.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6415"/>
                <wp:effectExtent l="0" t="0" r="0" b="0"/>
                <wp:wrapNone/>
                <wp:docPr id="80" name="Frame7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 xml:space="preserve">Inventories </w:t>
      </w:r>
      <w:r>
        <w:rPr>
          <w:color w:val="000000"/>
        </w:rPr>
        <w:t xml:space="preserve">— </w:t>
      </w:r>
      <w:r>
        <w:rPr>
          <w:rFonts w:ascii="Times New Roman;serif" w:hAnsi="Times New Roman;serif"/>
          <w:b w:val="false"/>
          <w:color w:val="000000"/>
          <w:sz w:val="20"/>
        </w:rPr>
        <w:t>The Company generally records inventory on the Consolidated Statements of Financial Position when legal title and risk of loss have passed to the Company for items that are held for sale in the ordinary course of business, that are in process of production for sale, or that will be consumed in the production of goods or services that will be held for sale. Inventories are stated at the lower of cost or net realizable value, with cost being determined on a first-in, first-out basis. Adjustments to reduce the cost of inventory to its net realizable value are made, if required, for estimated excess, obsolescence, or impaired balances. At the point of the loss recognition, a new, lower cost basis for that inventory is established, and subsequent changes in facts and circumstances do not result in the restoration or increase in the newly established cost basis.</w: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val="false"/>
          <w:i/>
          <w:color w:val="000000"/>
          <w:sz w:val="20"/>
        </w:rPr>
        <w:t xml:space="preserve">Property, Plant, and Equipment </w:t>
      </w:r>
      <w:r>
        <w:rPr>
          <w:color w:val="000000"/>
        </w:rPr>
        <w:t xml:space="preserve">— </w:t>
      </w:r>
      <w:r>
        <w:rPr>
          <w:rFonts w:ascii="Times New Roman;serif" w:hAnsi="Times New Roman;serif"/>
          <w:b w:val="false"/>
          <w:color w:val="000000"/>
          <w:sz w:val="20"/>
        </w:rPr>
        <w:t>Property, plant, and equipment are carried at depreciated cost. Depreciation is determined using the straight-line method over the shorter of the estimated useful lives of the assets or the lease term, as applicable. The estimated useful lives of the Company’s property, plant, and equipment are generally as follows:</w:t>
      </w:r>
    </w:p>
    <w:tbl>
      <w:tblPr>
        <w:tblW w:w="6943" w:type="dxa"/>
        <w:jc w:val="center"/>
        <w:tblInd w:w="0" w:type="dxa"/>
        <w:tblLayout w:type="fixed"/>
        <w:tblCellMar>
          <w:top w:w="28" w:type="dxa"/>
          <w:left w:w="28" w:type="dxa"/>
          <w:bottom w:w="28" w:type="dxa"/>
          <w:right w:w="28" w:type="dxa"/>
        </w:tblCellMar>
      </w:tblPr>
      <w:tblGrid>
        <w:gridCol w:w="1168"/>
        <w:gridCol w:w="1025"/>
        <w:gridCol w:w="1031"/>
        <w:gridCol w:w="1087"/>
        <w:gridCol w:w="1087"/>
        <w:gridCol w:w="1545"/>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other equipment</w:t>
            </w:r>
          </w:p>
        </w:tc>
        <w:tc>
          <w:tcPr>
            <w:tcW w:w="3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in a customer contract</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of underlying lease contract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building improvements</w:t>
            </w:r>
          </w:p>
        </w:tc>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 years or term of underlying land lease</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years or contract term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software</w:t>
            </w:r>
          </w:p>
        </w:tc>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Gains or losses related to retirements or dispositions of fixed assets are recognized in the period during which the retirement or disposition occurs.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capitalizes certain internal and external costs to acquire or create internal use software which are incurred subsequent to the completion of the preliminary project stage. Costs associated with maintenance and minor enhancements to the features and functionality of the Company’s internal use software are expensed as incurred.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Capitalized Software Development Costs </w:t>
      </w:r>
      <w:r>
        <w:rPr>
          <w:color w:val="000000"/>
        </w:rPr>
        <w:t xml:space="preserve">— </w:t>
      </w:r>
      <w:r>
        <w:rPr>
          <w:rFonts w:ascii="Times New Roman;serif" w:hAnsi="Times New Roman;serif"/>
          <w:b w:val="false"/>
          <w:color w:val="000000"/>
          <w:sz w:val="20"/>
        </w:rPr>
        <w:t>Software development costs related to the development of new product offerings are capitalized subsequent to the establishment of technological feasibility, which is demonstrated by the completion of a detailed program design or working model, if no program design is completed. The Company amortizes capitalized software development costs on a straight-line basis over the estimated useful lives of the products, which is generally two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30, 2026 and January 31, 2025, capitalized software development costs were $526 million and $623 million, respectively, and are included in other non-current assets in the accompanying Consolidated Statements of Financial Position. Amortization expense for the fiscal years ended January 30, 2026, January 31, 2025, and February 2, 2024 was $290 million, $325 million, and $416 million, respectively.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Impairment of Long-Lived Assets </w:t>
      </w:r>
      <w:r>
        <w:rPr>
          <w:color w:val="000000"/>
        </w:rPr>
        <w:t xml:space="preserve">— </w:t>
      </w:r>
      <w:r>
        <w:rPr>
          <w:rFonts w:ascii="Times New Roman;serif" w:hAnsi="Times New Roman;serif"/>
          <w:b w:val="false"/>
          <w:color w:val="000000"/>
          <w:sz w:val="20"/>
        </w:rPr>
        <w:t>The Company reviews long-lived assets for impairment when events or changes in circumstances indicate that the carrying amount of an asset may not be recoverable. The Company assesses the recoverability of the asset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Goodwill and Intangible Assets </w:t>
      </w:r>
      <w:r>
        <w:rPr>
          <w:color w:val="000000"/>
        </w:rPr>
        <w:t xml:space="preserve">— </w:t>
      </w:r>
      <w:r>
        <w:rPr>
          <w:rFonts w:ascii="Times New Roman;serif" w:hAnsi="Times New Roman;serif"/>
          <w:b w:val="false"/>
          <w:color w:val="000000"/>
          <w:sz w:val="20"/>
        </w:rPr>
        <w:t xml:space="preserve">Identifiable intangible assets with finite lives are amortized over their estimated useful lives. Indefinite-lived intangible assets are not amortized.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 are reviewed for impairment when events and circumstances indicate the asset may be impaired. Goodwill and indefinite-lived intangible assets are tested for impairment annually during the third fiscal quarter and whenever events or circumstances indicate that an impairment may have occurred. The Company can elect to perform a qualitative assessment or directly perform the quantitative impairment test. If a qualitative assessment is performed and it is determined to be more likely than not that the fair value of a goodwill reporting unit or an indefinite-lived intangible asset is less than its carrying amount, the Company will then perform a quantitative test.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6415"/>
                <wp:effectExtent l="0" t="0" r="0" b="0"/>
                <wp:wrapNone/>
                <wp:docPr id="81" name="Frame8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 quantitative test is performed, the fair value of each goodwill reporting unit or the indefinite-lived intangible assets is compared to the carrying value to assess for potential impairment. The fair value of each goodwill reporting unit is generally estimated using a combination of public company multiples and discounted cash flow methodologies, which utilize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The fair value of the indefinite-lived intangible assets is generally estimated using discounted cash flow methodologies, which utilize future revenue forecasts, the estimation of the long-term revenue growth rate of the Company’s business, and the determination of the weighted average cost of capital and royalty rates.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Foreign Currency Translation </w:t>
      </w:r>
      <w:r>
        <w:rPr>
          <w:color w:val="000000"/>
        </w:rPr>
        <w:t xml:space="preserve">— </w:t>
      </w:r>
      <w:r>
        <w:rPr>
          <w:rFonts w:ascii="Times New Roman;serif" w:hAnsi="Times New Roman;serif"/>
          <w:b w:val="false"/>
          <w:color w:val="000000"/>
          <w:sz w:val="20"/>
        </w:rPr>
        <w:t>The majority of the Company’s international sales are made by international subsidiaries, some of which have the U.S. Dollar as their functional currency. The Company’s subsidiaries that do not use the U.S. Dollar as their functional currency translate assets and liabilities at current exchange rates in effect at the balance sheet date. Revenue and expenses from these international subsidiaries are translated using the monthly average exchange rates in effect for the period in which the activity was recognized. Foreign currency translation adjustments are included as a component of accumulated other comprehensive income (loss) (“AOCI”) in stockholders’ equity (deficit).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Local currency transactions of international subsidiaries that have the U.S. Dollar as their functional currency are remeasured into U.S. Dollars using the current exchange rates for monetary assets and liabilities and historical exchange rates for nonmonetary assets and liabilities. Gains and losses from remeasurement of monetary assets and liabilities are included in interest and other, net on the Consolidated Statements of Income. See Note 20 of the Notes to the Consolidated Financial Statements for amounts recognized from remeasurement during the periods presented.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Hedging Instruments </w:t>
      </w:r>
      <w:r>
        <w:rPr>
          <w:color w:val="000000"/>
        </w:rPr>
        <w:t xml:space="preserve">— </w:t>
      </w:r>
      <w:r>
        <w:rPr>
          <w:rFonts w:ascii="Times New Roman;serif" w:hAnsi="Times New Roman;serif"/>
          <w:b w:val="false"/>
          <w:color w:val="000000"/>
          <w:sz w:val="20"/>
        </w:rPr>
        <w:t xml:space="preserve">The Company uses derivative financial instruments, primarily forward contracts, options, and swaps, to hedge certain foreign 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 The Company’s hedge portfolio includes non-designated derivatives and derivatives designated as cash flow hedges and, from time to time, fair value hedges.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derivative instruments designated as a cash flow hedge, the Company assesses hedge effectiveness at the onset of the hedge, then performs qualitative assessments at regular intervals throughout the life of the derivative. The gain or loss on the hedge is recorded in AOCI, as a separate component of stockholders’ equity (deficit), and reclassified into earnings in the period during which the hedged transaction is recognized in earnings. For derivatives that are designated as a fair value hedge, the Company evaluates the effectiveness of the qualifying fair value hedge using the shortcut method of accounting under which hedges are assumed to be perfectly effective. The change in fair value of the hedge exactly offsets the fair value of the hedged item and there is no net impact recognized in earnings from the fair value of the derivative. For derivatives that are not designated as hedges or do not qualify for hedge accounting treatment, the Company recognizes the change in the instrument’s fair value in earnings as a component of interest and other,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derivative instruments are presented in the same category on the Consolidated Statements of Cash Flows as the cash flows from the underlying hedged items. See Note 8 of the Notes to the Consolidated Financial Statements for a description of the Company’s derivative financial instrument activities.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Revenue Recognition</w:t>
      </w:r>
      <w:r>
        <w:rPr>
          <w:color w:val="000000"/>
        </w:rPr>
        <w:t xml:space="preserve"> — </w:t>
      </w:r>
      <w:r>
        <w:rPr>
          <w:rFonts w:ascii="Times New Roman;serif" w:hAnsi="Times New Roman;serif"/>
          <w:b w:val="false"/>
          <w:color w:val="000000"/>
          <w:sz w:val="20"/>
        </w:rPr>
        <w:t>The Company sells a wide portfolio of products and services to its customers. The Company’s agreements have varying requirements depending on the goods and services being sold, the rights and obligations conveyed, and the legal jurisdiction of the arrangement. While most of the Company’s agreements have standard terms and conditions, more complex agreements may contain nonstandard terms and conditions that require significant judgments in interpreting agreements to determine the appropriate accounting.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26415"/>
                <wp:effectExtent l="0" t="0" r="0" b="0"/>
                <wp:wrapNone/>
                <wp:docPr id="82" name="Frame8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is recognized for these arrangements based on the following five steps: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i/>
          <w:color w:val="000000"/>
          <w:sz w:val="20"/>
        </w:rPr>
        <w:t>(1)    Identify the contract with a customer.</w:t>
      </w:r>
      <w:r>
        <w:rPr>
          <w:color w:val="000000"/>
        </w:rPr>
        <w:t xml:space="preserve"> </w:t>
      </w:r>
      <w:r>
        <w:rPr>
          <w:rFonts w:ascii="Times New Roman;serif" w:hAnsi="Times New Roman;serif"/>
          <w:b w:val="false"/>
          <w:color w:val="000000"/>
          <w:sz w:val="20"/>
        </w:rPr>
        <w:t>The Company evaluates facts and circumstances regarding sales transactions in order to identify contracts with its customers. An agreement must meet all of the following criteria to qualify as a contract eligible for revenue recognition under the model: (i)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i/>
          <w:color w:val="000000"/>
          <w:sz w:val="20"/>
        </w:rPr>
        <w:t>(2)    Identify the performance obligations in the contract.</w:t>
      </w:r>
      <w:r>
        <w:rPr>
          <w:color w:val="000000"/>
        </w:rPr>
        <w:t> </w:t>
      </w:r>
      <w:r>
        <w:rPr>
          <w:rFonts w:ascii="Times New Roman;serif" w:hAnsi="Times New Roman;serif"/>
          <w:b w:val="false"/>
          <w:color w:val="000000"/>
          <w:sz w:val="20"/>
        </w:rPr>
        <w:t xml:space="preserve">The Company’s contracts with customers often include the promise to transfer multiple goods and services to the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support and maintenance agreements,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i/>
          <w:color w:val="000000"/>
          <w:sz w:val="20"/>
        </w:rPr>
        <w:t>(3)    Determine the transaction price.</w:t>
      </w:r>
      <w:r>
        <w:rPr>
          <w:color w:val="000000"/>
        </w:rPr>
        <w:t xml:space="preserve"> </w:t>
      </w:r>
      <w:r>
        <w:rPr>
          <w:rFonts w:ascii="Times New Roman;serif" w:hAnsi="Times New Roman;serif"/>
          <w:b w:val="false"/>
          <w:color w:val="000000"/>
          <w:sz w:val="20"/>
        </w:rPr>
        <w:t>The transaction price reflects the amount of consideration to which the Company expects to be entitled in exchange 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i/>
          <w:color w:val="000000"/>
          <w:sz w:val="20"/>
        </w:rPr>
        <w:t xml:space="preserve">(4)    Allocate the transaction price to performance obligations in the contract. </w:t>
      </w:r>
      <w:r>
        <w:rPr>
          <w:rFonts w:ascii="Times New Roman;serif" w:hAnsi="Times New Roman;serif"/>
          <w:b w:val="false"/>
          <w:color w:val="000000"/>
          <w:sz w:val="20"/>
        </w:rPr>
        <w:t>When a contract includes multiple performance obligations, the transaction 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then SSP must be estimated by considering multiple factors, including, but not limited to, pricing practices, internal costs, and profit objectives as well as overall market and industry conditions, which include geographic or regional specific factors, competitive positioning, and competitor actions.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6415"/>
                <wp:effectExtent l="0" t="0" r="0" b="0"/>
                <wp:wrapNone/>
                <wp:docPr id="83" name="Frame8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ind w:left="0" w:right="0" w:hanging="360"/>
        <w:jc w:val="left"/>
        <w:rPr/>
      </w:pPr>
      <w:r>
        <w:rPr>
          <w:rFonts w:ascii="Times New Roman;serif" w:hAnsi="Times New Roman;serif"/>
          <w:b w:val="false"/>
          <w:i/>
          <w:color w:val="000000"/>
          <w:sz w:val="20"/>
        </w:rPr>
        <w:t xml:space="preserve">(5)    Recognize revenue when (or as) the performance obligation is satisfied. </w:t>
      </w:r>
      <w:r>
        <w:rPr>
          <w:rFonts w:ascii="Times New Roman;serif" w:hAnsi="Times New Roman;serif"/>
          <w:b w:val="false"/>
          <w:color w:val="000000"/>
          <w:sz w:val="20"/>
        </w:rPr>
        <w:t xml:space="preserve">Revenue is recognized when obligations under the terms of the contract with 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reports revenue net of any revenue-based taxes assessed by governmental authorities that are imposed on and concurrently with specific revenue-producing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following practical expedients: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does not account for significant financing components if the period between revenue recognition and when the customer pays for the product or service will be one year or less.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recognizes revenue equal to the amount it has a right to invoice when the amount corresponds directly with the value to the customer of the Company’s performance to 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does not account for shipping and handling activities as a separate performance obligation, but rather as an activity performed to transfer the promised good.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nature of revenue recognized and the manner in which the Company accounts for sales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consists of revenue from sales of hardware products, including notebooks and desktop PCs, servers, storage hardware, and other hardware-related devices, as well as revenue from software license sales, including non-essential software applications and third-party software licenses.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sales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Services revenue consists of revenue from sales of services offerings and support services, including hardware support and software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6415"/>
                <wp:effectExtent l="0" t="0" r="0" b="0"/>
                <wp:wrapNone/>
                <wp:docPr id="84" name="Frame8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leasing arrangements is not subject to the revenue standard for contracts with customers and remains separately accounted for under lease accounting guidance. The Company records operating lease rental revenue as product revenue on a straight-line basis over the lease term. The Company records revenue under sales-type leases as product revenue in an amount equal to the present value of minimum lease payments at the inception of the lease. Sales-type leases also produce financing income, which is included in product net revenue in the Consolidated Statements of Income and is recognized at effective rates of return over the lease term. The Company also offers qualified customers fixed-term loans as well as previously offered revolving lines of credit through DFS for the purchase of products and services offered by the Company. Financing income attributable to these loans is recognized in product net revenue on an accrual basis.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Principal versus Agent</w:t>
      </w:r>
      <w:r>
        <w:rPr>
          <w:color w:val="000000"/>
        </w:rPr>
        <w:t xml:space="preserve"> — </w:t>
      </w:r>
      <w:r>
        <w:rPr>
          <w:rFonts w:ascii="Times New Roman;serif" w:hAnsi="Times New Roman;serif"/>
          <w:b w:val="false"/>
          <w:color w:val="000000"/>
          <w:sz w:val="20"/>
        </w:rPr>
        <w:t>For transactions that involve a third party, the Company evaluates whether it is acting as the principal or the agent in the transaction. This determination requires significant judgment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it to a customer include, but are not limited to, the Company being the primary obligor to the customer, establishing its own pricing, and having inventory and credit risks. Conversely, if the Company determines that it does not control the good or service before it is transferred to the customer, the Company is acting as an agent in the transaction. As an agent, the Company is arranging for the good or service to be provided by another party and recognizes revenue at the net amount of consideration retained.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Disaggregation of Revenue</w:t>
      </w:r>
      <w:r>
        <w:rPr>
          <w:color w:val="000000"/>
        </w:rPr>
        <w:t xml:space="preserve"> — </w:t>
      </w:r>
      <w:r>
        <w:rPr>
          <w:rFonts w:ascii="Times New Roman;serif" w:hAnsi="Times New Roman;serif"/>
          <w:b w:val="false"/>
          <w:color w:val="000000"/>
          <w:sz w:val="20"/>
        </w:rPr>
        <w:t>The Company’s revenue is presented on a disaggregated basis on the Consolidated Statements of Income and in Note 18 of the Notes to the Consolidated Financial Statements based on an evaluation of disclosures outside of the financial statements, information regularly provided to and reviewed by the Company’s Chief Operating Decision Maker (“CODM”) for evaluating the financial performance of operating segments, and other information that is used to evaluate the Company’s financial performance and make resource allocations. This information includes revenue from products and services, revenue from reportable segments, and revenue by major product categories within the segments. Given the scale and growth of the AI-optimized servers business, effective in the three months ended January 30, 2026, the Company’s servers and networking offerings were disaggregated within revenue by major product category into AI-optimized servers offerings and traditional servers and networking offerings.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Contract Assets </w:t>
      </w:r>
      <w:r>
        <w:rPr>
          <w:color w:val="000000"/>
        </w:rPr>
        <w:t xml:space="preserve">— </w:t>
      </w:r>
      <w:r>
        <w:rPr>
          <w:rFonts w:ascii="Times New Roman;serif" w:hAnsi="Times New Roman;serif"/>
          <w:b w:val="false"/>
          <w:color w:val="000000"/>
          <w:sz w:val="20"/>
        </w:rPr>
        <w:t xml:space="preserve">Contract assets are rights to consideration in exchange for goods or services that the Company has transferred to a customer when such a right is conditional on criteria other than the passage of time. Such amounts are immaterial as of January 30, 2026 and January 31, 2025.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Contract Liabilities </w:t>
      </w:r>
      <w:r>
        <w:rPr>
          <w:color w:val="000000"/>
        </w:rPr>
        <w:t xml:space="preserve">— </w:t>
      </w:r>
      <w:r>
        <w:rPr>
          <w:rFonts w:ascii="Times New Roman;serif" w:hAnsi="Times New Roman;serif"/>
          <w:b w:val="false"/>
          <w:color w:val="000000"/>
          <w:sz w:val="20"/>
        </w:rPr>
        <w:t xml:space="preserve">Contract liabilities primarily consist of deferred revenue. Deferred revenue is recorded when the Company has invoiced or payments have been received for undelivered products or services, or in situations where revenue recognition criteria have not been met. Revenue is recognized on these items when the revenue recognition criteria are met, generally resulting in ratable recognition over the contract term. Deferred revenue primarily consists of support and deployment services, software maintenance, training, Software-as-a-Service, and undelivered hardware and professional services, consisting of installations and consulting engagements. Revenue is recognized as the Company’s performance obligations under the contract are completed. See Note 10 of the Notes to the Consolidated Financial Statements for additional information about deferred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Deferred Costs </w:t>
      </w:r>
      <w:r>
        <w:rPr>
          <w:color w:val="000000"/>
        </w:rPr>
        <w:t xml:space="preserve">— </w:t>
      </w:r>
      <w:r>
        <w:rPr>
          <w:rFonts w:ascii="Times New Roman;serif" w:hAnsi="Times New Roman;serif"/>
          <w:b w:val="false"/>
          <w:color w:val="000000"/>
          <w:sz w:val="20"/>
        </w:rPr>
        <w:t>Deferred costs primarily consist of</w:t>
      </w:r>
      <w:r>
        <w:rPr>
          <w:color w:val="FF0000"/>
        </w:rPr>
        <w:t xml:space="preserve"> </w:t>
      </w:r>
      <w:r>
        <w:rPr>
          <w:rFonts w:ascii="Times New Roman;serif" w:hAnsi="Times New Roman;serif"/>
          <w:b w:val="false"/>
          <w:color w:val="000000"/>
          <w:sz w:val="20"/>
        </w:rPr>
        <w:t xml:space="preserve">costs incurred to fulfill or obtain a contract and are included within other current assets and other non-current assets on the Consolidated Statements of Financial Position, based on when the expense is expected to be recognized.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Costs incurred to fulfill revenue-generating contracts are mainly associated with third-party software support and maintenance offerings and VMware Resale offerings discussed in Note 18 and Note 19 of the Notes to the Consolidated Financial Statements. The Company defers and subsequently amortizes these charges</w:t>
      </w:r>
      <w:r>
        <w:rPr>
          <w:color w:val="FF0000"/>
        </w:rPr>
        <w:t xml:space="preserve"> </w:t>
      </w:r>
      <w:r>
        <w:rPr>
          <w:rFonts w:ascii="Times New Roman;serif" w:hAnsi="Times New Roman;serif"/>
          <w:b w:val="false"/>
          <w:color w:val="000000"/>
          <w:sz w:val="20"/>
        </w:rPr>
        <w:t>on a straight-line basis over the life of the contract or the average contract</w:t>
      </w:r>
      <w:r>
        <w:rPr>
          <w:color w:val="FF0000"/>
        </w:rPr>
        <w:t xml:space="preserve"> </w:t>
      </w:r>
      <w:r>
        <w:rPr>
          <w:rFonts w:ascii="Times New Roman;serif" w:hAnsi="Times New Roman;serif"/>
          <w:b w:val="false"/>
          <w:color w:val="000000"/>
          <w:sz w:val="20"/>
        </w:rPr>
        <w:t>duration. Amortization expense is included in cost of net revenue in the Consolidated Statements of Income. Deferred costs to fulfill revenue-generating contracts as of January 30, 2026 and January 31, 2025 were $2.7 billion and $4.8 billion, respectively. Amortization of deferred costs to fulfill revenue-generating contracts during the fiscal years ended January 30, 2026, January 31, 2025, and February 2, 2024 was $6.3 billion, $7.6 billion, and $8.0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6415"/>
                <wp:effectExtent l="0" t="0" r="0" b="0"/>
                <wp:wrapNone/>
                <wp:docPr id="85" name="Frame8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capitalizes incremental direct costs to obtain a contract, primarily sales commissions and employer taxes related to commission payments, if the costs are deemed to be recoverable. The Company has elected, as a practical expedient, to expense as incurred costs to obtain a contract equal to or less than one year in duration. Capitalized costs are deferred and amortized over the period of contract performance or the estimated life of the customer relationship, if renewals are expected, and are typically amortized over an average period of one to five years. Amortization expense is recognized on a straight-line basis and included in selling, general, and administrative expenses in the Consolidated Statements of Income. Deferred costs to obtain a contract as of January 30, 2026 and January 31, 2025 were $483 million and $540 million, respectively. Amortization of costs to obtain a contract during the fiscal years ended January 30, 2026, January 31, 2025, and February 2, 2024 was $305 million, $346 million, and $383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these deferred costs to determine whether events or changes in circumstances have occurred that could impact the carrying value or period of benefit of the costs to fulfill or costs to obtain a contract. There were no material impairment losses for deferred costs during the fiscal years ended January 30, 2026, January 31, 2025, and February 2,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Standard Warranty Liabilities </w:t>
      </w:r>
      <w:r>
        <w:rPr>
          <w:color w:val="000000"/>
        </w:rPr>
        <w:t xml:space="preserve">— </w:t>
      </w:r>
      <w:r>
        <w:rPr>
          <w:rFonts w:ascii="Times New Roman;serif" w:hAnsi="Times New Roman;serif"/>
          <w:b w:val="false"/>
          <w:color w:val="000000"/>
          <w:sz w:val="20"/>
        </w:rPr>
        <w:t xml:space="preserve">The Company records warranty liabilities for estimated costs of fulfilling its obligations under standard limited hardware and software warranties at the time of sale. The liabilities for standard warranties are included in accrued and other and in other non-current liabilities in the Consolidated Statements of Financial Position. The specific warranty terms and conditions vary depending upon the product sold and the country in which the Company does business, but generally include technical support, parts, and labor over a period ranging from one to three years. Factors that affect the Company’s warranty liabilities include the number of installed units currently under warranty, historical and anticipated rates of warranty claims on those units, and cost per claim to satisfy the Company’s warranty obligation. The anticipated rate of warranty claims is the primary estimate used in determining the warranty liability and is relatively predictable using historical experience of failure rates. The average remaining aggregate warranty period of the covered installed base is approximately 15 months, repair parts are generally already in stock or available at pre-determined prices, and labor rates are generally arranged at preestablished amounts with service providers. If actual results differ from the estimates, the Company revises its estimated warranty liability. Each quarter, the Company reevaluates its estimates to assess the adequacy of its recorded warranty liabilities and adjusts the amounts as necessary. See Note 20 of the Notes to the Consolidated Financial Statements for additional information about standard warranty liabilities.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Consideration Received from Vendors </w:t>
      </w:r>
      <w:r>
        <w:rPr>
          <w:color w:val="000000"/>
        </w:rPr>
        <w:t xml:space="preserve">— </w:t>
      </w:r>
      <w:r>
        <w:rPr>
          <w:rFonts w:ascii="Times New Roman;serif" w:hAnsi="Times New Roman;serif"/>
          <w:b w:val="false"/>
          <w:color w:val="000000"/>
          <w:sz w:val="20"/>
        </w:rPr>
        <w:t>The Company may receive consideration from vendors in the normal course of business. Certain of these funds received as consideration are rebates of purchase price paid and others are related to reimbursement of costs incurred by the Company to sell the vendor’s products. The Company recognizes a reduction to cost of net revenue if the funds are determined to be a reduction of the price of the vendor’s products. If the consideration is a reimbursement of costs incurred by the Company to sell or develop the vendor’s products, the consideration is classified as a reduction of such costs, most often operating expenses, in the Consolidated Statements of Income. To be recognized as a reduction of operating expenses, the reimbursement must be for a specific, incremental, and identifiable cost incurred by the Company in selling the vendor’s products or services.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Loss Contingencies </w:t>
      </w:r>
      <w:r>
        <w:rPr>
          <w:color w:val="000000"/>
        </w:rPr>
        <w:t xml:space="preserve">— </w:t>
      </w:r>
      <w:r>
        <w:rPr>
          <w:rFonts w:ascii="Times New Roman;serif" w:hAnsi="Times New Roman;serif"/>
          <w:b w:val="false"/>
          <w:color w:val="000000"/>
          <w:sz w:val="20"/>
        </w:rPr>
        <w:t>The Company is subject to the possibility of various losses arising in the ordinary course of business. In determining loss contingencies, the Company considers the likelihood of loss or impairment of an asset or the incurrence of a liability, as well as the Company’s ability to reasonably estimate the amount of loss.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Shipping Costs </w:t>
      </w:r>
      <w:r>
        <w:rPr>
          <w:color w:val="000000"/>
        </w:rPr>
        <w:t xml:space="preserve">— </w:t>
      </w:r>
      <w:r>
        <w:rPr>
          <w:rFonts w:ascii="Times New Roman;serif" w:hAnsi="Times New Roman;serif"/>
          <w:b w:val="false"/>
          <w:color w:val="000000"/>
          <w:sz w:val="20"/>
        </w:rPr>
        <w:t>The Company’s shipping and handling costs are included in cost of net revenue in the Consolidated Statements of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6415"/>
                <wp:effectExtent l="0" t="0" r="0" b="0"/>
                <wp:wrapNone/>
                <wp:docPr id="86" name="Frame8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w:t>
      </w:r>
      <w:r>
        <w:rPr>
          <w:color w:val="000000"/>
        </w:rPr>
        <w:t xml:space="preserve">— </w:t>
      </w:r>
      <w:r>
        <w:rPr>
          <w:rFonts w:ascii="Times New Roman;serif" w:hAnsi="Times New Roman;serif"/>
          <w:b w:val="false"/>
          <w:color w:val="000000"/>
          <w:sz w:val="20"/>
        </w:rPr>
        <w:t>Selling expenses include items such as sales salaries and commissions, marketing and advertising costs, and contractor services. Advertising costs are generally expensed as incurred in selling, general, and administrative expenses in the Consolidated Statements of Income. For the fiscal years ended January 30, 2026, January 31, 2025, and February 2, 2024, advertising expenses were $0.7 billion, $0.8 billion, and $0.9 billion,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intangible asset amortization, and depreciation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Research and Development </w:t>
      </w:r>
      <w:r>
        <w:rPr>
          <w:color w:val="000000"/>
        </w:rPr>
        <w:t xml:space="preserve">— </w:t>
      </w:r>
      <w:r>
        <w:rPr>
          <w:rFonts w:ascii="Times New Roman;serif" w:hAnsi="Times New Roman;serif"/>
          <w:b w:val="false"/>
          <w:color w:val="000000"/>
          <w:sz w:val="20"/>
        </w:rPr>
        <w:t>Research and development (“R&amp;D”) costs are primarily expensed as incurred. As noted in Capitalized Software Development Costs in this Note, qualifying software development costs are capitalized and amortized over time. R&amp;D costs include salaries and benefits and other personnel-related costs associated with product development. Also included in R&amp;D expenses are infrastructure costs, which consist of equipment and material costs, facilities-related costs, and depreciation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Income Taxes </w:t>
      </w:r>
      <w:r>
        <w:rPr>
          <w:color w:val="000000"/>
        </w:rPr>
        <w:t xml:space="preserve">— </w:t>
      </w:r>
      <w:r>
        <w:rPr>
          <w:rFonts w:ascii="Times New Roman;serif" w:hAnsi="Times New Roman;serif"/>
          <w:b w:val="false"/>
          <w:color w:val="000000"/>
          <w:sz w:val="20"/>
        </w:rPr>
        <w:t>The Company calculates a provision for income taxes using the asset and liability method, under which deferred tax assets and liabilities are recognized by identifying the temporary differences arising from the different treatment of items for tax and accounting purposes. Deferred tax assets and liabilities are recorded using enacted tax rates in effect for the year in which the differences are expected to reverse.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will be charged to earnings in the period in which such a determination is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accounting guidance for uncertainties in income tax prescribes a comprehensive model for the financial statement recognition, measurement, presentation, and disclosure of uncertain tax positions taken or expected to be taken in income tax returns. Judgment is required in evaluating the Company’s uncertain tax positions and determining the Company’s provision for income taxes.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Stock-Based Compensation </w:t>
      </w:r>
      <w:r>
        <w:rPr>
          <w:color w:val="000000"/>
        </w:rPr>
        <w:t xml:space="preserve">— </w:t>
      </w:r>
      <w:r>
        <w:rPr>
          <w:rFonts w:ascii="Times New Roman;serif" w:hAnsi="Times New Roman;serif"/>
          <w:b w:val="false"/>
          <w:color w:val="000000"/>
          <w:sz w:val="20"/>
        </w:rPr>
        <w:t xml:space="preserve">Stock-based compensation expense consists of equity awards granted based on the estimated fair value of those awards at grant date. Stock-based compensation expense for equity awards is recorded over the requisite service period in cost of net revenues, selling, general and administrative expense and research and development expense in the Consolidated Statements of Income based on the function of the employee. Compensation expense is recognized on a straight-line basis for equity awards with a service condition and a graded vesting basis for equity awards that contain either a performance or market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estimates a forfeiture rate for unvested share</w:t>
        <w:noBreakHyphen/>
        <w:t>based awards and applies this rate to the recognition of stock</w:t>
        <w:noBreakHyphen/>
        <w:t>based compensation expense. Forfeiture rates are estimated at grant date based on historical experience and adjusted in subsequent periods for differences in actual forfeitures from those estimates.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Equity awards with service conditions </w:t>
      </w:r>
      <w:r>
        <w:rPr>
          <w:color w:val="000000"/>
        </w:rPr>
        <w:t xml:space="preserve">— </w:t>
      </w:r>
      <w:r>
        <w:rPr>
          <w:rFonts w:ascii="Times New Roman;serif" w:hAnsi="Times New Roman;serif"/>
          <w:b w:val="false"/>
          <w:color w:val="000000"/>
          <w:sz w:val="20"/>
        </w:rPr>
        <w:t>The fair value of restricted stock units (“RSUs”) that contain only a service-based vesting condition is measured using the closing price of the Company’s Class C Common Stock as reported on the New York Stock Exchange (“NYSE”) on the grant date or most recent preceding trading day if grant date falls on a non-trading day. The resulting stock-based compensation expense is recognized over the requisite service period, which is generally three years.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Equity awards with service and performance conditions </w:t>
      </w:r>
      <w:r>
        <w:rPr>
          <w:color w:val="000000"/>
        </w:rPr>
        <w:t xml:space="preserve">— </w:t>
      </w:r>
      <w:r>
        <w:rPr>
          <w:rFonts w:ascii="Times New Roman;serif" w:hAnsi="Times New Roman;serif"/>
          <w:b w:val="false"/>
          <w:color w:val="000000"/>
          <w:sz w:val="20"/>
        </w:rPr>
        <w:t>The fair value of RSUs that contain both service and performance conditions is measured using the closing price of the Company’s Class C Common Stock as reported on the NYSE on the grant date or most recent preceding trading day if the grant date falls on a non-trading day. The resulting stock-based compensation expense is recognized over the requisite service period as long as attainment of the award remains probable. The Company periodically reassesses the probability of attainment and adjusts the related compensation expense accordingly. The requisite service period for performance-based RSUs is generally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6415"/>
                <wp:effectExtent l="0" t="0" r="0" b="0"/>
                <wp:wrapNone/>
                <wp:docPr id="87" name="Frame8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 xml:space="preserve">Equity awards with service and market-based performance conditions </w:t>
      </w:r>
      <w:r>
        <w:rPr>
          <w:color w:val="000000"/>
        </w:rPr>
        <w:t xml:space="preserve">— </w:t>
      </w:r>
      <w:r>
        <w:rPr>
          <w:rFonts w:ascii="Times New Roman;serif" w:hAnsi="Times New Roman;serif"/>
          <w:b w:val="false"/>
          <w:color w:val="000000"/>
          <w:sz w:val="20"/>
        </w:rPr>
        <w:t>The fair value of performance-based RSUs that contain both service and market-based performance conditions is measured on grant date using a Monte Carlo simulation model. Attainment of the market condition is reflected in the estimate of fair value on the grant date and is recognized regardless of the ultimate level of actual attainment, so long as the requisite service is provided. The requisite service period for market-based performance RSUs is generally three years.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Equity awards with service, performance, and market-based conditions </w:t>
      </w:r>
      <w:r>
        <w:rPr>
          <w:color w:val="000000"/>
        </w:rPr>
        <w:t xml:space="preserve">— </w:t>
      </w:r>
      <w:r>
        <w:rPr>
          <w:rFonts w:ascii="Times New Roman;serif" w:hAnsi="Times New Roman;serif"/>
          <w:b w:val="false"/>
          <w:color w:val="000000"/>
          <w:sz w:val="20"/>
        </w:rPr>
        <w:t>The fair value of equity awards that contain service, performance and market-based conditions is measured on the grant date using a Monte Carlo simulation model. Achievement of the market condition is reflected in the estimate of fair value on the grant date. Compensation expense for awards is recognized over the requisite service period as long as service and performance conditions are considered probable of attainment. If the service or performance conditions become improbable of attainment, compensation expense previously recognized will be reversed. Because the grant date fair value considers the market attainment probability, compensation expense recognized will not be adjusted if the market condition becomes improbable of attainment. The requisite service period for the outstanding stock option grant that contains these vesting conditions is approximately five years.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Recently Issued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Internal-Use Software — </w:t>
      </w:r>
      <w:r>
        <w:rPr>
          <w:rFonts w:ascii="Times New Roman;serif" w:hAnsi="Times New Roman;serif"/>
          <w:b w:val="false"/>
          <w:color w:val="000000"/>
          <w:sz w:val="20"/>
        </w:rPr>
        <w:t>In September 2025, the Financial Accounting Standards Board (“FASB”) issued guidance to modernize internal-use software capitalization by removing references to software development project stages, increasing the operability of the recognition guidance permitting consideration of different methods of software development, including the agile method. Public entities must adopt the new guidance for fiscal years beginning after December 15, 2027, with early adoption permitted. Upon adoption, the guidance may be applied prospectively, retrospectively, or through a modified approach. The Company is currently evaluating the impact and timing of adoption of this guidance.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Expense Disaggregation Disclosures — </w:t>
      </w:r>
      <w:r>
        <w:rPr>
          <w:rFonts w:ascii="Times New Roman;serif" w:hAnsi="Times New Roman;serif"/>
          <w:b w:val="false"/>
          <w:color w:val="000000"/>
          <w:sz w:val="20"/>
        </w:rPr>
        <w:t>In November 2024, the FASB issued guidance to improve disclosures about a public entity’s expenses by requiring disclosure of additional information about the types of expenses commonly presented in the financial statements on an annual and interim basis. Public entities must adopt the new guidance for fiscal years beginning after December 15, 2026, with early adoption permitted. Upon adoption, the guidance will be applied prospectively. Adoption of this new guidance will result in increased disclosures in the 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Recently Adopted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Income Taxes </w:t>
      </w:r>
      <w:r>
        <w:rPr>
          <w:color w:val="000000"/>
        </w:rPr>
        <w:t xml:space="preserve">— </w:t>
      </w:r>
      <w:r>
        <w:rPr>
          <w:rFonts w:ascii="Times New Roman;serif" w:hAnsi="Times New Roman;serif"/>
          <w:b w:val="false"/>
          <w:color w:val="000000"/>
          <w:sz w:val="20"/>
        </w:rPr>
        <w:t>In December 2023, the FASB issued guidance which requires companies to provide disaggregated income tax disclosures within the income tax rate reconciliation and income taxes paid. Public entities were required to adopt the new guidance for fiscal years beginning after December 15, 2024. The Company adopted this standard as of January 30, 2026 on a prospective basis. Adoption of this new guidance resulted in increased disclosures on income taxes in Note 12 and Note 20 of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6415"/>
                <wp:effectExtent l="0" t="0" r="0" b="0"/>
                <wp:wrapNone/>
                <wp:docPr id="88" name="Frame8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hierarchy for its assets and liabilities measured at fair value on a recurring basis as of the dates indicated:</w:t>
      </w:r>
    </w:p>
    <w:tbl>
      <w:tblPr>
        <w:tblW w:w="10898" w:type="dxa"/>
        <w:jc w:val="left"/>
        <w:tblInd w:w="0" w:type="dxa"/>
        <w:tblLayout w:type="fixed"/>
        <w:tblCellMar>
          <w:top w:w="28" w:type="dxa"/>
          <w:left w:w="28" w:type="dxa"/>
          <w:bottom w:w="28" w:type="dxa"/>
          <w:right w:w="28" w:type="dxa"/>
        </w:tblCellMar>
      </w:tblPr>
      <w:tblGrid>
        <w:gridCol w:w="615"/>
        <w:gridCol w:w="224"/>
        <w:gridCol w:w="227"/>
        <w:gridCol w:w="211"/>
        <w:gridCol w:w="616"/>
        <w:gridCol w:w="109"/>
        <w:gridCol w:w="109"/>
        <w:gridCol w:w="109"/>
        <w:gridCol w:w="109"/>
        <w:gridCol w:w="249"/>
        <w:gridCol w:w="551"/>
        <w:gridCol w:w="131"/>
        <w:gridCol w:w="109"/>
        <w:gridCol w:w="109"/>
        <w:gridCol w:w="109"/>
        <w:gridCol w:w="318"/>
        <w:gridCol w:w="612"/>
        <w:gridCol w:w="166"/>
        <w:gridCol w:w="109"/>
        <w:gridCol w:w="109"/>
        <w:gridCol w:w="109"/>
        <w:gridCol w:w="211"/>
        <w:gridCol w:w="616"/>
        <w:gridCol w:w="109"/>
        <w:gridCol w:w="109"/>
        <w:gridCol w:w="109"/>
        <w:gridCol w:w="109"/>
        <w:gridCol w:w="211"/>
        <w:gridCol w:w="466"/>
        <w:gridCol w:w="109"/>
        <w:gridCol w:w="109"/>
        <w:gridCol w:w="109"/>
        <w:gridCol w:w="109"/>
        <w:gridCol w:w="249"/>
        <w:gridCol w:w="551"/>
        <w:gridCol w:w="131"/>
        <w:gridCol w:w="109"/>
        <w:gridCol w:w="109"/>
        <w:gridCol w:w="109"/>
        <w:gridCol w:w="318"/>
        <w:gridCol w:w="612"/>
        <w:gridCol w:w="166"/>
        <w:gridCol w:w="109"/>
        <w:gridCol w:w="109"/>
        <w:gridCol w:w="109"/>
        <w:gridCol w:w="211"/>
        <w:gridCol w:w="466"/>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Quoted Prices in Active Markets for 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Significant Other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Quoted Prices in Active Markets for 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Significant Other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8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and other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section describes the valuation methodologies the Company uses to measure financial instruments at fair value.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Money Market Funds </w:t>
      </w:r>
      <w:r>
        <w:rPr>
          <w:color w:val="000000"/>
        </w:rPr>
        <w:t xml:space="preserve">— </w:t>
      </w:r>
      <w:r>
        <w:rPr>
          <w:rFonts w:ascii="Times New Roman;serif" w:hAnsi="Times New Roman;serif"/>
          <w:b w:val="false"/>
          <w:color w:val="000000"/>
          <w:sz w:val="20"/>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for identical assets in active markets, when available, or pricing models whereby all significant inputs are observable, or can be derived from, or corroborated by, observable market data. The Company reviews security pricing and assesses money market fund liquidity on a quarterly basis. As of January 30, 2026, the Company’s portfolio had no exposure to money market funds with a fluctuating net asset value.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Marketable Equity and Other Securities </w:t>
      </w:r>
      <w:r>
        <w:rPr>
          <w:color w:val="000000"/>
        </w:rPr>
        <w:t xml:space="preserve">— </w:t>
      </w:r>
      <w:r>
        <w:rPr>
          <w:rFonts w:ascii="Times New Roman;serif" w:hAnsi="Times New Roman;serif"/>
          <w:b w:val="false"/>
          <w:color w:val="000000"/>
          <w:sz w:val="20"/>
        </w:rPr>
        <w:t>The Company’s investments in equity and other securities that are measured at fair value on a recurring basis consist of strategic investments in publicly-traded companies. The valuation of these securities is based on quoted prices in active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Derivative Instruments</w:t>
      </w:r>
      <w:r>
        <w:rPr>
          <w:color w:val="000000"/>
        </w:rPr>
        <w:t xml:space="preserve"> — </w:t>
      </w:r>
      <w:r>
        <w:rPr>
          <w:rFonts w:ascii="Times New Roman;serif" w:hAnsi="Times New Roman;serif"/>
          <w:b w:val="false"/>
          <w:color w:val="000000"/>
          <w:sz w:val="20"/>
        </w:rPr>
        <w:t>The Company’s derivative financial instruments consist primarily of foreign currency forward and purchased option contracts 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financial instrument portfolio. See Note 8 of the Notes to the Consolidated Financial Statements for a description of the Company’s derivative financial instrument activities.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Deferred Compensation Plans </w:t>
      </w:r>
      <w:r>
        <w:rPr>
          <w:color w:val="000000"/>
        </w:rPr>
        <w:t xml:space="preserve">— </w:t>
      </w:r>
      <w:r>
        <w:rPr>
          <w:rFonts w:ascii="Times New Roman;serif" w:hAnsi="Times New Roman;serif"/>
          <w:b w:val="false"/>
          <w:color w:val="000000"/>
          <w:sz w:val="20"/>
        </w:rPr>
        <w:t xml:space="preserve">The Company offers deferred compensation plans for eligible employees which allow participants to defer a portion of their compensation. Assets and liabilities associated with the plans are measured at fair value using Level 1 inputs. Assets were the same as liabilities associated with the plans at approximately $274 million and $244 million as of January 30, 2026 and January 31, 2025, respectively, and are included in other assets and other liabilities on the Consolidated Statements of Financial Position. The net impact on the Consolidated Statements of Income is not material since changes in the fair value of the assets substantially offset changes in the fair value of the liabilities. As such, assets and liabilities associated with these plans have not been included in the recurring fair value table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6415"/>
                <wp:effectExtent l="0" t="0" r="0" b="0"/>
                <wp:wrapNone/>
                <wp:docPr id="89" name="Frame8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Assets and Liabilities Measured at Fair Value on a Nonrecurring Basis</w:t>
      </w:r>
      <w:r>
        <w:rPr>
          <w:color w:val="000000"/>
        </w:rPr>
        <w:t xml:space="preserve"> — </w:t>
      </w:r>
      <w:r>
        <w:rPr>
          <w:rFonts w:ascii="Times New Roman;serif" w:hAnsi="Times New Roman;serif"/>
          <w:b w:val="false"/>
          <w:color w:val="000000"/>
          <w:sz w:val="20"/>
        </w:rPr>
        <w:t xml:space="preserve">Certain assets are measured at fair value on a nonrecurring basis and therefore are not included in the recurring fair value table above. These assets consist primarily of financial assets such as the Company’s strategic investments in non-marketable equity and other securities and non-financial assets such as goodwill and intangible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investments in non-marketable equity and other securities and certain non-financial assets such as goodwill and intangible assets are measured at fair value only if they are deemed to be impaired or when there is an adjustment from observable price changes in the current period. If measured at fair value in the Consolidated Statements of Financial Position, these securities would generally be classified as Level 3 in the fair value hierarchy. See Note 4 and Note 9 of the Notes to the Consolidated Financial Statements for additional information about the Company’s investments and goodwill and intangible assets,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Carrying Value and Estimated Fair Value of Outstanding Debt </w:t>
      </w:r>
      <w:r>
        <w:rPr>
          <w:color w:val="000000"/>
        </w:rPr>
        <w:t xml:space="preserve">— </w:t>
      </w:r>
      <w:r>
        <w:rPr>
          <w:rFonts w:ascii="Times New Roman;serif" w:hAnsi="Times New Roman;serif"/>
          <w:b w:val="false"/>
          <w:color w:val="000000"/>
          <w:sz w:val="20"/>
        </w:rPr>
        <w:t>The following table presents the carrying value and estimated fair value of the Company’s outstanding debt as described in Note 7 of the Notes to the Consolidated Financial Statements, including the current portion, as of the dates indicated:</w:t>
      </w:r>
    </w:p>
    <w:tbl>
      <w:tblPr>
        <w:tblW w:w="7173" w:type="dxa"/>
        <w:jc w:val="center"/>
        <w:tblInd w:w="0" w:type="dxa"/>
        <w:tblLayout w:type="fixed"/>
        <w:tblCellMar>
          <w:top w:w="28" w:type="dxa"/>
          <w:left w:w="28" w:type="dxa"/>
          <w:bottom w:w="28" w:type="dxa"/>
          <w:right w:w="28" w:type="dxa"/>
        </w:tblCellMar>
      </w:tblPr>
      <w:tblGrid>
        <w:gridCol w:w="445"/>
        <w:gridCol w:w="390"/>
        <w:gridCol w:w="394"/>
        <w:gridCol w:w="364"/>
        <w:gridCol w:w="886"/>
        <w:gridCol w:w="190"/>
        <w:gridCol w:w="109"/>
        <w:gridCol w:w="109"/>
        <w:gridCol w:w="109"/>
        <w:gridCol w:w="259"/>
        <w:gridCol w:w="627"/>
        <w:gridCol w:w="133"/>
        <w:gridCol w:w="109"/>
        <w:gridCol w:w="109"/>
        <w:gridCol w:w="109"/>
        <w:gridCol w:w="364"/>
        <w:gridCol w:w="886"/>
        <w:gridCol w:w="190"/>
        <w:gridCol w:w="109"/>
        <w:gridCol w:w="109"/>
        <w:gridCol w:w="109"/>
        <w:gridCol w:w="256"/>
        <w:gridCol w:w="621"/>
        <w:gridCol w:w="187"/>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Notes</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DFS Debt</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the outstanding debt shown in the table above were determined based on observable market prices in a less active market or based on valuation methodologies using observable inputs and were categorized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6415"/>
                <wp:effectExtent l="0" t="0" r="0" b="0"/>
                <wp:wrapNone/>
                <wp:docPr id="90" name="Frame8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strategic investments in equity and other securities as well as immaterial investments in fixed income debt securities that are primarily recorded as long-term investments in the Consolidated Statements of Financial Position. As of January 30, 2026 and January 31, 2025, total investments were $1.7 billion and $1.5 billion,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and other securities include strategic investments in marketable and non-marketable securities. Investments in marketable securities are measured at fair value on a recurring basis. Investments in non-marketable equity and other securities primarily represent early-stage companies without readily determinable fair values. The Company has elected to apply the measurement alternative for non-marketable securities which allows investments without readily determinable fair values to be measured at cost, less impairment, adjusted for observable price changes. The Company makes a separate election to apply the measurement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Carrying Value of Equity and Other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cost, cumulative unrealized gain, cumulative unrealized loss, and carrying value of the Company's strategic investments in marketable and non-marketable equity and other securities as of the dates indicated: </w:t>
      </w:r>
    </w:p>
    <w:tbl>
      <w:tblPr>
        <w:tblW w:w="11348" w:type="dxa"/>
        <w:jc w:val="left"/>
        <w:tblInd w:w="0" w:type="dxa"/>
        <w:tblLayout w:type="fixed"/>
        <w:tblCellMar>
          <w:top w:w="28" w:type="dxa"/>
          <w:left w:w="28" w:type="dxa"/>
          <w:bottom w:w="28" w:type="dxa"/>
          <w:right w:w="28" w:type="dxa"/>
        </w:tblCellMar>
      </w:tblPr>
      <w:tblGrid>
        <w:gridCol w:w="516"/>
        <w:gridCol w:w="453"/>
        <w:gridCol w:w="457"/>
        <w:gridCol w:w="211"/>
        <w:gridCol w:w="466"/>
        <w:gridCol w:w="109"/>
        <w:gridCol w:w="109"/>
        <w:gridCol w:w="109"/>
        <w:gridCol w:w="109"/>
        <w:gridCol w:w="233"/>
        <w:gridCol w:w="681"/>
        <w:gridCol w:w="122"/>
        <w:gridCol w:w="109"/>
        <w:gridCol w:w="109"/>
        <w:gridCol w:w="109"/>
        <w:gridCol w:w="272"/>
        <w:gridCol w:w="622"/>
        <w:gridCol w:w="142"/>
        <w:gridCol w:w="109"/>
        <w:gridCol w:w="109"/>
        <w:gridCol w:w="109"/>
        <w:gridCol w:w="211"/>
        <w:gridCol w:w="616"/>
        <w:gridCol w:w="109"/>
        <w:gridCol w:w="109"/>
        <w:gridCol w:w="109"/>
        <w:gridCol w:w="109"/>
        <w:gridCol w:w="211"/>
        <w:gridCol w:w="466"/>
        <w:gridCol w:w="109"/>
        <w:gridCol w:w="109"/>
        <w:gridCol w:w="109"/>
        <w:gridCol w:w="109"/>
        <w:gridCol w:w="233"/>
        <w:gridCol w:w="681"/>
        <w:gridCol w:w="122"/>
        <w:gridCol w:w="109"/>
        <w:gridCol w:w="109"/>
        <w:gridCol w:w="109"/>
        <w:gridCol w:w="272"/>
        <w:gridCol w:w="622"/>
        <w:gridCol w:w="142"/>
        <w:gridCol w:w="109"/>
        <w:gridCol w:w="109"/>
        <w:gridCol w:w="109"/>
        <w:gridCol w:w="211"/>
        <w:gridCol w:w="61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and other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Gains and Losses on Equity and Other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unrealized gains and losses on marketable and non-marketable equity and other securities for the periods indicated:</w:t>
      </w:r>
    </w:p>
    <w:tbl>
      <w:tblPr>
        <w:tblW w:w="10041" w:type="dxa"/>
        <w:jc w:val="left"/>
        <w:tblInd w:w="0" w:type="dxa"/>
        <w:tblLayout w:type="fixed"/>
        <w:tblCellMar>
          <w:top w:w="28" w:type="dxa"/>
          <w:left w:w="28" w:type="dxa"/>
          <w:bottom w:w="28" w:type="dxa"/>
          <w:right w:w="28" w:type="dxa"/>
        </w:tblCellMar>
      </w:tblPr>
      <w:tblGrid>
        <w:gridCol w:w="1507"/>
        <w:gridCol w:w="1320"/>
        <w:gridCol w:w="1327"/>
        <w:gridCol w:w="109"/>
        <w:gridCol w:w="109"/>
        <w:gridCol w:w="109"/>
        <w:gridCol w:w="109"/>
        <w:gridCol w:w="425"/>
        <w:gridCol w:w="941"/>
        <w:gridCol w:w="223"/>
        <w:gridCol w:w="109"/>
        <w:gridCol w:w="109"/>
        <w:gridCol w:w="109"/>
        <w:gridCol w:w="425"/>
        <w:gridCol w:w="941"/>
        <w:gridCol w:w="223"/>
        <w:gridCol w:w="109"/>
        <w:gridCol w:w="109"/>
        <w:gridCol w:w="109"/>
        <w:gridCol w:w="470"/>
        <w:gridCol w:w="804"/>
        <w:gridCol w:w="345"/>
      </w:tblGrid>
      <w:tr>
        <w:trPr/>
        <w:tc>
          <w:tcPr>
            <w:tcW w:w="150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(a)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equity and other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(a)For the fiscal years ended January 30, 2026 and January 31, 2025, net unrealized gains on non-marketable securities were primarily attributable to adjustments for observable price changes.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(b)For the fiscal year ended February 2, 2024, net unrealized gains on non-marketable securities were due to upward adjustments for observable price changes offset by losses attributable to impairments.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26415"/>
                <wp:effectExtent l="0" t="0" r="0" b="0"/>
                <wp:wrapNone/>
                <wp:docPr id="91" name="Frame9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5 — FINANCIAL SERVICES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offers or arranges a portfolio of payment and consumption solutions and services for its customers globally, including utility, subscription, as-a-Service, leases, and loans, designed to match customers' consumption and financing preferences and to provide operational and financial flexibility.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support financing solutions and services as part of the Dell Technologies portfolio, Dell Financial Services and its affiliates (“DFS”) originate, collect, and service customer financing arrangements primarily related to the purchase and use of Dell Technologies products and services. In some cases, the Company also offers financing for the purchase of third-party technology products that complement the portfolio of the Company’s products and services. New financing originations were $11.9 billion for the fiscal year ended January 30, 2026 and $8.4 billion for both the fiscal years ended January 31, 2025 and February 2,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financing arrangements with customers are aggregated primarily as fixed-term leases and loans as described below.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Leases</w:t>
      </w:r>
      <w:r>
        <w:rPr>
          <w:color w:val="000000"/>
        </w:rPr>
        <w:t xml:space="preserve"> — </w:t>
      </w:r>
      <w:r>
        <w:rPr>
          <w:rFonts w:ascii="Times New Roman;serif" w:hAnsi="Times New Roman;serif"/>
          <w:b w:val="false"/>
          <w:color w:val="000000"/>
          <w:sz w:val="20"/>
        </w:rPr>
        <w:t xml:space="preserve">The Company enters into fixed-term financing arrangements with customers who seek lease financing for equipment. Leases are generally classified as sales-type leases or operating leases. Additionally, utility, subscription, and as-a-Service flexible consumption models may result in identification of embedded lease arrangements that require the recognition of sales-type leases or operating leases. Leases with business customers generally have fixed terms of two to five years.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Loans</w:t>
      </w:r>
      <w:r>
        <w:rPr>
          <w:color w:val="000000"/>
        </w:rPr>
        <w:t xml:space="preserve"> — </w:t>
      </w:r>
      <w:r>
        <w:rPr>
          <w:rFonts w:ascii="Times New Roman;serif" w:hAnsi="Times New Roman;serif"/>
          <w:b w:val="false"/>
          <w:color w:val="000000"/>
          <w:sz w:val="20"/>
        </w:rPr>
        <w:t>The Company also offers fixed-term loans to qualified small businesses, large commercial accounts, governmental organizations, educational entities, and certain individual consumer customers. These loans are repaid in periodic payments including interest and have defined terms typically ranging from one to five years. The fair value of the fixed-term loan portfolio is determined using market observable inputs. The carrying value of these loans approximates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historically offered revolving loans primarily to small and medium-sized commercial customers. During the fiscal year ended January 31, 2025, the Company discontinued remaining offerings under the revolving loan portfolio. The Company continued to support existing customer arrangements as well as to transition these customers to fixed-term offerings throughout the fiscal year ended January 30, 2026. As of January 30, 2026, the revolving loan portfolio is no longer a component of the Company’s financing receivables.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Financing Receivables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financing receivables as of the dates indicated:</w:t>
      </w:r>
    </w:p>
    <w:tbl>
      <w:tblPr>
        <w:tblW w:w="7047"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109"/>
        <w:gridCol w:w="322"/>
        <w:gridCol w:w="1101"/>
        <w:gridCol w:w="166"/>
        <w:gridCol w:w="109"/>
        <w:gridCol w:w="109"/>
        <w:gridCol w:w="109"/>
        <w:gridCol w:w="109"/>
        <w:gridCol w:w="109"/>
        <w:gridCol w:w="109"/>
        <w:gridCol w:w="109"/>
        <w:gridCol w:w="317"/>
        <w:gridCol w:w="1086"/>
        <w:gridCol w:w="231"/>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961" w:type="dxa"/>
            <w:gridSpan w:val="6"/>
            <w:tcBorders/>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Financing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receivables, gross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(a)Customer receivables, gross include amounts due from customers under fixed-term leases, fixed-term loans, and accrued interest.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26415"/>
                <wp:effectExtent l="0" t="0" r="0" b="0"/>
                <wp:wrapNone/>
                <wp:docPr id="92" name="Frame9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allowance for financing receivable losses for the periods indicated:</w:t>
      </w:r>
    </w:p>
    <w:tbl>
      <w:tblPr>
        <w:tblW w:w="10205" w:type="dxa"/>
        <w:jc w:val="left"/>
        <w:tblInd w:w="0" w:type="dxa"/>
        <w:tblLayout w:type="fixed"/>
        <w:tblCellMar>
          <w:top w:w="28" w:type="dxa"/>
          <w:left w:w="28" w:type="dxa"/>
          <w:bottom w:w="28" w:type="dxa"/>
          <w:right w:w="28" w:type="dxa"/>
        </w:tblCellMar>
      </w:tblPr>
      <w:tblGrid>
        <w:gridCol w:w="1007"/>
        <w:gridCol w:w="805"/>
        <w:gridCol w:w="731"/>
        <w:gridCol w:w="332"/>
        <w:gridCol w:w="332"/>
        <w:gridCol w:w="332"/>
        <w:gridCol w:w="332"/>
        <w:gridCol w:w="347"/>
        <w:gridCol w:w="109"/>
        <w:gridCol w:w="120"/>
        <w:gridCol w:w="120"/>
        <w:gridCol w:w="365"/>
        <w:gridCol w:w="785"/>
        <w:gridCol w:w="182"/>
        <w:gridCol w:w="120"/>
        <w:gridCol w:w="120"/>
        <w:gridCol w:w="120"/>
        <w:gridCol w:w="120"/>
        <w:gridCol w:w="109"/>
        <w:gridCol w:w="109"/>
        <w:gridCol w:w="109"/>
        <w:gridCol w:w="356"/>
        <w:gridCol w:w="789"/>
        <w:gridCol w:w="187"/>
        <w:gridCol w:w="109"/>
        <w:gridCol w:w="109"/>
        <w:gridCol w:w="109"/>
        <w:gridCol w:w="109"/>
        <w:gridCol w:w="109"/>
        <w:gridCol w:w="109"/>
        <w:gridCol w:w="109"/>
        <w:gridCol w:w="354"/>
        <w:gridCol w:w="782"/>
        <w:gridCol w:w="268"/>
      </w:tblGrid>
      <w:tr>
        <w:trPr/>
        <w:tc>
          <w:tcPr>
            <w:tcW w:w="100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826" w:type="dxa"/>
            <w:gridSpan w:val="16"/>
            <w:tcBorders/>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543" w:type="dxa"/>
            <w:gridSpan w:val="3"/>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608" w:type="dxa"/>
            <w:gridSpan w:val="14"/>
            <w:tcBorders/>
          </w:tcPr>
          <w:p>
            <w:pPr>
              <w:pStyle w:val="TableContents"/>
              <w:bidi w:val="0"/>
              <w:spacing w:before="0" w:after="283"/>
              <w:jc w:val="left"/>
              <w:rPr>
                <w:sz w:val="4"/>
                <w:szCs w:val="4"/>
              </w:rPr>
            </w:pPr>
            <w:r>
              <w:rPr>
                <w:sz w:val="4"/>
                <w:szCs w:val="4"/>
              </w:rPr>
            </w:r>
          </w:p>
        </w:tc>
      </w:tr>
      <w:tr>
        <w:trPr/>
        <w:tc>
          <w:tcPr>
            <w:tcW w:w="4218"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Allowance for financing receivable losses:</w:t>
            </w:r>
          </w:p>
        </w:tc>
        <w:tc>
          <w:tcPr>
            <w:tcW w:w="5987" w:type="dxa"/>
            <w:gridSpan w:val="26"/>
            <w:tcBorders/>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beginning of period</w:t>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net of recoveries</w:t>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charged to income statement</w:t>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w:t>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end of period</w:t>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(a)Other represents the derecognition of the allowance for financing receivable losses related to the sale of the U.S. consumer revolving customer receivables portfolio described in Note 1 of the 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an allowance for financing receivable losses, including both the lease receivable and unguaranteed residual, in an amount equal to the expected losses, net of recoveries. The allowance for financing receivable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The Company continues to monitor broader economic indicators and their potential impact on future credit loss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Aging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aging of the Company’s customer financing receivables, gross, including accrued interest, as of the dates indicated:</w:t>
      </w:r>
    </w:p>
    <w:tbl>
      <w:tblPr>
        <w:tblW w:w="5574" w:type="dxa"/>
        <w:jc w:val="left"/>
        <w:tblInd w:w="0" w:type="dxa"/>
        <w:tblLayout w:type="fixed"/>
        <w:tblCellMar>
          <w:top w:w="28" w:type="dxa"/>
          <w:left w:w="28" w:type="dxa"/>
          <w:bottom w:w="28" w:type="dxa"/>
          <w:right w:w="28" w:type="dxa"/>
        </w:tblCellMar>
      </w:tblPr>
      <w:tblGrid>
        <w:gridCol w:w="731"/>
        <w:gridCol w:w="644"/>
        <w:gridCol w:w="649"/>
        <w:gridCol w:w="322"/>
        <w:gridCol w:w="1101"/>
        <w:gridCol w:w="166"/>
        <w:gridCol w:w="109"/>
        <w:gridCol w:w="109"/>
        <w:gridCol w:w="109"/>
        <w:gridCol w:w="317"/>
        <w:gridCol w:w="1086"/>
        <w:gridCol w:w="231"/>
      </w:tblGrid>
      <w:tr>
        <w:trPr/>
        <w:tc>
          <w:tcPr>
            <w:tcW w:w="73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961" w:type="dxa"/>
            <w:gridSpan w:val="6"/>
            <w:tcBorders/>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0 — 30 Days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Past Due 31 — 90 Days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&gt; 90 Days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Aging is likely to fluctuate as a result of the variability in volume of large transactions entered into over the period, and the administrative processes that accompany those transactions. Aging is also impacted by the timing of the Company’s fiscal period end date relative to calendar month-end customer payment due dates. As a result of these factors, fluctuations in aging from period to period do not necessarily indicate a material change in the collectibility of the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receivables are placed on non-accrual status if principal or interest is past due and considered delinquent, or if there is concern about the collectibility of a specific customer receivable. The receivables identified as doubtful for collectibility may be classified as current for aging purposes.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6415"/>
                <wp:effectExtent l="0" t="0" r="0" b="0"/>
                <wp:wrapNone/>
                <wp:docPr id="93" name="Frame9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Quality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customer receivables, gross, including accrued interest, by credit quality indicator, as of the dates indicated: </w:t>
      </w:r>
    </w:p>
    <w:tbl>
      <w:tblPr>
        <w:tblW w:w="9213" w:type="dxa"/>
        <w:jc w:val="left"/>
        <w:tblInd w:w="0" w:type="dxa"/>
        <w:tblLayout w:type="fixed"/>
        <w:tblCellMar>
          <w:top w:w="28" w:type="dxa"/>
          <w:left w:w="28" w:type="dxa"/>
          <w:bottom w:w="28" w:type="dxa"/>
          <w:right w:w="28" w:type="dxa"/>
        </w:tblCellMar>
      </w:tblPr>
      <w:tblGrid>
        <w:gridCol w:w="245"/>
        <w:gridCol w:w="215"/>
        <w:gridCol w:w="21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344"/>
        <w:gridCol w:w="588"/>
        <w:gridCol w:w="177"/>
        <w:gridCol w:w="109"/>
        <w:gridCol w:w="109"/>
        <w:gridCol w:w="109"/>
        <w:gridCol w:w="211"/>
        <w:gridCol w:w="721"/>
        <w:gridCol w:w="154"/>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213" w:type="dxa"/>
        <w:jc w:val="left"/>
        <w:tblInd w:w="0" w:type="dxa"/>
        <w:tblLayout w:type="fixed"/>
        <w:tblCellMar>
          <w:top w:w="28" w:type="dxa"/>
          <w:left w:w="28" w:type="dxa"/>
          <w:bottom w:w="28" w:type="dxa"/>
          <w:right w:w="28" w:type="dxa"/>
        </w:tblCellMar>
      </w:tblPr>
      <w:tblGrid>
        <w:gridCol w:w="245"/>
        <w:gridCol w:w="215"/>
        <w:gridCol w:w="21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406"/>
        <w:gridCol w:w="493"/>
        <w:gridCol w:w="210"/>
        <w:gridCol w:w="109"/>
        <w:gridCol w:w="109"/>
        <w:gridCol w:w="109"/>
        <w:gridCol w:w="211"/>
        <w:gridCol w:w="721"/>
        <w:gridCol w:w="154"/>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categories shown in the tables above segregate customer receivables, gross, based on the relative degrees of credit risk. Credit quality indicators are updated on a periodic basis. An internal grading system is utilized that assigns a credit level score based on a number of considerations, including liquidity, operating performance, and industry outlook.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amounts included in the Consolidated Statements of Income related to sales-type lease activity for the periods indicated: </w:t>
      </w:r>
    </w:p>
    <w:tbl>
      <w:tblPr>
        <w:tblW w:w="8632" w:type="dxa"/>
        <w:jc w:val="left"/>
        <w:tblInd w:w="0" w:type="dxa"/>
        <w:tblLayout w:type="fixed"/>
        <w:tblCellMar>
          <w:top w:w="28" w:type="dxa"/>
          <w:left w:w="28" w:type="dxa"/>
          <w:bottom w:w="28" w:type="dxa"/>
          <w:right w:w="28" w:type="dxa"/>
        </w:tblCellMar>
      </w:tblPr>
      <w:tblGrid>
        <w:gridCol w:w="993"/>
        <w:gridCol w:w="874"/>
        <w:gridCol w:w="877"/>
        <w:gridCol w:w="109"/>
        <w:gridCol w:w="109"/>
        <w:gridCol w:w="109"/>
        <w:gridCol w:w="109"/>
        <w:gridCol w:w="425"/>
        <w:gridCol w:w="941"/>
        <w:gridCol w:w="223"/>
        <w:gridCol w:w="109"/>
        <w:gridCol w:w="109"/>
        <w:gridCol w:w="109"/>
        <w:gridCol w:w="358"/>
        <w:gridCol w:w="1047"/>
        <w:gridCol w:w="185"/>
        <w:gridCol w:w="109"/>
        <w:gridCol w:w="109"/>
        <w:gridCol w:w="109"/>
        <w:gridCol w:w="348"/>
        <w:gridCol w:w="1017"/>
        <w:gridCol w:w="2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4"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income </w:t>
            </w:r>
            <w:r>
              <w:rPr>
                <w:color w:val="000000"/>
              </w:rPr>
              <w:t xml:space="preserve">— </w:t>
            </w:r>
            <w:r>
              <w:rPr>
                <w:rFonts w:ascii="Times New Roman;serif" w:hAnsi="Times New Roman;serif"/>
                <w:b w:val="false"/>
                <w:color w:val="000000"/>
                <w:sz w:val="20"/>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revenue </w:t>
            </w:r>
            <w:r>
              <w:rPr>
                <w:color w:val="000000"/>
              </w:rPr>
              <w:t xml:space="preserve">— </w:t>
            </w:r>
            <w:r>
              <w:rPr>
                <w:rFonts w:ascii="Times New Roman;serif" w:hAnsi="Times New Roman;serif"/>
                <w:b w:val="false"/>
                <w:color w:val="000000"/>
                <w:sz w:val="20"/>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net revenue </w:t>
            </w:r>
            <w:r>
              <w:rPr>
                <w:color w:val="000000"/>
              </w:rPr>
              <w:t xml:space="preserve">— </w:t>
            </w:r>
            <w:r>
              <w:rPr>
                <w:rFonts w:ascii="Times New Roman;serif" w:hAnsi="Times New Roman;serif"/>
                <w:b w:val="false"/>
                <w:color w:val="000000"/>
                <w:sz w:val="20"/>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margin </w:t>
            </w:r>
            <w:r>
              <w:rPr>
                <w:color w:val="000000"/>
              </w:rPr>
              <w:t xml:space="preserve">— </w:t>
            </w:r>
            <w:r>
              <w:rPr>
                <w:rFonts w:ascii="Times New Roman;serif" w:hAnsi="Times New Roman;serif"/>
                <w:b w:val="false"/>
                <w:color w:val="000000"/>
                <w:sz w:val="20"/>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6415"/>
                <wp:effectExtent l="0" t="0" r="0" b="0"/>
                <wp:wrapNone/>
                <wp:docPr id="94" name="Frame9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future maturity of the Company’s customer leases and associated financing payments, and reconciles the undiscounted cash flows to the customer receivables, gross recognized on the Consolidated Statements of Financial Position as of the date indicated: </w:t>
      </w:r>
    </w:p>
    <w:tbl>
      <w:tblPr>
        <w:tblW w:w="4438" w:type="dxa"/>
        <w:jc w:val="left"/>
        <w:tblInd w:w="0" w:type="dxa"/>
        <w:tblLayout w:type="fixed"/>
        <w:tblCellMar>
          <w:top w:w="28" w:type="dxa"/>
          <w:left w:w="28" w:type="dxa"/>
          <w:bottom w:w="28" w:type="dxa"/>
          <w:right w:w="28" w:type="dxa"/>
        </w:tblCellMar>
      </w:tblPr>
      <w:tblGrid>
        <w:gridCol w:w="1013"/>
        <w:gridCol w:w="890"/>
        <w:gridCol w:w="901"/>
        <w:gridCol w:w="317"/>
        <w:gridCol w:w="1086"/>
        <w:gridCol w:w="231"/>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 and thereafter</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cash flows</w:t>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income</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customer receivables, gross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leases primarily consist of fixed-term leases and contractually committed embedded leases identified within flexible consumption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components of the Company’s operating lease portfolio included in property, plant, and equipment, net as of the dates indicated: </w:t>
      </w:r>
    </w:p>
    <w:tbl>
      <w:tblPr>
        <w:tblW w:w="6865" w:type="dxa"/>
        <w:jc w:val="left"/>
        <w:tblInd w:w="0" w:type="dxa"/>
        <w:tblLayout w:type="fixed"/>
        <w:tblCellMar>
          <w:top w:w="28" w:type="dxa"/>
          <w:left w:w="28" w:type="dxa"/>
          <w:bottom w:w="28" w:type="dxa"/>
          <w:right w:w="28" w:type="dxa"/>
        </w:tblCellMar>
      </w:tblPr>
      <w:tblGrid>
        <w:gridCol w:w="1201"/>
        <w:gridCol w:w="1055"/>
        <w:gridCol w:w="1058"/>
        <w:gridCol w:w="358"/>
        <w:gridCol w:w="1047"/>
        <w:gridCol w:w="185"/>
        <w:gridCol w:w="109"/>
        <w:gridCol w:w="109"/>
        <w:gridCol w:w="109"/>
        <w:gridCol w:w="351"/>
        <w:gridCol w:w="1027"/>
        <w:gridCol w:w="256"/>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under operating lease, gross</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under operating lease,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lease income related to lease payments and depreciation expense for the Company’s operating lease portfolio for the periods indicated:</w:t>
      </w:r>
    </w:p>
    <w:tbl>
      <w:tblPr>
        <w:tblW w:w="8693" w:type="dxa"/>
        <w:jc w:val="left"/>
        <w:tblInd w:w="0" w:type="dxa"/>
        <w:tblLayout w:type="fixed"/>
        <w:tblCellMar>
          <w:top w:w="28" w:type="dxa"/>
          <w:left w:w="28" w:type="dxa"/>
          <w:bottom w:w="28" w:type="dxa"/>
          <w:right w:w="28" w:type="dxa"/>
        </w:tblCellMar>
      </w:tblPr>
      <w:tblGrid>
        <w:gridCol w:w="1015"/>
        <w:gridCol w:w="893"/>
        <w:gridCol w:w="896"/>
        <w:gridCol w:w="109"/>
        <w:gridCol w:w="109"/>
        <w:gridCol w:w="109"/>
        <w:gridCol w:w="109"/>
        <w:gridCol w:w="358"/>
        <w:gridCol w:w="1047"/>
        <w:gridCol w:w="185"/>
        <w:gridCol w:w="109"/>
        <w:gridCol w:w="109"/>
        <w:gridCol w:w="109"/>
        <w:gridCol w:w="358"/>
        <w:gridCol w:w="1047"/>
        <w:gridCol w:w="185"/>
        <w:gridCol w:w="109"/>
        <w:gridCol w:w="109"/>
        <w:gridCol w:w="109"/>
        <w:gridCol w:w="348"/>
        <w:gridCol w:w="1017"/>
        <w:gridCol w:w="25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related to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6415"/>
                <wp:effectExtent l="0" t="0" r="0" b="0"/>
                <wp:wrapNone/>
                <wp:docPr id="95" name="Frame9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future payments to be received by the Company in operating lease contracts as of the date indicated:</w:t>
      </w:r>
    </w:p>
    <w:tbl>
      <w:tblPr>
        <w:tblW w:w="3853" w:type="dxa"/>
        <w:jc w:val="center"/>
        <w:tblInd w:w="0" w:type="dxa"/>
        <w:tblLayout w:type="fixed"/>
        <w:tblCellMar>
          <w:top w:w="28" w:type="dxa"/>
          <w:left w:w="28" w:type="dxa"/>
          <w:bottom w:w="28" w:type="dxa"/>
          <w:right w:w="28" w:type="dxa"/>
        </w:tblCellMar>
      </w:tblPr>
      <w:tblGrid>
        <w:gridCol w:w="801"/>
        <w:gridCol w:w="705"/>
        <w:gridCol w:w="713"/>
        <w:gridCol w:w="351"/>
        <w:gridCol w:w="1027"/>
        <w:gridCol w:w="256"/>
      </w:tblGrid>
      <w:tr>
        <w:trPr/>
        <w:tc>
          <w:tcPr>
            <w:tcW w:w="8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 and thereafter</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DFS Debt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lease and loan payments and associated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DFS debt as of the dates indicated and excludes the allocated portion of the Company’s other borrowings, which represents the additional amount considered to fund the DFS business:</w:t>
      </w:r>
    </w:p>
    <w:tbl>
      <w:tblPr>
        <w:tblW w:w="7661" w:type="dxa"/>
        <w:jc w:val="left"/>
        <w:tblInd w:w="0" w:type="dxa"/>
        <w:tblLayout w:type="fixed"/>
        <w:tblCellMar>
          <w:top w:w="28" w:type="dxa"/>
          <w:left w:w="28" w:type="dxa"/>
          <w:bottom w:w="28" w:type="dxa"/>
          <w:right w:w="28" w:type="dxa"/>
        </w:tblCellMar>
      </w:tblPr>
      <w:tblGrid>
        <w:gridCol w:w="1490"/>
        <w:gridCol w:w="1305"/>
        <w:gridCol w:w="1315"/>
        <w:gridCol w:w="358"/>
        <w:gridCol w:w="1047"/>
        <w:gridCol w:w="185"/>
        <w:gridCol w:w="109"/>
        <w:gridCol w:w="109"/>
        <w:gridCol w:w="109"/>
        <w:gridCol w:w="351"/>
        <w:gridCol w:w="1027"/>
        <w:gridCol w:w="256"/>
      </w:tblGrid>
      <w:tr>
        <w:trPr/>
        <w:tc>
          <w:tcPr>
            <w:tcW w:w="14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DFS debt</w:t>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DFS U.S. debt:</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financing facility</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Fixed-term securitization offerings </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DFS U.S. debt, principal amount</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DFS international debt:</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facility</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Bank senior unsecured eurobonds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DFS international debt, principal amount</w:t>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DFS debt, principal amount</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DFS debt</w:t>
            </w:r>
          </w:p>
        </w:tc>
        <w:tc>
          <w:tcPr>
            <w:tcW w:w="3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DFS debt</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DFS U.S.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Asset-Based Financing Facility </w:t>
      </w:r>
      <w:r>
        <w:rPr>
          <w:color w:val="000000"/>
        </w:rPr>
        <w:t xml:space="preserve">— </w:t>
      </w:r>
      <w:r>
        <w:rPr>
          <w:rFonts w:ascii="Times New Roman;serif" w:hAnsi="Times New Roman;serif"/>
          <w:b w:val="false"/>
          <w:color w:val="000000"/>
          <w:sz w:val="20"/>
        </w:rPr>
        <w:t>The Company maintains an asset-based financing facility in the United States, which is a revolving facility for fixed-term leases and loans. This debt is collateralized solely by the U.S. lease and loan payments and associated equipment in the facility. The asset-based financing facility consists of two tranches, with effective dates through July 7, 2026 and July 7, 2027, respectively. As of January 30, 2026, the total debt capacity related to the asset-based financing facility was $4.6 billion. The debt has a variable interest rate, and the duration of the debt is based on the terms of the underlying lease and loan payment streams. The Company enters into interest rate swap agreements to economically convert a portion of this debt from a floating rate to a fixed rate. See Note 8 of the Notes to the Consolidated Financial Statements for additional information about the Company’s interest rate swaps.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26415"/>
                <wp:effectExtent l="0" t="0" r="0" b="0"/>
                <wp:wrapNone/>
                <wp:docPr id="96" name="Frame9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asset-based financing facility contains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January 30, 2026, these criteria were met.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Fixed-Term Securitization Offerings </w:t>
      </w:r>
      <w:r>
        <w:rPr>
          <w:color w:val="000000"/>
        </w:rPr>
        <w:t xml:space="preserve">— </w:t>
      </w:r>
      <w:r>
        <w:rPr>
          <w:rFonts w:ascii="Times New Roman;serif" w:hAnsi="Times New Roman;serif"/>
          <w:b w:val="false"/>
          <w:color w:val="000000"/>
          <w:sz w:val="20"/>
        </w:rPr>
        <w:t>The Company periodically issues asset-backed debt securities under fixed-term securitization programs to private investors. The asset-backed debt securities are collateralized solely by the U.S. fixed-term lease and loan payments and associated equipment, which are held by Special Purpose Entities (“SPEs”), as discussed below. The interest rate on these securities is fixed and ranges from 4.10% to 6.75% per annum as of January 30, 2026, and the duration of these securities is based on the terms of the underlying lease and loan payment streams.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DFS International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Securitization Facility </w:t>
      </w:r>
      <w:r>
        <w:rPr>
          <w:color w:val="000000"/>
        </w:rPr>
        <w:t xml:space="preserve">— </w:t>
      </w:r>
      <w:r>
        <w:rPr>
          <w:rFonts w:ascii="Times New Roman;serif" w:hAnsi="Times New Roman;serif"/>
          <w:b w:val="false"/>
          <w:color w:val="000000"/>
          <w:sz w:val="20"/>
        </w:rPr>
        <w:t xml:space="preserve">The Company maintains a securitization facility in Europe for fixed-term leases and loans. The debt under this facility has a variable interest rate, and the duration of the debt is based on the terms of the underlying lease and loan payment streams. This facility is effective through December 22, 2026 and had a total debt capacity of $958 million as of January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January 30, 2026, these criteria were met.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Other Borrowings </w:t>
      </w:r>
      <w:r>
        <w:rPr>
          <w:color w:val="000000"/>
        </w:rPr>
        <w:t xml:space="preserve">— </w:t>
      </w:r>
      <w:r>
        <w:rPr>
          <w:rFonts w:ascii="Times New Roman;serif" w:hAnsi="Times New Roman;serif"/>
          <w:b w:val="false"/>
          <w:color w:val="000000"/>
          <w:sz w:val="20"/>
        </w:rPr>
        <w:t xml:space="preserve">In connection with the Company’s international financing operations, the Company has entered into revolving structured financing debt programs related to its fixed-term lease and loan products sold in Canada, Europe, Australia and New Zealand, the Middle East, and Singapore. The debt under these programs has a variable interest rate.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duration of the debt in Canada, Europe, Australia and New Zealand, and the Middle East is based on the terms of the underlying lease and loan payment streams. These facilities are collateralized solely by the lease and loan payments and associated equipment in their respective region or country. The Canadian facility had a total debt capacity of $259 million as of January 30, 2026 and is effective through January 15, 2028. The European facility had a total debt capacity of</w:t>
      </w:r>
      <w:r>
        <w:rPr>
          <w:color w:val="000000"/>
          <w:shd w:fill="FFFFFF" w:val="clear"/>
        </w:rPr>
        <w:t xml:space="preserve"> </w:t>
      </w:r>
      <w:r>
        <w:rPr>
          <w:rFonts w:ascii="Times New Roman;serif" w:hAnsi="Times New Roman;serif"/>
          <w:b w:val="false"/>
          <w:color w:val="000000"/>
          <w:sz w:val="20"/>
        </w:rPr>
        <w:t xml:space="preserve">$479 million as of January 30, 2026 and is effective through December 14, 2026. The Australia and New Zealand facility had a total debt capacity of $300 million as of January 30, 2026 and is effective through April 17, 2027. The Middle East facility had a total debt capacity of $150 million as of January 30, 2026 and is effective through March 14, 2027.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has two unsecured Singapore facilities, which had a total debt capacity of $261 million as of January 30, 2026 and are effective through July 3, 2026 and July 3, 2027,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Dell Bank Senior Unsecured Eurobonds </w:t>
      </w:r>
      <w:r>
        <w:rPr>
          <w:color w:val="000000"/>
        </w:rPr>
        <w:t xml:space="preserve">— </w:t>
      </w:r>
      <w:r>
        <w:rPr>
          <w:rFonts w:ascii="Times New Roman;serif" w:hAnsi="Times New Roman;serif"/>
          <w:b w:val="false"/>
          <w:color w:val="000000"/>
          <w:sz w:val="20"/>
        </w:rPr>
        <w:t xml:space="preserve">On October 27, 2021, Dell Bank issued 500 million Euro of 0.5% senior unsecured five-year eurobonds due October 2026. On October 18, 2022, Dell Bank issued 500 million Euro of 4.5% senior unsecured five-year eurobonds due October 2027. On June 13, 2024, Dell Bank issued 500 million Euro of 3.6% senior unsecured five-year eurobonds due June 2029. The issuances of the senior unsecured eurobonds support the expansion of the financing operations in Europe.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6415"/>
                <wp:effectExtent l="0" t="0" r="0" b="0"/>
                <wp:wrapNone/>
                <wp:docPr id="97" name="Frame9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Variable Interest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asset-based financing facility, fixed-term securitization offerings, and securitization facility discussed above, the Company transfers certain U.S. and European lease and loan payments and associated equipment to SPEs that meet the definition of a VIE and are consolidated, along with the associated debt described above, into the Consolidated Financial Statements, as the Company is the primary beneficiary of the VIEs. The SPEs are bankruptcy-remote legal entities with separate assets and liabilities. The purpose of the SPEs is to facilitate the funding of customer lease and loan payments and associated equipment in the capital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of the SPEs have entered into financing arrangements with multi-seller conduits that, in turn, issue asset-backed debt securities in the capital markets. DFS debt outstanding held by the consolidated VIEs is collateralized by the lease and loan payments and associated equipment.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offerings in the form of over-collateralization.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assets and liabilities held by the consolidated VIEs as of the dates indicated, which are included in the Consolidated Statements of Financial Position:</w:t>
      </w:r>
    </w:p>
    <w:tbl>
      <w:tblPr>
        <w:tblW w:w="7271" w:type="dxa"/>
        <w:jc w:val="center"/>
        <w:tblInd w:w="0" w:type="dxa"/>
        <w:tblLayout w:type="fixed"/>
        <w:tblCellMar>
          <w:top w:w="28" w:type="dxa"/>
          <w:left w:w="28" w:type="dxa"/>
          <w:bottom w:w="28" w:type="dxa"/>
          <w:right w:w="28" w:type="dxa"/>
        </w:tblCellMar>
      </w:tblPr>
      <w:tblGrid>
        <w:gridCol w:w="1349"/>
        <w:gridCol w:w="1183"/>
        <w:gridCol w:w="1188"/>
        <w:gridCol w:w="358"/>
        <w:gridCol w:w="1047"/>
        <w:gridCol w:w="185"/>
        <w:gridCol w:w="109"/>
        <w:gridCol w:w="109"/>
        <w:gridCol w:w="109"/>
        <w:gridCol w:w="351"/>
        <w:gridCol w:w="1027"/>
        <w:gridCol w:w="256"/>
      </w:tblGrid>
      <w:tr>
        <w:trPr/>
        <w:tc>
          <w:tcPr>
            <w:tcW w:w="134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held by consolidated VIEs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net of allowance</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held by consolidated VIEs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and loan payments and associated equipment transferred via securitization through SPEs were $4.2 billion and $3.6 billion for the fiscal years ended January 30, 2026, and January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Customer Receivables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manage certain concentrations of customer credit exposure, the Company may sell selected fixed-term customer receivables to unrelated third parties on a periodic basis, without recourse. The amounts of customer receivables sold for this purpose were immaterial for the fiscal years ended January 30, 2026, January 31, 2025, and February 2, 2024. The Company’s continuing involvement in these customer receivables is primarily limited to servicing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26415"/>
                <wp:effectExtent l="0" t="0" r="0" b="0"/>
                <wp:wrapNone/>
                <wp:docPr id="98" name="Frame9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6 — LEASES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enters into leasing transactions in which the Company is the lessee. These lease contracts are typically classified as operating leases. The Company’s lease contracts are generally for office space used to conduct its business, and the determination of whether such contracts contain leases generally does not require significant estimates or judgments. The Company also leases certain property, equipment, and warehouses. As of January 30, 2026, the remaining terms of the Company’s leases generally range from one month to approximately ten years. As of January 30, 2026 and January 31, 2025, there were no material finance leases in which the Company was a lessee.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enters into leasing transactions in which the Company is the lessor, primarily through customer financing arrangements offered under DFS. DFS originates leases that are primarily classified as either sales-type leases or operating leases. See Note 5 of the Notes to the Consolidated Financial Statements for more information about the Company’s lessor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lease costs included in the Consolidated Statements of Income for the periods indicated:</w:t>
      </w:r>
    </w:p>
    <w:tbl>
      <w:tblPr>
        <w:tblW w:w="7717"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425"/>
        <w:gridCol w:w="941"/>
        <w:gridCol w:w="223"/>
        <w:gridCol w:w="109"/>
        <w:gridCol w:w="109"/>
        <w:gridCol w:w="109"/>
        <w:gridCol w:w="425"/>
        <w:gridCol w:w="941"/>
        <w:gridCol w:w="223"/>
        <w:gridCol w:w="109"/>
        <w:gridCol w:w="109"/>
        <w:gridCol w:w="109"/>
        <w:gridCol w:w="411"/>
        <w:gridCol w:w="907"/>
        <w:gridCol w:w="301"/>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years ended January 30, 2026, January 31, 2025, and February 2, 2024, sublease income, finance lease costs, and short-term lease costs were immaterial.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related to operating leases included in the Consolidated Statements of Financial Position as of the dates indicated:</w:t>
      </w:r>
    </w:p>
    <w:tbl>
      <w:tblPr>
        <w:tblW w:w="10205" w:type="dxa"/>
        <w:jc w:val="center"/>
        <w:tblInd w:w="0" w:type="dxa"/>
        <w:tblLayout w:type="fixed"/>
        <w:tblCellMar>
          <w:top w:w="28" w:type="dxa"/>
          <w:left w:w="28" w:type="dxa"/>
          <w:bottom w:w="28" w:type="dxa"/>
          <w:right w:w="28" w:type="dxa"/>
        </w:tblCellMar>
      </w:tblPr>
      <w:tblGrid>
        <w:gridCol w:w="1362"/>
        <w:gridCol w:w="1087"/>
        <w:gridCol w:w="1093"/>
        <w:gridCol w:w="873"/>
        <w:gridCol w:w="873"/>
        <w:gridCol w:w="875"/>
        <w:gridCol w:w="109"/>
        <w:gridCol w:w="109"/>
        <w:gridCol w:w="109"/>
        <w:gridCol w:w="561"/>
        <w:gridCol w:w="282"/>
        <w:gridCol w:w="706"/>
        <w:gridCol w:w="116"/>
        <w:gridCol w:w="116"/>
        <w:gridCol w:w="116"/>
        <w:gridCol w:w="561"/>
        <w:gridCol w:w="282"/>
        <w:gridCol w:w="706"/>
        <w:gridCol w:w="109"/>
        <w:gridCol w:w="160"/>
      </w:tblGrid>
      <w:tr>
        <w:trPr/>
        <w:tc>
          <w:tcPr>
            <w:tcW w:w="136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for term and discount rate)</w:t>
            </w:r>
          </w:p>
        </w:tc>
        <w:tc>
          <w:tcPr>
            <w:tcW w:w="269" w:type="dxa"/>
            <w:gridSpan w:val="2"/>
            <w:tcBorders/>
          </w:tcPr>
          <w:p>
            <w:pPr>
              <w:pStyle w:val="TableContents"/>
              <w:bidi w:val="0"/>
              <w:spacing w:before="0" w:after="283"/>
              <w:jc w:val="left"/>
              <w:rPr>
                <w:sz w:val="4"/>
                <w:szCs w:val="4"/>
              </w:rPr>
            </w:pPr>
            <w:r>
              <w:rPr>
                <w:sz w:val="4"/>
                <w:szCs w:val="4"/>
              </w:rPr>
            </w:r>
          </w:p>
        </w:tc>
      </w:tr>
      <w:tr>
        <w:trPr/>
        <w:tc>
          <w:tcPr>
            <w:tcW w:w="3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26415"/>
                <wp:effectExtent l="0" t="0" r="0" b="0"/>
                <wp:wrapNone/>
                <wp:docPr id="99" name="Frame9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leases for the periods indicated:</w:t>
      </w:r>
    </w:p>
    <w:tbl>
      <w:tblPr>
        <w:tblW w:w="10205" w:type="dxa"/>
        <w:jc w:val="left"/>
        <w:tblInd w:w="0" w:type="dxa"/>
        <w:tblLayout w:type="fixed"/>
        <w:tblCellMar>
          <w:top w:w="28" w:type="dxa"/>
          <w:left w:w="28" w:type="dxa"/>
          <w:bottom w:w="28" w:type="dxa"/>
          <w:right w:w="28" w:type="dxa"/>
        </w:tblCellMar>
      </w:tblPr>
      <w:tblGrid>
        <w:gridCol w:w="2093"/>
        <w:gridCol w:w="1835"/>
        <w:gridCol w:w="1845"/>
        <w:gridCol w:w="329"/>
        <w:gridCol w:w="729"/>
        <w:gridCol w:w="173"/>
        <w:gridCol w:w="109"/>
        <w:gridCol w:w="109"/>
        <w:gridCol w:w="109"/>
        <w:gridCol w:w="329"/>
        <w:gridCol w:w="729"/>
        <w:gridCol w:w="173"/>
        <w:gridCol w:w="109"/>
        <w:gridCol w:w="109"/>
        <w:gridCol w:w="109"/>
        <w:gridCol w:w="333"/>
        <w:gridCol w:w="734"/>
        <w:gridCol w:w="249"/>
      </w:tblGrid>
      <w:tr>
        <w:trPr/>
        <w:tc>
          <w:tcPr>
            <w:tcW w:w="209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 — operating cash outflows from operating leases</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future maturity of the Company’s operating lease liabilities under non-cancelable leases and reconciles the undiscounted cash flows for these leases to the lease liability recognized on the Consolidated Statements of Financial Position as of the date indicated: </w:t>
      </w:r>
    </w:p>
    <w:tbl>
      <w:tblPr>
        <w:tblW w:w="4830" w:type="dxa"/>
        <w:jc w:val="center"/>
        <w:tblInd w:w="0" w:type="dxa"/>
        <w:tblLayout w:type="fixed"/>
        <w:tblCellMar>
          <w:top w:w="28" w:type="dxa"/>
          <w:left w:w="28" w:type="dxa"/>
          <w:bottom w:w="28" w:type="dxa"/>
          <w:right w:w="28" w:type="dxa"/>
        </w:tblCellMar>
      </w:tblPr>
      <w:tblGrid>
        <w:gridCol w:w="1153"/>
        <w:gridCol w:w="1015"/>
        <w:gridCol w:w="1027"/>
        <w:gridCol w:w="415"/>
        <w:gridCol w:w="916"/>
        <w:gridCol w:w="304"/>
      </w:tblGrid>
      <w:tr>
        <w:trPr/>
        <w:tc>
          <w:tcPr>
            <w:tcW w:w="115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4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the Company’s undiscounted operating leases that had not yet commenced were immaterial.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26415"/>
                <wp:effectExtent l="0" t="0" r="0" b="0"/>
                <wp:wrapNone/>
                <wp:docPr id="100" name="Frame9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DEBT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debt as of the dates indicated:</w:t>
      </w:r>
    </w:p>
    <w:tbl>
      <w:tblPr>
        <w:tblW w:w="7855" w:type="dxa"/>
        <w:jc w:val="left"/>
        <w:tblInd w:w="0" w:type="dxa"/>
        <w:tblLayout w:type="fixed"/>
        <w:tblCellMar>
          <w:top w:w="28" w:type="dxa"/>
          <w:left w:w="28" w:type="dxa"/>
          <w:bottom w:w="28" w:type="dxa"/>
          <w:right w:w="28" w:type="dxa"/>
        </w:tblCellMar>
      </w:tblPr>
      <w:tblGrid>
        <w:gridCol w:w="1560"/>
        <w:gridCol w:w="1366"/>
        <w:gridCol w:w="1379"/>
        <w:gridCol w:w="322"/>
        <w:gridCol w:w="1101"/>
        <w:gridCol w:w="166"/>
        <w:gridCol w:w="109"/>
        <w:gridCol w:w="109"/>
        <w:gridCol w:w="109"/>
        <w:gridCol w:w="317"/>
        <w:gridCol w:w="1086"/>
        <w:gridCol w:w="231"/>
      </w:tblGrid>
      <w:tr>
        <w:trPr/>
        <w:tc>
          <w:tcPr>
            <w:tcW w:w="15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Notes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DFS Debt (Note 5)</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 principal amount</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net of unamortized premium</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 carrying value</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 carrying value</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carrying value</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following transactions during the fiscal year ended January 30, 2026: </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issuance on April 1, 2025 of $1.0 billion principal amount of 4.75% Senior Notes due April 2028, $1.0 billion principal amount of 5.00% Senior Notes due April 2030, $1.0 billion principal amount of 5.30% Senior Notes due April 2032, and $1.0 billion principal amount of 5.50% Senior Notes due April 2035, the proceeds of which were utilized for general corporate purposes;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issuance on October 6, 2025 of $0.75 billion principal amount of 4.15% Senior Notes due February 2029, $1.25 billion principal amount of 4.50% Senior Notes due February 2031, $1.25 billion principal amount of 4.75% Senior Notes due October 2032, and $1.25 billion principal amount of 5.10% Senior Notes due February 2036, the proceeds of which were utilized for general corporate purposes and to prepay a portion of the outstanding 6.02% Senior Notes due June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the close of the fiscal year ended January 30, 2026, the Company repaid the remaining outstanding $0.5 billion principal amount of 6.02% Senior Notes due June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Senior Notes </w:t>
      </w:r>
      <w:r>
        <w:rPr>
          <w:color w:val="000000"/>
        </w:rPr>
        <w:t xml:space="preserve">— </w:t>
      </w:r>
      <w:r>
        <w:rPr>
          <w:rFonts w:ascii="Times New Roman;serif" w:hAnsi="Times New Roman;serif"/>
          <w:b w:val="false"/>
          <w:color w:val="000000"/>
          <w:sz w:val="20"/>
        </w:rPr>
        <w:t>The Company completed offerings of multiple series of senior notes which were issued on June 1, 2016, June 22, 2016, March 20, 2019, April 9, 2020, December 13, 2021, January 24, 2023, March 18, 2024, October 8, 2024, April 1, 2025, and October 6, 2025 in aggregate principal amounts of $20.0 billion, $3.3 billion, $4.5 billion, $2.3 billion, $2.3 billion, $2.0 billion, $1.0 billion, $1.5 billion, $4.0 billion, and $4.5 billion, respectively (collectively, the “Senior Notes”). The Senior Notes have maturity dates ranging from 2026 through 2051. Interest rates on these borrowings are fixed, ranging from 3.38% to 8.35% per annum, and interest is payable semiannually.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Legacy Notes</w:t>
      </w:r>
      <w:r>
        <w:rPr>
          <w:color w:val="000000"/>
        </w:rPr>
        <w:t xml:space="preserve"> — </w:t>
      </w:r>
      <w:r>
        <w:rPr>
          <w:rFonts w:ascii="Times New Roman;serif" w:hAnsi="Times New Roman;serif"/>
          <w:b w:val="false"/>
          <w:color w:val="000000"/>
          <w:sz w:val="20"/>
        </w:rPr>
        <w:t>The Company has outstanding unsecured notes and debentures (collectively, the “Legacy Notes”) that were issued by Dell Inc. (“Dell”), a wholly-owned subsidiary of Dell Technologies Inc., prior to the acquisition of Dell by Dell Technologies Inc. in the going-private transaction that closed in October 2013. The Legacy Notes’ maturities range from 2028 through 2040. Interest rates on these borrowings are fixed, ranging from 5.40% to 7.10% per annum, and interest is payable semiannually.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DFS Debt</w:t>
      </w:r>
      <w:r>
        <w:rPr>
          <w:color w:val="000000"/>
        </w:rPr>
        <w:t xml:space="preserve"> — </w:t>
      </w:r>
      <w:r>
        <w:rPr>
          <w:rFonts w:ascii="Times New Roman;serif" w:hAnsi="Times New Roman;serif"/>
          <w:b w:val="false"/>
          <w:color w:val="000000"/>
          <w:sz w:val="20"/>
        </w:rPr>
        <w:t>See Note 5 and Note 8 of the Notes to the Consolidated Financial Statements, respectively, for discussion of DFS debt and the interest rate swap agreements that hedge a portion of that debt.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26415"/>
                <wp:effectExtent l="0" t="0" r="0" b="0"/>
                <wp:wrapNone/>
                <wp:docPr id="101" name="Frame10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Revolving Credit Facility</w:t>
      </w:r>
      <w:r>
        <w:rPr>
          <w:color w:val="000000"/>
        </w:rPr>
        <w:t xml:space="preserve"> — </w:t>
      </w:r>
      <w:r>
        <w:rPr>
          <w:rFonts w:ascii="Times New Roman;serif" w:hAnsi="Times New Roman;serif"/>
          <w:b w:val="false"/>
          <w:color w:val="000000"/>
          <w:sz w:val="20"/>
        </w:rPr>
        <w:t>The Company’s revolving credit facility provides the Company with revolving commitments in an aggregate principal amount of $6.0 billion for general corporate purposes and includes a letter of credit sub-facility of up to $0.5 billion and a swing-line loan sub-facility of up to $0.5 billion. The revolving credit facility allows the Company to obtain incremental additional commitments on one or more occasions in minimum amounts of $10 million. The facility also acts as a backstop to provide liquidity support for the Company’s commercial paper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revolving credit facility bear interest at a rate per annum equal to an applicable margin plus, at the borrowers’ option, either (a) the specified adjusted term Secured Overnight Financing Rate (“SOFR”) or (b) a base rate. The margin applicable to SOFR and base rate borrowings varies based upon the Company’s existing credit ratings. The base rate is calculated based upon the greatest of the specified prime rate, the specified federal reserve bank rate, or SOFR plus 1%. The borrowers may voluntarily repay outstanding loans at any time without premium or penalty, other than customary breakage costs. The facility matures on November 1, 2027.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the Company had no outstanding borrowings under the revolving credit facility.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Commercial Paper Program</w:t>
      </w:r>
      <w:r>
        <w:rPr>
          <w:color w:val="000000"/>
        </w:rPr>
        <w:t xml:space="preserve"> — </w:t>
      </w:r>
      <w:r>
        <w:rPr>
          <w:rFonts w:ascii="Times New Roman;serif" w:hAnsi="Times New Roman;serif"/>
          <w:b w:val="false"/>
          <w:color w:val="000000"/>
          <w:sz w:val="20"/>
        </w:rPr>
        <w:t>The Company maintains a commercial paper program under which the Company may issue unsecured notes in a maximum aggregate face amount of $5.0 billion outstanding at any time, with maturities of up to 397 days from the date of issuance. The notes are sold on customary terms in the U.S. commercial paper market on a private placement basis. The proceeds of the notes are used for general corporate purposes. As of January 30, 2026, the Company had no outstanding issuances under the commercial paper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may purchase, redeem, prepay, refinance, or otherwise retire any amount of outstanding indebtedness under the terms of such indebtedness at any time and from time to time, in open market or negotiated transactions with the holders of such indebtedness or otherwise, as considered appropriate in light of market conditions and other relevant factors.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Covenants</w:t>
      </w:r>
      <w:r>
        <w:rPr>
          <w:color w:val="000000"/>
        </w:rPr>
        <w:t xml:space="preserve"> — </w:t>
      </w:r>
      <w:r>
        <w:rPr>
          <w:rFonts w:ascii="Times New Roman;serif" w:hAnsi="Times New Roman;serif"/>
          <w:b w:val="false"/>
          <w:color w:val="000000"/>
          <w:sz w:val="20"/>
        </w:rPr>
        <w:t>The credit agreement governing the revolving credit facility and the indentures governing the Senior Notes and the Legacy Notes impose various limitations, subject to exceptions, on creating certain liens and entering into sale and lease-back transactions. The foregoing credit agreement and indentures contain customary events of default, and the revolving credit facility is subject to an interest coverage ratio covenant that is tested at the end of each fiscal quarter with respect to the Company’s preceding four fiscal quarters. The Company was in compliance with this financial covenant as of January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Aggregate Future Maturities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future maturities of the Company’s debt as of January 30, 2026, excluding associated carrying value adjustments, for the periods indicated:</w:t>
      </w:r>
    </w:p>
    <w:tbl>
      <w:tblPr>
        <w:tblW w:w="4528" w:type="dxa"/>
        <w:jc w:val="left"/>
        <w:tblInd w:w="0" w:type="dxa"/>
        <w:tblLayout w:type="fixed"/>
        <w:tblCellMar>
          <w:top w:w="28" w:type="dxa"/>
          <w:left w:w="28" w:type="dxa"/>
          <w:bottom w:w="28" w:type="dxa"/>
          <w:right w:w="28" w:type="dxa"/>
        </w:tblCellMar>
      </w:tblPr>
      <w:tblGrid>
        <w:gridCol w:w="1045"/>
        <w:gridCol w:w="919"/>
        <w:gridCol w:w="930"/>
        <w:gridCol w:w="317"/>
        <w:gridCol w:w="1086"/>
        <w:gridCol w:w="231"/>
      </w:tblGrid>
      <w:tr>
        <w:trPr/>
        <w:tc>
          <w:tcPr>
            <w:tcW w:w="104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 principal amount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6415"/>
                <wp:effectExtent l="0" t="0" r="0" b="0"/>
                <wp:wrapNone/>
                <wp:docPr id="102" name="Frame10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 DERIVATIVE INSTRUMENTS AND HEDGING ACTIVITIES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its risk management strategy, the Company uses derivative instruments, primarily foreign currency forward and option contracts and interest rate swaps, to hedge certain foreign currency and interest rate exposures,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line items on the Consolidated Statements of Income as the earnings effects of the hedged items. For derivatives designated as cash flow hedges, the Company assesses hedge effectiveness both at the onset of the hedge and at regular intervals throughout the life of the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Exchange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fiscal years ended January 30, 2026, January 31, 2025, and February 2, 2024 the Company did not discontinue any cash flow hedges related to foreign exchange contracts that had a material impact on the Company’s results of operations due to the probability that the forecasted cash flows would not occur.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DFS operations in Europe, forward contracts are used to hedge financing receivables denominated in foreign currencies other than Euro. These contracts are not designated for hedge accounting and most expire within three years or less.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four years or less.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 are utilized to manage the interest rate risk, at a portfolio level, associated with DFS operations in Europe. The interest rate swaps economically convert the fixed rate on financing receivables to a one-month or three-month Euribor floating rate in order to match the floating rate nature of the banks’ funding pool. The Company also uses interest rate swaps to manage the cash flows related to interest payments on Dell Bank senior unsecured eurobonds. The interest rate swaps economically convert the fixed rate on the eurobonds to a floating rate to match the underlying lease repayments profile. These contracts are not designated for hedge accounting and most expire within five years or less. See Note 5 of the Notes to the Consolidated Financial Statements for more information about the senior unsecured eurobonds.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D0D0D"/>
          <w:sz w:val="20"/>
        </w:rPr>
        <w:t xml:space="preserve">The Company utilizes cross-currency amortizing swaps to hedge the currency and interest rate risk exposure associated with the European securitization program. The cross-currency swaps combine a Euro-based interest rate swap with a British Pound or U.S. Dollar foreign exchange forward contract in which the Company pays a fixed or floating British Pound or U.S. Dollar amount and receives a fixed or floating amount in Euros linked to the one-month Euribor rate. The notional value of the swaps amortizes in line with the expected cash flows and runoff of the securitized assets. The swaps are not designated for hedge accounting and expire within </w:t>
      </w:r>
      <w:r>
        <w:rPr>
          <w:rFonts w:ascii="Times New Roman;serif" w:hAnsi="Times New Roman;serif"/>
          <w:b w:val="false"/>
          <w:color w:val="000000"/>
          <w:sz w:val="20"/>
        </w:rPr>
        <w:t>five years</w:t>
      </w:r>
      <w:r>
        <w:rPr>
          <w:color w:val="0D0D0D"/>
        </w:rPr>
        <w:t xml:space="preserve"> </w:t>
      </w:r>
      <w:r>
        <w:rPr>
          <w:rFonts w:ascii="Times New Roman;serif" w:hAnsi="Times New Roman;serif"/>
          <w:b w:val="false"/>
          <w:color w:val="0D0D0D"/>
          <w:sz w:val="20"/>
        </w:rPr>
        <w:t>or less.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6415"/>
                <wp:effectExtent l="0" t="0" r="0" b="0"/>
                <wp:wrapNone/>
                <wp:docPr id="103" name="Frame10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notional amounts of outstanding derivative instruments as of the dates indicated:</w:t>
      </w:r>
    </w:p>
    <w:tbl>
      <w:tblPr>
        <w:tblW w:w="7315" w:type="dxa"/>
        <w:jc w:val="center"/>
        <w:tblInd w:w="0" w:type="dxa"/>
        <w:tblLayout w:type="fixed"/>
        <w:tblCellMar>
          <w:top w:w="28" w:type="dxa"/>
          <w:left w:w="28" w:type="dxa"/>
          <w:bottom w:w="28" w:type="dxa"/>
          <w:right w:w="28" w:type="dxa"/>
        </w:tblCellMar>
      </w:tblPr>
      <w:tblGrid>
        <w:gridCol w:w="1362"/>
        <w:gridCol w:w="1199"/>
        <w:gridCol w:w="1204"/>
        <w:gridCol w:w="322"/>
        <w:gridCol w:w="1101"/>
        <w:gridCol w:w="166"/>
        <w:gridCol w:w="109"/>
        <w:gridCol w:w="109"/>
        <w:gridCol w:w="109"/>
        <w:gridCol w:w="317"/>
        <w:gridCol w:w="1086"/>
        <w:gridCol w:w="231"/>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as cash flow hedging instruments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as hedging instruments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contracts:</w:t>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as hedging instruments</w:t>
            </w:r>
          </w:p>
        </w:tc>
        <w:tc>
          <w:tcPr>
            <w:tcW w:w="3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derivative instruments designated as cash flow hedging instruments on the Consolidated Statements of Financial Position and the Consolidated Statements of Income for the periods indicated:</w:t>
      </w:r>
    </w:p>
    <w:tbl>
      <w:tblPr>
        <w:tblW w:w="10205" w:type="dxa"/>
        <w:jc w:val="left"/>
        <w:tblInd w:w="0" w:type="dxa"/>
        <w:tblLayout w:type="fixed"/>
        <w:tblCellMar>
          <w:top w:w="28" w:type="dxa"/>
          <w:left w:w="28" w:type="dxa"/>
          <w:bottom w:w="28" w:type="dxa"/>
          <w:right w:w="28" w:type="dxa"/>
        </w:tblCellMar>
      </w:tblPr>
      <w:tblGrid>
        <w:gridCol w:w="725"/>
        <w:gridCol w:w="636"/>
        <w:gridCol w:w="639"/>
        <w:gridCol w:w="109"/>
        <w:gridCol w:w="109"/>
        <w:gridCol w:w="109"/>
        <w:gridCol w:w="649"/>
        <w:gridCol w:w="1482"/>
        <w:gridCol w:w="336"/>
        <w:gridCol w:w="109"/>
        <w:gridCol w:w="109"/>
        <w:gridCol w:w="109"/>
        <w:gridCol w:w="827"/>
        <w:gridCol w:w="827"/>
        <w:gridCol w:w="829"/>
        <w:gridCol w:w="109"/>
        <w:gridCol w:w="109"/>
        <w:gridCol w:w="109"/>
        <w:gridCol w:w="565"/>
        <w:gridCol w:w="1289"/>
        <w:gridCol w:w="420"/>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 (Loss) Recognized in Accumulated OCI,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Gain (Loss) Reclassified from Accumulated 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 (Loss) Reclassified from Accumulated OCI into Income</w:t>
            </w:r>
          </w:p>
        </w:tc>
      </w:tr>
      <w:tr>
        <w:trPr/>
        <w:tc>
          <w:tcPr>
            <w:tcW w:w="2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8205" w:type="dxa"/>
            <w:gridSpan w:val="18"/>
            <w:tcBorders/>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8205" w:type="dxa"/>
            <w:gridSpan w:val="18"/>
            <w:tcBorders/>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For the fiscal year ended January 30, 2026:</w:t>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For the fiscal year ended January 31, 2025:</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For the fiscal year ended February 2, 2024:</w:t>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8205" w:type="dxa"/>
            <w:gridSpan w:val="18"/>
            <w:tcBorders/>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8205" w:type="dxa"/>
            <w:gridSpan w:val="18"/>
            <w:tcBorders/>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8205" w:type="dxa"/>
            <w:gridSpan w:val="18"/>
            <w:tcBorders/>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6415"/>
                <wp:effectExtent l="0" t="0" r="0" b="0"/>
                <wp:wrapNone/>
                <wp:docPr id="104" name="Frame10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derivative instruments not designated as hedging instruments on the Consolidated Statements of Income for the periods indicated:</w:t>
      </w:r>
    </w:p>
    <w:tbl>
      <w:tblPr>
        <w:tblW w:w="10205" w:type="dxa"/>
        <w:jc w:val="center"/>
        <w:tblInd w:w="0" w:type="dxa"/>
        <w:tblLayout w:type="fixed"/>
        <w:tblCellMar>
          <w:top w:w="28" w:type="dxa"/>
          <w:left w:w="28" w:type="dxa"/>
          <w:bottom w:w="28" w:type="dxa"/>
          <w:right w:w="28" w:type="dxa"/>
        </w:tblCellMar>
      </w:tblPr>
      <w:tblGrid>
        <w:gridCol w:w="719"/>
        <w:gridCol w:w="633"/>
        <w:gridCol w:w="635"/>
        <w:gridCol w:w="109"/>
        <w:gridCol w:w="109"/>
        <w:gridCol w:w="109"/>
        <w:gridCol w:w="109"/>
        <w:gridCol w:w="373"/>
        <w:gridCol w:w="827"/>
        <w:gridCol w:w="196"/>
        <w:gridCol w:w="109"/>
        <w:gridCol w:w="109"/>
        <w:gridCol w:w="109"/>
        <w:gridCol w:w="344"/>
        <w:gridCol w:w="874"/>
        <w:gridCol w:w="177"/>
        <w:gridCol w:w="109"/>
        <w:gridCol w:w="109"/>
        <w:gridCol w:w="109"/>
        <w:gridCol w:w="425"/>
        <w:gridCol w:w="759"/>
        <w:gridCol w:w="222"/>
        <w:gridCol w:w="109"/>
        <w:gridCol w:w="109"/>
        <w:gridCol w:w="109"/>
        <w:gridCol w:w="760"/>
        <w:gridCol w:w="760"/>
        <w:gridCol w:w="1084"/>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6"/>
            <w:tcBorders/>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Gain (Loss) Recognized</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4"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presents its derivative instruments on a net basis in the Consolidated Statements of Financial Position due to the right of offset by its counterparties under master netting arrangements. The following tables present the fair value of those derivative instruments presented on a gross basis as of the dates indicated:</w:t>
      </w:r>
    </w:p>
    <w:tbl>
      <w:tblPr>
        <w:tblW w:w="10205" w:type="dxa"/>
        <w:jc w:val="left"/>
        <w:tblInd w:w="0" w:type="dxa"/>
        <w:tblLayout w:type="fixed"/>
        <w:tblCellMar>
          <w:top w:w="28" w:type="dxa"/>
          <w:left w:w="28" w:type="dxa"/>
          <w:bottom w:w="28" w:type="dxa"/>
          <w:right w:w="28" w:type="dxa"/>
        </w:tblCellMar>
      </w:tblPr>
      <w:tblGrid>
        <w:gridCol w:w="835"/>
        <w:gridCol w:w="636"/>
        <w:gridCol w:w="639"/>
        <w:gridCol w:w="305"/>
        <w:gridCol w:w="674"/>
        <w:gridCol w:w="157"/>
        <w:gridCol w:w="109"/>
        <w:gridCol w:w="109"/>
        <w:gridCol w:w="109"/>
        <w:gridCol w:w="446"/>
        <w:gridCol w:w="860"/>
        <w:gridCol w:w="232"/>
        <w:gridCol w:w="109"/>
        <w:gridCol w:w="109"/>
        <w:gridCol w:w="109"/>
        <w:gridCol w:w="417"/>
        <w:gridCol w:w="746"/>
        <w:gridCol w:w="217"/>
        <w:gridCol w:w="109"/>
        <w:gridCol w:w="109"/>
        <w:gridCol w:w="109"/>
        <w:gridCol w:w="480"/>
        <w:gridCol w:w="925"/>
        <w:gridCol w:w="249"/>
        <w:gridCol w:w="109"/>
        <w:gridCol w:w="109"/>
        <w:gridCol w:w="109"/>
        <w:gridCol w:w="272"/>
        <w:gridCol w:w="600"/>
        <w:gridCol w:w="207"/>
      </w:tblGrid>
      <w:tr>
        <w:trPr/>
        <w:tc>
          <w:tcPr>
            <w:tcW w:w="8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Non-Current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Non-Current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Fair Value</w:t>
            </w:r>
          </w:p>
        </w:tc>
      </w:tr>
      <w:tr>
        <w:trPr/>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designated as hedging instruments:</w:t>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 an asset position</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 a liability position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(liability)</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instruments:</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 an asset position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 a liability position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 an asset position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 a liability position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(liability)</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at fair value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Non-Current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Non-Current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Fair Value</w:t>
            </w:r>
          </w:p>
        </w:tc>
      </w:tr>
      <w:tr>
        <w:trPr/>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designated as hedging instruments:</w:t>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 an asset position</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 a liability position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(liability)</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instruments:</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 an asset position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 a liability position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 an asset position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 a liability position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(liability)</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at fair value</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6415"/>
                <wp:effectExtent l="0" t="0" r="0" b="0"/>
                <wp:wrapNone/>
                <wp:docPr id="105" name="Frame10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gross amounts of the Company’s derivative instruments, amounts offset due to master netting agreements with the Company’s counterparties, and the net amounts recognized in the Consolidated Statements of Financial Position as of the dates indicated:</w:t>
      </w:r>
    </w:p>
    <w:tbl>
      <w:tblPr>
        <w:tblW w:w="10205" w:type="dxa"/>
        <w:jc w:val="center"/>
        <w:tblInd w:w="0" w:type="dxa"/>
        <w:tblLayout w:type="fixed"/>
        <w:tblCellMar>
          <w:top w:w="28" w:type="dxa"/>
          <w:left w:w="28" w:type="dxa"/>
          <w:bottom w:w="28" w:type="dxa"/>
          <w:right w:w="28" w:type="dxa"/>
        </w:tblCellMar>
      </w:tblPr>
      <w:tblGrid>
        <w:gridCol w:w="424"/>
        <w:gridCol w:w="372"/>
        <w:gridCol w:w="375"/>
        <w:gridCol w:w="323"/>
        <w:gridCol w:w="714"/>
        <w:gridCol w:w="168"/>
        <w:gridCol w:w="109"/>
        <w:gridCol w:w="109"/>
        <w:gridCol w:w="109"/>
        <w:gridCol w:w="312"/>
        <w:gridCol w:w="716"/>
        <w:gridCol w:w="162"/>
        <w:gridCol w:w="109"/>
        <w:gridCol w:w="109"/>
        <w:gridCol w:w="109"/>
        <w:gridCol w:w="379"/>
        <w:gridCol w:w="836"/>
        <w:gridCol w:w="196"/>
        <w:gridCol w:w="109"/>
        <w:gridCol w:w="109"/>
        <w:gridCol w:w="109"/>
        <w:gridCol w:w="553"/>
        <w:gridCol w:w="463"/>
        <w:gridCol w:w="124"/>
        <w:gridCol w:w="124"/>
        <w:gridCol w:w="124"/>
        <w:gridCol w:w="124"/>
        <w:gridCol w:w="405"/>
        <w:gridCol w:w="477"/>
        <w:gridCol w:w="133"/>
        <w:gridCol w:w="109"/>
        <w:gridCol w:w="109"/>
        <w:gridCol w:w="109"/>
        <w:gridCol w:w="350"/>
        <w:gridCol w:w="775"/>
        <w:gridCol w:w="268"/>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11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Assets/(Liabilities)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Amounts of Assets/(Liabilities) Presented in the Statement of Financial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 of Assets/ (Liabilities) Recognized in the Statement of Financial Position</w:t>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2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Collateral Received or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Derivative instruments: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1171"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Assets/(Liabilities)</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Amounts of Assets/(Liabilities) Presented in the Statement of Financial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 of Assets/ (Liabilities) Recognized in the Statement of Financial Position</w:t>
            </w:r>
          </w:p>
        </w:tc>
      </w:tr>
      <w:tr>
        <w:trPr/>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05"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190"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41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Collateral Received or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Derivative instruments: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26415"/>
                <wp:effectExtent l="0" t="0" r="0" b="0"/>
                <wp:wrapNone/>
                <wp:docPr id="106" name="Frame10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Infrastructure Solutions Group (“ISG”) and Client Solutions Group (“CSG”) reporting units are consistent with the reportable segments identified in Note 18 of the Notes to the Consolidated Financial Statements. Corporate and other consists of results of VMware Resale, Virtustream, and Secureworks prior to the sale of Secureworks as discussed in Note 1 of the Notes to the Consolidated Financial Statements, each of which represents a separate reporting unit not classified as a reportable segment, either individually or collectively.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goodwill allocated to the Company’s reportable segments and changes in the carrying amount of goodwill as of the dates indicated:</w:t>
      </w:r>
    </w:p>
    <w:tbl>
      <w:tblPr>
        <w:tblW w:w="10205" w:type="dxa"/>
        <w:jc w:val="center"/>
        <w:tblInd w:w="0" w:type="dxa"/>
        <w:tblLayout w:type="fixed"/>
        <w:tblCellMar>
          <w:top w:w="28" w:type="dxa"/>
          <w:left w:w="28" w:type="dxa"/>
          <w:bottom w:w="28" w:type="dxa"/>
          <w:right w:w="28" w:type="dxa"/>
        </w:tblCellMar>
      </w:tblPr>
      <w:tblGrid>
        <w:gridCol w:w="1202"/>
        <w:gridCol w:w="860"/>
        <w:gridCol w:w="862"/>
        <w:gridCol w:w="432"/>
        <w:gridCol w:w="1481"/>
        <w:gridCol w:w="225"/>
        <w:gridCol w:w="109"/>
        <w:gridCol w:w="109"/>
        <w:gridCol w:w="109"/>
        <w:gridCol w:w="356"/>
        <w:gridCol w:w="1041"/>
        <w:gridCol w:w="183"/>
        <w:gridCol w:w="109"/>
        <w:gridCol w:w="109"/>
        <w:gridCol w:w="109"/>
        <w:gridCol w:w="400"/>
        <w:gridCol w:w="883"/>
        <w:gridCol w:w="207"/>
        <w:gridCol w:w="109"/>
        <w:gridCol w:w="109"/>
        <w:gridCol w:w="109"/>
        <w:gridCol w:w="211"/>
        <w:gridCol w:w="721"/>
        <w:gridCol w:w="160"/>
      </w:tblGrid>
      <w:tr>
        <w:trPr/>
        <w:tc>
          <w:tcPr>
            <w:tcW w:w="120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Infrastructure Solutions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Client Solutions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Balances as of February 2, 2024</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 and other</w:t>
            </w:r>
          </w:p>
        </w:tc>
        <w:tc>
          <w:tcPr>
            <w:tcW w:w="1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assets held for sale (a)</w:t>
            </w:r>
          </w:p>
        </w:tc>
        <w:tc>
          <w:tcPr>
            <w:tcW w:w="1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Balances as of January 31, 2025</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19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1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Balances as of January 30, 2026</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(a)During the fiscal year ended January 31, 2025, Secureworks goodwill was reclassified to current assets held for sale on the Consolidated Statements of Financial Position. The sale of Secureworks was completed during the three months ended May 2, 2025. See Note 1 of the Notes to the Consolidated Financial Statements for additional information about the sale of Secureworks.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intangible assets as of the dates indicated:</w:t>
      </w:r>
    </w:p>
    <w:tbl>
      <w:tblPr>
        <w:tblW w:w="10205" w:type="dxa"/>
        <w:jc w:val="left"/>
        <w:tblInd w:w="0" w:type="dxa"/>
        <w:tblLayout w:type="fixed"/>
        <w:tblCellMar>
          <w:top w:w="28" w:type="dxa"/>
          <w:left w:w="28" w:type="dxa"/>
          <w:bottom w:w="28" w:type="dxa"/>
          <w:right w:w="28" w:type="dxa"/>
        </w:tblCellMar>
      </w:tblPr>
      <w:tblGrid>
        <w:gridCol w:w="708"/>
        <w:gridCol w:w="463"/>
        <w:gridCol w:w="464"/>
        <w:gridCol w:w="211"/>
        <w:gridCol w:w="721"/>
        <w:gridCol w:w="109"/>
        <w:gridCol w:w="109"/>
        <w:gridCol w:w="109"/>
        <w:gridCol w:w="109"/>
        <w:gridCol w:w="291"/>
        <w:gridCol w:w="1022"/>
        <w:gridCol w:w="152"/>
        <w:gridCol w:w="109"/>
        <w:gridCol w:w="109"/>
        <w:gridCol w:w="109"/>
        <w:gridCol w:w="211"/>
        <w:gridCol w:w="616"/>
        <w:gridCol w:w="109"/>
        <w:gridCol w:w="109"/>
        <w:gridCol w:w="109"/>
        <w:gridCol w:w="109"/>
        <w:gridCol w:w="211"/>
        <w:gridCol w:w="721"/>
        <w:gridCol w:w="109"/>
        <w:gridCol w:w="109"/>
        <w:gridCol w:w="109"/>
        <w:gridCol w:w="109"/>
        <w:gridCol w:w="291"/>
        <w:gridCol w:w="1022"/>
        <w:gridCol w:w="152"/>
        <w:gridCol w:w="109"/>
        <w:gridCol w:w="109"/>
        <w:gridCol w:w="109"/>
        <w:gridCol w:w="211"/>
        <w:gridCol w:w="616"/>
        <w:gridCol w:w="160"/>
      </w:tblGrid>
      <w:tr>
        <w:trPr/>
        <w:tc>
          <w:tcPr>
            <w:tcW w:w="70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(25,566)</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definite-lived intangible assets was $0.5 billion, $0.7 billion and $0.8 billion for the fiscal years ended January 30, 2026, January 31, 2025 and February 2, 2024, respectively. There were no material impairment charges related to intangible assets during the fiscal years ended January 30, 2026, January 31, 2025 and February 2, 2024.</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6415"/>
                <wp:effectExtent l="0" t="0" r="0" b="0"/>
                <wp:wrapNone/>
                <wp:docPr id="107" name="Frame10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annual pre-tax amortization expense of definite-lived intangible assets as of the date indicated:</w:t>
      </w:r>
    </w:p>
    <w:tbl>
      <w:tblPr>
        <w:tblW w:w="2698" w:type="dxa"/>
        <w:jc w:val="center"/>
        <w:tblInd w:w="0" w:type="dxa"/>
        <w:tblLayout w:type="fixed"/>
        <w:tblCellMar>
          <w:top w:w="28" w:type="dxa"/>
          <w:left w:w="28" w:type="dxa"/>
          <w:bottom w:w="28" w:type="dxa"/>
          <w:right w:w="28" w:type="dxa"/>
        </w:tblCellMar>
      </w:tblPr>
      <w:tblGrid>
        <w:gridCol w:w="384"/>
        <w:gridCol w:w="338"/>
        <w:gridCol w:w="342"/>
        <w:gridCol w:w="351"/>
        <w:gridCol w:w="1027"/>
        <w:gridCol w:w="256"/>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Goodwill and Indefinite-Lived Intangible Assets Impairment Testing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tested for impairment annually during the third fiscal quarter and whenever events or circumstances may indicate that an impairment has occurred.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October 31, 2025, the Company performed the annual assessment for goodwill in each of its reporting units and indefinite-lived intangible assets. The Company is permitted to conduct a qualitative assessment to determine whether it is necessary to perform a quantitative goodwill impairment test. The Company’s qualitative assessment included consideration of the relevant events and circumstances affecting the reporting unit, including macroeconomic, industry and market conditions, recent market transactions, overall financial performance, trends in the public company market valuation, changes in projected future cash flows, and the results of the most recent quantitative assessment, where applicable. Based on this assessment, the Company concluded that it was more likely than not that the estimated fair value of the reporting units and indefinite-lived intangible assets were higher than their respective carrying values. No goodwill or indefinite-lived assets impairment test was performed during the fiscal year ended January 30, 2026 other than the Company’s annual impairment review.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26415"/>
                <wp:effectExtent l="0" t="0" r="0" b="0"/>
                <wp:wrapNone/>
                <wp:docPr id="108" name="Frame10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 DEFERRED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consists of support and deployment services, software maintenance, training, Software-as-a-Service, and undelivered hardware and professional services, consisting of installations and consulting engagements. Deferred revenue is recorded when the Company has invoiced or payments have been received for undelivered products or services, or in situations where revenue recognition criteria have not been met. Revenue is recognized as the Company’s performance obligations under the contract are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Company’s deferred revenue for the periods indicated:</w:t>
      </w:r>
    </w:p>
    <w:tbl>
      <w:tblPr>
        <w:tblW w:w="7416" w:type="dxa"/>
        <w:jc w:val="left"/>
        <w:tblInd w:w="0" w:type="dxa"/>
        <w:tblLayout w:type="fixed"/>
        <w:tblCellMar>
          <w:top w:w="28" w:type="dxa"/>
          <w:left w:w="28" w:type="dxa"/>
          <w:bottom w:w="28" w:type="dxa"/>
          <w:right w:w="28" w:type="dxa"/>
        </w:tblCellMar>
      </w:tblPr>
      <w:tblGrid>
        <w:gridCol w:w="1215"/>
        <w:gridCol w:w="1071"/>
        <w:gridCol w:w="1073"/>
        <w:gridCol w:w="109"/>
        <w:gridCol w:w="109"/>
        <w:gridCol w:w="144"/>
        <w:gridCol w:w="144"/>
        <w:gridCol w:w="322"/>
        <w:gridCol w:w="1102"/>
        <w:gridCol w:w="166"/>
        <w:gridCol w:w="109"/>
        <w:gridCol w:w="109"/>
        <w:gridCol w:w="109"/>
        <w:gridCol w:w="317"/>
        <w:gridCol w:w="1086"/>
        <w:gridCol w:w="231"/>
      </w:tblGrid>
      <w:tr>
        <w:trPr/>
        <w:tc>
          <w:tcPr>
            <w:tcW w:w="121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61" w:type="dxa"/>
            <w:gridSpan w:val="6"/>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13,334 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Other represents adjustments to deferred revenue for acquisition and divestiture activities. For the fiscal year ended January 31, 2025, Other represents the reclassification of Secureworks deferred revenue to liabilities held for sale. See Note 1 of the Notes to the Consolidated Financial Statements for more information about the sale of Secureworks.</w:t>
      </w:r>
    </w:p>
    <w:p>
      <w:pPr>
        <w:pStyle w:val="TextBody"/>
        <w:bidi w:val="0"/>
        <w:spacing w:before="0" w:after="0"/>
        <w:ind w:left="0" w:right="0" w:hanging="27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Remaining Performance Obligations </w:t>
      </w:r>
      <w:r>
        <w:rPr>
          <w:color w:val="000000"/>
        </w:rPr>
        <w:t xml:space="preserve">— </w:t>
      </w:r>
      <w:r>
        <w:rPr>
          <w:rFonts w:ascii="Times New Roman;serif" w:hAnsi="Times New Roman;serif"/>
          <w:b w:val="false"/>
          <w:color w:val="000000"/>
          <w:sz w:val="20"/>
        </w:rPr>
        <w:t>Remaining performance obligations represent the aggregate amount of the transaction price allocated to 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January 30, 2026 was approximately $82 billion. The Company expects to recognize approximately 78% of remaining performance obligations as revenue in the next twelve months, approximately 11% in the following twelve months, and the remainder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 estimates are subject to change and are affected by multiple factors, including terminations, changes in the scope of contracts, periodic revalidation, adjustments for revenue that have not materialized, and adjustments for currency.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6415"/>
                <wp:effectExtent l="0" t="0" r="0" b="0"/>
                <wp:wrapNone/>
                <wp:docPr id="109" name="Frame10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11 — 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Purchase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contractual obligations to purchase goods or services, which specify significant terms (including fixed or minimum quantities to be purchased), fixed, minimum, or variable price provisions, and the approximate timing of the transaction. Purchase obligations are primarily related to commitments with suppliers and software maintenance and support services. Other purchase obligations include the non-cancelable portion or the minimum cancellation fee under the contract. As of January 30, 2026, such purchase obligations were $16.8 billion for Fiscal 2027, $0.6 billion for Fiscal 2028, $0.7 billion for Fiscal 2029, $0.3 billion for Fiscal 2030, and $0.4 billion for Fiscal 2031 and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are recorded in the period in which such a determination is made. For some matters, the incurrence of a liability is not probable or the amount cannot be reasonably estimated and therefore accruals have not been made.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Class Action Relating to Dell 401(k) Plan</w:t>
      </w:r>
      <w:r>
        <w:rPr>
          <w:color w:val="000000"/>
        </w:rPr>
        <w:t xml:space="preserve"> — </w:t>
      </w:r>
      <w:r>
        <w:rPr>
          <w:rFonts w:ascii="Times New Roman;serif" w:hAnsi="Times New Roman;serif"/>
          <w:b w:val="false"/>
          <w:color w:val="000000"/>
          <w:sz w:val="20"/>
        </w:rPr>
        <w:t>On January 28, 2026, a complaint was filed in the U.S. District Court for the Western District of Texas in a putative class action captioned Lowbruck et al. v. Dell Technologies Inc., et al., against the Company, the Company’s Board of Directors, and the Dell Benefits Administration Committee alleging a breach of fiduciary duties under the Employment Retirement Income Security Act of 1974 (“ERISA”). In the complaint, the plaintiffs seek a judicial declaration that the defendants breached their fiduciary duties by failing to remove imprudent investments from the Dell 401(k) (“Plan”) in a reasonable time, engaging in transactions allegedly prohibited under ERISA, and failing to monitor the fiduciaries responsible for the Plan’s administration. The plaintiffs also seek, among other remedies, an award of damages, fees, and costs in an unspecified amount. The Company intends to vigorously defend this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relevant accounting guidance, the Company provides disclosures of matters where it is at least reasonably possible that the Company could experience a material loss exceeding the amounts already accrued for across all proceedings or matters. In addition, the Company also discloses matters based on its consideration of other matters and qualitative factors, including the experience of other companies in the industry, and investor, customer, and employee relations considerations. As of January 30, 2026, the Company does not believe there is a reasonable possibility that a material loss exceeding the amounts already accrued for across all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factors, including the nature, timing, and amount of any associated expenses, amounts paid in settlement, damages, or other remedies or consequences.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Indemnifications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Historically, payments related to these indemnification obligations have not been material to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6415"/>
                <wp:effectExtent l="0" t="0" r="0" b="0"/>
                <wp:wrapNone/>
                <wp:docPr id="110" name="Frame10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Separation and Distribution Agreement entered into with VMware, Inc. upon completion of its spin-off of VMware, Inc. on November 1, 2021, Dell Technologies agreed to indemnify VMware, Inc., each of its subsidiaries and each of their respective directors, officers, employees, as well as any successors and assigns of the foregoing, from and against all liabilities relating to, arising out of or resulting from, among other matters, the liabilities allocated to Dell Technologies as part of the separation of Dell Technologies and VMware, Inc. (currently operating under the name VMware LLC, and individually and together with its subsidiaries, “VMware”) and their respective businesses (the “Separation”). VMware similarly agreed to indemnify Dell Technologies Inc., each of its subsidiaries and each of their respective directors, officers, and employees from and against all liabilities relating to, arising out of or resulting from, among other matters, the liabilities allocated to VMware as part of the Separation. The amounts that VMware and Dell Technologies may be obligated to pay each other could vary depending on the outcome of certain unresolved tax matters, which may not be resolved for several years. Net income tax indemnification receivables from VMware were immaterial as of January 30, 2026 and January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Certain Concentrations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expect nonperformance by any of the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markets and sells its products and services to large corporate clients, governmental agencies, and health care and education accounts, as well as to small and medium-sized businesses and individuals. One customer accounted for 12% of the Company’s consolidated net revenue for the fiscal year ended January 30, 2026, with substantially all of such net revenue attributable to the sale of ISG offerings. No single customer accounted for 10% or more of the Company’s consolidated net revenue for the fiscal years ended January 31, 2025 and February 2,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utilizes a limited number of contract manufacturers that assemble a portion of its products. The Company purchases components from suppliers and sells those components to such contract manufacturers. The Company reflects the sale of such components by recognizing non-trade receivables from the contract manufacturers and a reduction in inventory when title and risk of loss pass to the manufacturer. Cash flows related to such transactions are recorded within cash flows from operating activities. The Company does not reflect the sale of the components in revenue and does not recognize any profit on the component sales until the Company sells the related products to the customer. The agreements with the majority of the contract manufacturers permit the Company to offset its payables against the receivables, thus mitigating the credit risk wholly or in part. Such receivables were $13.2 billion and $5.4 billion as of January 30, 2026 and January 31, 2025, respectively, and primarily consisted of receivables from the Company’s three largest contract manufacturers. The Company offset its corresponding payables against $13.0 billion and $4.7 billion of such receivables as of January 30, 2026 and January 31, 2025, respectively. The portion of receivables not offset is included in other current assets in the Consolidated Statements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6415"/>
                <wp:effectExtent l="0" t="0" r="0" b="0"/>
                <wp:wrapNone/>
                <wp:docPr id="111" name="Frame1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INCOME AND OTHER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income (loss) before income taxes for the periods indicated:</w:t>
      </w:r>
    </w:p>
    <w:tbl>
      <w:tblPr>
        <w:tblW w:w="7838" w:type="dxa"/>
        <w:jc w:val="left"/>
        <w:tblInd w:w="0" w:type="dxa"/>
        <w:tblLayout w:type="fixed"/>
        <w:tblCellMar>
          <w:top w:w="28" w:type="dxa"/>
          <w:left w:w="28" w:type="dxa"/>
          <w:bottom w:w="28" w:type="dxa"/>
          <w:right w:w="28" w:type="dxa"/>
        </w:tblCellMar>
      </w:tblPr>
      <w:tblGrid>
        <w:gridCol w:w="864"/>
        <w:gridCol w:w="759"/>
        <w:gridCol w:w="762"/>
        <w:gridCol w:w="358"/>
        <w:gridCol w:w="1047"/>
        <w:gridCol w:w="185"/>
        <w:gridCol w:w="109"/>
        <w:gridCol w:w="109"/>
        <w:gridCol w:w="109"/>
        <w:gridCol w:w="358"/>
        <w:gridCol w:w="1047"/>
        <w:gridCol w:w="185"/>
        <w:gridCol w:w="109"/>
        <w:gridCol w:w="109"/>
        <w:gridCol w:w="109"/>
        <w:gridCol w:w="348"/>
        <w:gridCol w:w="1017"/>
        <w:gridCol w:w="2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the income tax expense (benefit) recognized for the periods indicated:</w:t>
      </w:r>
    </w:p>
    <w:tbl>
      <w:tblPr>
        <w:tblW w:w="7177" w:type="dxa"/>
        <w:jc w:val="left"/>
        <w:tblInd w:w="0" w:type="dxa"/>
        <w:tblLayout w:type="fixed"/>
        <w:tblCellMar>
          <w:top w:w="28" w:type="dxa"/>
          <w:left w:w="28" w:type="dxa"/>
          <w:bottom w:w="28" w:type="dxa"/>
          <w:right w:w="28" w:type="dxa"/>
        </w:tblCellMar>
      </w:tblPr>
      <w:tblGrid>
        <w:gridCol w:w="623"/>
        <w:gridCol w:w="549"/>
        <w:gridCol w:w="553"/>
        <w:gridCol w:w="358"/>
        <w:gridCol w:w="1047"/>
        <w:gridCol w:w="185"/>
        <w:gridCol w:w="109"/>
        <w:gridCol w:w="109"/>
        <w:gridCol w:w="109"/>
        <w:gridCol w:w="425"/>
        <w:gridCol w:w="941"/>
        <w:gridCol w:w="223"/>
        <w:gridCol w:w="109"/>
        <w:gridCol w:w="109"/>
        <w:gridCol w:w="109"/>
        <w:gridCol w:w="411"/>
        <w:gridCol w:w="907"/>
        <w:gridCol w:w="301"/>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State/local</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Deferred:</w:t>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State/local</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6415"/>
                <wp:effectExtent l="0" t="0" r="0" b="0"/>
                <wp:wrapNone/>
                <wp:docPr id="112" name="Frame1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effective tax rate to the statutory U.S. federal tax rate for the period ended January 30, 2026, in accordance with the guidance in ASU 2023-09:</w:t>
      </w:r>
    </w:p>
    <w:tbl>
      <w:tblPr>
        <w:tblW w:w="8738" w:type="dxa"/>
        <w:jc w:val="left"/>
        <w:tblInd w:w="0" w:type="dxa"/>
        <w:tblLayout w:type="fixed"/>
        <w:tblCellMar>
          <w:top w:w="28" w:type="dxa"/>
          <w:left w:w="28" w:type="dxa"/>
          <w:bottom w:w="28" w:type="dxa"/>
          <w:right w:w="28" w:type="dxa"/>
        </w:tblCellMar>
      </w:tblPr>
      <w:tblGrid>
        <w:gridCol w:w="1816"/>
        <w:gridCol w:w="1601"/>
        <w:gridCol w:w="1607"/>
        <w:gridCol w:w="287"/>
        <w:gridCol w:w="839"/>
        <w:gridCol w:w="148"/>
        <w:gridCol w:w="148"/>
        <w:gridCol w:w="148"/>
        <w:gridCol w:w="148"/>
        <w:gridCol w:w="255"/>
        <w:gridCol w:w="256"/>
        <w:gridCol w:w="568"/>
        <w:gridCol w:w="109"/>
        <w:gridCol w:w="109"/>
        <w:gridCol w:w="109"/>
        <w:gridCol w:w="109"/>
        <w:gridCol w:w="109"/>
        <w:gridCol w:w="109"/>
        <w:gridCol w:w="109"/>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917" w:type="dxa"/>
            <w:gridSpan w:val="8"/>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reduced tax rate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effective tax rate to the statutory U.S. federal tax rate for the periods indicated, in accordance with the guidance prior to the adoption of ASU 2023-09:</w:t>
      </w:r>
    </w:p>
    <w:tbl>
      <w:tblPr>
        <w:tblW w:w="7327" w:type="dxa"/>
        <w:jc w:val="left"/>
        <w:tblInd w:w="0" w:type="dxa"/>
        <w:tblLayout w:type="fixed"/>
        <w:tblCellMar>
          <w:top w:w="28" w:type="dxa"/>
          <w:left w:w="28" w:type="dxa"/>
          <w:bottom w:w="28" w:type="dxa"/>
          <w:right w:w="28" w:type="dxa"/>
        </w:tblCellMar>
      </w:tblPr>
      <w:tblGrid>
        <w:gridCol w:w="1339"/>
        <w:gridCol w:w="1180"/>
        <w:gridCol w:w="1185"/>
        <w:gridCol w:w="354"/>
        <w:gridCol w:w="354"/>
        <w:gridCol w:w="882"/>
        <w:gridCol w:w="138"/>
        <w:gridCol w:w="138"/>
        <w:gridCol w:w="138"/>
        <w:gridCol w:w="330"/>
        <w:gridCol w:w="330"/>
        <w:gridCol w:w="959"/>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tax benefit</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foreign operations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transaction-related costs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R&amp;D tax credits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U.S. statutes of limitations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Changes related to the Company’s effective tax rates for the fiscal years ended January 30, 2026, January 31, 2025, and February 2, 2024 were primarily attributable to discrete tax items and a change in the Company’s jurisdictional mix of income related to the tax impact of foreign operations and benefits from U.S. research and development tax credits. The Company’s effective tax rate for the fiscal year ended January 31, 2025 included discrete tax benefits of $0.4 billion related to the expiration of certain U.S. statutes of limitations and $0.2 billion related to stock-based compensation.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6415"/>
                <wp:effectExtent l="0" t="0" r="0" b="0"/>
                <wp:wrapNone/>
                <wp:docPr id="113" name="Frame1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into law in the United States. The new law contains a broad range of tax reform provisions, which include the extension and modification of certain provisions of the Tax Cuts and Jobs Act. Effective for the fiscal year ended January 30, 2026, changes include, but are not limited to, immediate expensing of domestic research and development expenditures, the restoration of 100% bonus depreciation, and an EBITDA-based interest expense limitation. These provisions did not have a material impact on the Company’s Consolidated Financial Statements for the fiscal year ended January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impact of reduced tax rate for Singapore shown in the rate reconciliation table for the fiscal year ended January 30, 2026, and the tax impact of foreign operations for the fiscal years ended January 31, 2025, and February 2, 2024 shown in the rate reconciliation table for those fiscal years, reflect tax benefits from a tax holiday in one of the Company’s subsidiaries in Singapore. The tax holiday is in effect until January 31, 2029 and may be extended when certain conditions are met or may be terminated early if certain conditions are not met or as a result of changes in legislation. As of January 30, 2026, the Company was not aware of any matters of non-compliance related to this tax holiday or enacted tax legislative changes affecting this tax holiday. For the fiscal year ended January 30, 2026, the overall income tax benefit attributable to this tax holiday was estimated to be approximately $0.4 billion ($0.58 per share). For the fiscal years ended January 31, 2025 and February 2, 2024, the overall income tax benefits attributable to the tax status of the affected subsidiary were immaterial to the Company’s provision for income taxes and earnings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the Company has not recognized a deferred tax liability for the undistributed earnings of certain foreign subsidiaries that remain indefinitely reinvested. A significant portion of these undistributed earnings would not be subject to further U.S. federal taxation. Determination of the amount of unrecognized deferred tax liability related to these undistributed earnings is not practicable.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net deferred tax assets (liabilities) as of the dates indicated:</w:t>
      </w:r>
    </w:p>
    <w:tbl>
      <w:tblPr>
        <w:tblW w:w="7420" w:type="dxa"/>
        <w:jc w:val="left"/>
        <w:tblInd w:w="0" w:type="dxa"/>
        <w:tblLayout w:type="fixed"/>
        <w:tblCellMar>
          <w:top w:w="28" w:type="dxa"/>
          <w:left w:w="28" w:type="dxa"/>
          <w:bottom w:w="28" w:type="dxa"/>
          <w:right w:w="28" w:type="dxa"/>
        </w:tblCellMar>
      </w:tblPr>
      <w:tblGrid>
        <w:gridCol w:w="1398"/>
        <w:gridCol w:w="1233"/>
        <w:gridCol w:w="1238"/>
        <w:gridCol w:w="358"/>
        <w:gridCol w:w="1047"/>
        <w:gridCol w:w="185"/>
        <w:gridCol w:w="109"/>
        <w:gridCol w:w="109"/>
        <w:gridCol w:w="109"/>
        <w:gridCol w:w="351"/>
        <w:gridCol w:w="1027"/>
        <w:gridCol w:w="256"/>
      </w:tblGrid>
      <w:tr>
        <w:trPr/>
        <w:tc>
          <w:tcPr>
            <w:tcW w:w="139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Deferred tax assets: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warranty provisions</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carryforwards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carryforwards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compensation related accruals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(a)</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Deferred tax liabilities: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and financing</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(a)</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(a)Deferred tax assets and deferred tax liabilities are included in other non-current assets and other non-current liabilities in the Consolidated Statements of Financial Position.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6415"/>
                <wp:effectExtent l="0" t="0" r="0" b="0"/>
                <wp:wrapNone/>
                <wp:docPr id="114" name="Frame1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net operating loss carryforwards, tax credit carryforwards, and other deferred tax assets with related valuation allowances recognized as of the dates indicated:</w:t>
      </w:r>
    </w:p>
    <w:tbl>
      <w:tblPr>
        <w:tblW w:w="10205" w:type="dxa"/>
        <w:jc w:val="left"/>
        <w:tblInd w:w="0" w:type="dxa"/>
        <w:tblLayout w:type="fixed"/>
        <w:tblCellMar>
          <w:top w:w="28" w:type="dxa"/>
          <w:left w:w="28" w:type="dxa"/>
          <w:bottom w:w="28" w:type="dxa"/>
          <w:right w:w="28" w:type="dxa"/>
        </w:tblCellMar>
      </w:tblPr>
      <w:tblGrid>
        <w:gridCol w:w="721"/>
        <w:gridCol w:w="634"/>
        <w:gridCol w:w="637"/>
        <w:gridCol w:w="384"/>
        <w:gridCol w:w="1126"/>
        <w:gridCol w:w="198"/>
        <w:gridCol w:w="109"/>
        <w:gridCol w:w="109"/>
        <w:gridCol w:w="109"/>
        <w:gridCol w:w="372"/>
        <w:gridCol w:w="1218"/>
        <w:gridCol w:w="192"/>
        <w:gridCol w:w="109"/>
        <w:gridCol w:w="109"/>
        <w:gridCol w:w="109"/>
        <w:gridCol w:w="451"/>
        <w:gridCol w:w="1319"/>
        <w:gridCol w:w="233"/>
        <w:gridCol w:w="109"/>
        <w:gridCol w:w="109"/>
        <w:gridCol w:w="109"/>
        <w:gridCol w:w="507"/>
        <w:gridCol w:w="507"/>
        <w:gridCol w:w="725"/>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Tax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Year Expiring</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carryforwards</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Fiscal 2027</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carryforwards</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Fiscal 2027</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assets</w:t>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Tax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Year Expiring</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carryforwards</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Fiscal 2026</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carryforwards</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Fiscal 2026</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assets</w:t>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credit carryforwards as of January 30, 2026 and January 31, 2025 relate to U.S. tax credits that include state tax credits associated with research and development and U.S. foreign tax credits associated with the U.S. Tax Cuts and Jobs Act, as well as foreign tax credits from non-U.S. jurisdictions. The Company assessed the realizability of these tax credits and has recorded a valuation allowance against the credits it does not expect to utilize. The Company’s loss carryforwards as of January 30, 2026 and January 31, 2025 include net operating loss carryforwards from federal, state, and foreign jurisdictions. The valuation allowances for other deferred tax assets as of January 30, 2026 and January 31, 2025 primarily relate to foreign jurisdictions, the changes in which are included in the tax impact of foreign operations in the Company’s effective tax reconciliation. The Company has determined that it will be able to realize the remainder of its deferred tax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valuation allowance for deferred tax assets for the periods indicated:</w:t>
      </w:r>
    </w:p>
    <w:tbl>
      <w:tblPr>
        <w:tblW w:w="8243" w:type="dxa"/>
        <w:jc w:val="left"/>
        <w:tblInd w:w="0" w:type="dxa"/>
        <w:tblLayout w:type="fixed"/>
        <w:tblCellMar>
          <w:top w:w="28" w:type="dxa"/>
          <w:left w:w="28" w:type="dxa"/>
          <w:bottom w:w="28" w:type="dxa"/>
          <w:right w:w="28" w:type="dxa"/>
        </w:tblCellMar>
      </w:tblPr>
      <w:tblGrid>
        <w:gridCol w:w="1011"/>
        <w:gridCol w:w="888"/>
        <w:gridCol w:w="891"/>
        <w:gridCol w:w="358"/>
        <w:gridCol w:w="1047"/>
        <w:gridCol w:w="185"/>
        <w:gridCol w:w="109"/>
        <w:gridCol w:w="109"/>
        <w:gridCol w:w="109"/>
        <w:gridCol w:w="358"/>
        <w:gridCol w:w="1047"/>
        <w:gridCol w:w="185"/>
        <w:gridCol w:w="109"/>
        <w:gridCol w:w="109"/>
        <w:gridCol w:w="109"/>
        <w:gridCol w:w="348"/>
        <w:gridCol w:w="1017"/>
        <w:gridCol w:w="2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income tax provision</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other accounts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26415"/>
                <wp:effectExtent l="0" t="0" r="0" b="0"/>
                <wp:wrapNone/>
                <wp:docPr id="115" name="Frame1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beginning and ending balances of unrecognized tax benefits for the periods indicated:</w:t>
      </w:r>
    </w:p>
    <w:tbl>
      <w:tblPr>
        <w:tblW w:w="9728" w:type="dxa"/>
        <w:jc w:val="left"/>
        <w:tblInd w:w="0" w:type="dxa"/>
        <w:tblLayout w:type="fixed"/>
        <w:tblCellMar>
          <w:top w:w="28" w:type="dxa"/>
          <w:left w:w="28" w:type="dxa"/>
          <w:bottom w:w="28" w:type="dxa"/>
          <w:right w:w="28" w:type="dxa"/>
        </w:tblCellMar>
      </w:tblPr>
      <w:tblGrid>
        <w:gridCol w:w="1549"/>
        <w:gridCol w:w="1361"/>
        <w:gridCol w:w="1365"/>
        <w:gridCol w:w="358"/>
        <w:gridCol w:w="1047"/>
        <w:gridCol w:w="185"/>
        <w:gridCol w:w="109"/>
        <w:gridCol w:w="109"/>
        <w:gridCol w:w="109"/>
        <w:gridCol w:w="358"/>
        <w:gridCol w:w="1047"/>
        <w:gridCol w:w="185"/>
        <w:gridCol w:w="109"/>
        <w:gridCol w:w="109"/>
        <w:gridCol w:w="109"/>
        <w:gridCol w:w="348"/>
        <w:gridCol w:w="1017"/>
        <w:gridCol w:w="254"/>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positions of the current year</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 of prior years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statutes of limitations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settlements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above does not include accrued interest and penalties of $0.3 billion as of January 30, 2026, $0.2 billion as of January 31, 2025, and $0.4 billion as of February 2, 2024. The table also does not include certain tax benefits associated with interest and state tax deductions and other indirect jurisdictional effects of uncertain tax positions, which were $1.3 billion as of both January 30, 2026 and January 31, 2025, and $1.4 billion as of February 2, 2024.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After taking these items into account, the Company’s net unrecognized tax benefits were $1.1 billion as of January 30, 2026, $0.9 billion as of January 31, 2025, and $1.3 billion as of February 2, 2024, and are included in other non-current liabilities i</w:t>
      </w:r>
      <w:r>
        <w:rPr>
          <w:rFonts w:ascii="Times New Roman;serif" w:hAnsi="Times New Roman;serif"/>
          <w:b w:val="false"/>
          <w:color w:val="000000"/>
          <w:sz w:val="20"/>
          <w:shd w:fill="FFFFFF" w:val="clear"/>
        </w:rPr>
        <w:t xml:space="preserve">n the </w:t>
      </w:r>
      <w:r>
        <w:rPr>
          <w:rFonts w:ascii="Times New Roman;serif" w:hAnsi="Times New Roman;serif"/>
          <w:b w:val="false"/>
          <w:color w:val="000000"/>
          <w:sz w:val="20"/>
        </w:rPr>
        <w:t>Consolidated Statements of Financial Position</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unrecognized tax benefits in the table above include $1.0 billion, $0.9 billion, and $1.2 billion as of January 30, 2026, January 31, 2025, and February 2, 2024, respectively, that, if recognized, would have impacted income tax expense. Interest and penalties related to income tax liabilities are included in income tax expense. The impact of interest and penalties on the Company’s tax provision was immaterial for the fiscal years ended January 30, 2026, January 31, 2025, and February 2,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June 2023, the Company received a Revenue Agent’s Report for the federal income tax examination by the Internal Revenue Service (“IRS”) of fiscal years 2018 through 2019. The IRS proposed significant adjustments primarily relating to certain transactions the Company completed as part of its business integration efforts. In August 2023, the Company submitted a written protest to the IRS relating to certain assessments. The Company received a rebuttal from the IRS to its written protest in April 2024. The Company disagrees with the IRS’s proposed adjustments and will contest them through the IRS administrative appeals procedures. The Company expects to continue discussions with the IRS Independent Office of Appeals throughout the next fiscal year and anticipates that the appeals process for the resolution of these matters will extend beyond the next twelve months. The IRS is also currently conducting a federal income tax examination of the Company for fiscal years 2020 through 2022.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also currently under income tax audits in various U.S. state and foreign taxing jurisdictions. The Company is undergoing negotiations, and in some cases contested proceedings, relating to tax matters with the taxing authorities in these jurisdictions. With respect to major U.S. state and foreign taxing jurisdictions, the Company is generally not subject to tax examinations for years prior to the fiscal year ended February 2, 2018. Judgment is required in evaluating the Company’s uncertain tax positions and determining the Company’s provision for income taxes. The Company believes that it has provided adequate reserves related to all matters contained in tax periods open to examination, including the IRS audits described above. Although the Company believes it has made adequate provisions for the uncertainties with respect to these audits, should the Company experience unfavorable outcomes, such outcomes could have a material impact on its results of operations, financial position,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26415"/>
                <wp:effectExtent l="0" t="0" r="0" b="0"/>
                <wp:wrapNone/>
                <wp:docPr id="116" name="Frame1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6415"/>
                <wp:effectExtent l="0" t="0" r="0" b="0"/>
                <wp:wrapNone/>
                <wp:docPr id="117" name="Frame1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13 — ACCUMULATED OTHER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is presented in stockholders’ equity (deficit) in the Consolidated Statements of Financial Position and consists of amounts related to foreign currency translation adjustments, unrealized net gains (losses) on cash flow hedges, and actuarial net gains (losses) from pension and other postretirement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accumulated other comprehensive income (loss), net of tax, by the following components as of the dates indicated:</w:t>
      </w:r>
    </w:p>
    <w:tbl>
      <w:tblPr>
        <w:tblW w:w="10205" w:type="dxa"/>
        <w:jc w:val="left"/>
        <w:tblInd w:w="0" w:type="dxa"/>
        <w:tblLayout w:type="fixed"/>
        <w:tblCellMar>
          <w:top w:w="28" w:type="dxa"/>
          <w:left w:w="28" w:type="dxa"/>
          <w:bottom w:w="28" w:type="dxa"/>
          <w:right w:w="28" w:type="dxa"/>
        </w:tblCellMar>
      </w:tblPr>
      <w:tblGrid>
        <w:gridCol w:w="1151"/>
        <w:gridCol w:w="637"/>
        <w:gridCol w:w="640"/>
        <w:gridCol w:w="375"/>
        <w:gridCol w:w="1124"/>
        <w:gridCol w:w="194"/>
        <w:gridCol w:w="109"/>
        <w:gridCol w:w="109"/>
        <w:gridCol w:w="109"/>
        <w:gridCol w:w="109"/>
        <w:gridCol w:w="109"/>
        <w:gridCol w:w="251"/>
        <w:gridCol w:w="598"/>
        <w:gridCol w:w="130"/>
        <w:gridCol w:w="109"/>
        <w:gridCol w:w="109"/>
        <w:gridCol w:w="109"/>
        <w:gridCol w:w="549"/>
        <w:gridCol w:w="977"/>
        <w:gridCol w:w="285"/>
        <w:gridCol w:w="109"/>
        <w:gridCol w:w="109"/>
        <w:gridCol w:w="109"/>
        <w:gridCol w:w="441"/>
        <w:gridCol w:w="1321"/>
        <w:gridCol w:w="333"/>
      </w:tblGrid>
      <w:tr>
        <w:trPr/>
        <w:tc>
          <w:tcPr>
            <w:tcW w:w="115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 Other Comprehensive Income (Loss)</w:t>
            </w:r>
          </w:p>
        </w:tc>
      </w:tr>
      <w:tr>
        <w:trPr/>
        <w:tc>
          <w:tcPr>
            <w:tcW w:w="2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2422" w:type="dxa"/>
            <w:gridSpan w:val="6"/>
            <w:tcBorders/>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Balances as of February 3, 2023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for the period</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Balances as of February 2, 2024</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for the period</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Balances as of January 31, 2025</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Secureworks (a)</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for the period</w:t>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Balances as of January 30, 2026</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(a)See Note 1 of the Notes to the Consolidated Financial Statements for more information about the sale of Secureworks.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Amounts related to the Company’s cash flow hedges are reclassified to net income during the same period in which the items being hedged are recognized in earnings. See Note 8 of the Notes to the Consolidated Financial Statements for more information about the Company’s derivative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6415"/>
                <wp:effectExtent l="0" t="0" r="0" b="0"/>
                <wp:wrapNone/>
                <wp:docPr id="118" name="Frame1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reclassifications out of accumulated other comprehensive income (loss), net of tax, to net income for the periods indicated:</w:t>
      </w:r>
    </w:p>
    <w:tbl>
      <w:tblPr>
        <w:tblW w:w="12303" w:type="dxa"/>
        <w:jc w:val="left"/>
        <w:tblInd w:w="0" w:type="dxa"/>
        <w:tblLayout w:type="fixed"/>
        <w:tblCellMar>
          <w:top w:w="28" w:type="dxa"/>
          <w:left w:w="28" w:type="dxa"/>
          <w:bottom w:w="28" w:type="dxa"/>
          <w:right w:w="28" w:type="dxa"/>
        </w:tblCellMar>
      </w:tblPr>
      <w:tblGrid>
        <w:gridCol w:w="677"/>
        <w:gridCol w:w="549"/>
        <w:gridCol w:w="245"/>
        <w:gridCol w:w="109"/>
        <w:gridCol w:w="109"/>
        <w:gridCol w:w="211"/>
        <w:gridCol w:w="481"/>
        <w:gridCol w:w="109"/>
        <w:gridCol w:w="109"/>
        <w:gridCol w:w="109"/>
        <w:gridCol w:w="109"/>
        <w:gridCol w:w="109"/>
        <w:gridCol w:w="109"/>
        <w:gridCol w:w="109"/>
        <w:gridCol w:w="109"/>
        <w:gridCol w:w="244"/>
        <w:gridCol w:w="470"/>
        <w:gridCol w:w="127"/>
        <w:gridCol w:w="109"/>
        <w:gridCol w:w="109"/>
        <w:gridCol w:w="109"/>
        <w:gridCol w:w="109"/>
        <w:gridCol w:w="109"/>
        <w:gridCol w:w="211"/>
        <w:gridCol w:w="481"/>
        <w:gridCol w:w="109"/>
        <w:gridCol w:w="109"/>
        <w:gridCol w:w="109"/>
        <w:gridCol w:w="109"/>
        <w:gridCol w:w="211"/>
        <w:gridCol w:w="466"/>
        <w:gridCol w:w="109"/>
        <w:gridCol w:w="109"/>
        <w:gridCol w:w="109"/>
        <w:gridCol w:w="109"/>
        <w:gridCol w:w="244"/>
        <w:gridCol w:w="470"/>
        <w:gridCol w:w="127"/>
        <w:gridCol w:w="109"/>
        <w:gridCol w:w="109"/>
        <w:gridCol w:w="109"/>
        <w:gridCol w:w="211"/>
        <w:gridCol w:w="466"/>
        <w:gridCol w:w="109"/>
        <w:gridCol w:w="109"/>
        <w:gridCol w:w="109"/>
        <w:gridCol w:w="109"/>
        <w:gridCol w:w="211"/>
        <w:gridCol w:w="481"/>
        <w:gridCol w:w="109"/>
        <w:gridCol w:w="109"/>
        <w:gridCol w:w="109"/>
        <w:gridCol w:w="109"/>
        <w:gridCol w:w="244"/>
        <w:gridCol w:w="470"/>
        <w:gridCol w:w="127"/>
        <w:gridCol w:w="109"/>
        <w:gridCol w:w="109"/>
        <w:gridCol w:w="109"/>
        <w:gridCol w:w="211"/>
        <w:gridCol w:w="481"/>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5" w:type="dxa"/>
            <w:gridSpan w:val="3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469" w:type="dxa"/>
            <w:gridSpan w:val="18"/>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c>
          <w:tcPr>
            <w:tcW w:w="3469" w:type="dxa"/>
            <w:gridSpan w:val="18"/>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469" w:type="dxa"/>
            <w:gridSpan w:val="18"/>
            <w:tcBorders/>
          </w:tcPr>
          <w:p>
            <w:pPr>
              <w:pStyle w:val="TableContents"/>
              <w:bidi w:val="0"/>
              <w:spacing w:before="0" w:after="283"/>
              <w:jc w:val="left"/>
              <w:rPr>
                <w:sz w:val="4"/>
                <w:szCs w:val="4"/>
              </w:rPr>
            </w:pPr>
            <w:r>
              <w:rPr>
                <w:sz w:val="4"/>
                <w:szCs w:val="4"/>
              </w:rPr>
            </w:r>
          </w:p>
        </w:tc>
      </w:tr>
      <w:tr>
        <w:trPr/>
        <w:tc>
          <w:tcPr>
            <w:tcW w:w="4312" w:type="dxa"/>
            <w:gridSpan w:val="2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reclassifications,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4"/>
            <w:tcBorders/>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26415"/>
                <wp:effectExtent l="0" t="0" r="0" b="0"/>
                <wp:wrapNone/>
                <wp:docPr id="119" name="Frame1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pPr>
      <w:r>
        <w:rPr>
          <w:rFonts w:ascii="Times New Roman;serif" w:hAnsi="Times New Roman;serif"/>
          <w:b/>
          <w:color w:val="000000"/>
          <w:sz w:val="20"/>
        </w:rPr>
        <w:t>NOTE 14 — CAPITALIZATION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authorized, issued, and outstanding common stock as of the dates indicated:</w:t>
      </w:r>
    </w:p>
    <w:tbl>
      <w:tblPr>
        <w:tblW w:w="4303" w:type="dxa"/>
        <w:jc w:val="center"/>
        <w:tblInd w:w="0" w:type="dxa"/>
        <w:tblLayout w:type="fixed"/>
        <w:tblCellMar>
          <w:top w:w="28" w:type="dxa"/>
          <w:left w:w="28" w:type="dxa"/>
          <w:bottom w:w="28" w:type="dxa"/>
          <w:right w:w="28" w:type="dxa"/>
        </w:tblCellMar>
      </w:tblPr>
      <w:tblGrid>
        <w:gridCol w:w="266"/>
        <w:gridCol w:w="234"/>
        <w:gridCol w:w="235"/>
        <w:gridCol w:w="350"/>
        <w:gridCol w:w="350"/>
        <w:gridCol w:w="351"/>
        <w:gridCol w:w="109"/>
        <w:gridCol w:w="109"/>
        <w:gridCol w:w="109"/>
        <w:gridCol w:w="233"/>
        <w:gridCol w:w="233"/>
        <w:gridCol w:w="211"/>
        <w:gridCol w:w="109"/>
        <w:gridCol w:w="109"/>
        <w:gridCol w:w="109"/>
        <w:gridCol w:w="347"/>
        <w:gridCol w:w="347"/>
        <w:gridCol w:w="49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303"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Common stock as of January 30, 2026</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Common stock as of January 31, 2025</w:t>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one million shares of preferred stock, par value $0.01 per share. As of January 30, 2026 and January 31, 2025, no shares of preferred stock were issued or outstanding.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Dell Technologies Common Stock </w:t>
      </w:r>
      <w:r>
        <w:rPr>
          <w:color w:val="000000"/>
        </w:rPr>
        <w:t xml:space="preserve">— </w:t>
      </w:r>
      <w:r>
        <w:rPr>
          <w:rFonts w:ascii="Times New Roman;serif" w:hAnsi="Times New Roman;serif"/>
          <w:b w:val="false"/>
          <w:color w:val="000000"/>
          <w:sz w:val="20"/>
        </w:rPr>
        <w:t xml:space="preserve">The Class A Common Stock, the Class B Common Stock, the Class C Common Stock, and the Class D Common Stock are collectively referred to as Dell Technologies Common Stock. The par value for all series of Dell Technologies Common Stock is $0.01 per share. The Class A Common Stock, the Class B Common Stock, the Class C Common Stock, and the Class D Common Stock share equally in dividends declared or accumulated and have equal participation rights in undistributed earnings.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Voting Rights</w:t>
      </w:r>
      <w:r>
        <w:rPr>
          <w:color w:val="000000"/>
        </w:rPr>
        <w:t xml:space="preserve"> — </w:t>
      </w:r>
      <w:r>
        <w:rPr>
          <w:rFonts w:ascii="Times New Roman;serif" w:hAnsi="Times New Roman;serif"/>
          <w:b w:val="false"/>
          <w:color w:val="000000"/>
          <w:sz w:val="20"/>
        </w:rPr>
        <w:t>Each holder of record of (a) Class A Common Stock is entitled to ten votes per share of Class A Common Stock; (b) Class B Common 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Conversion Rights</w:t>
      </w:r>
      <w:r>
        <w:rPr>
          <w:color w:val="000000"/>
        </w:rPr>
        <w:t xml:space="preserve"> — </w:t>
      </w:r>
      <w:r>
        <w:rPr>
          <w:rFonts w:ascii="Times New Roman;serif" w:hAnsi="Times New Roman;serif"/>
          <w:b w:val="false"/>
          <w:color w:val="000000"/>
          <w:sz w:val="20"/>
        </w:rPr>
        <w:t>Under the Company’s certificate of incorporation, at any time and from time to time, any holder of Class A Common Stock or Class B Common Stock has the right to convert all or any of the shares of Class A Common Stock or Class B Common Stock, as applicable, held by such holder into shares of Class C Common Stock on a one-to-one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January 30, 2026, the Company issued approximately 10 million shares of Class C Common Stock to stockholders upon the conversion of an immaterial number of shares of Class A Common Stock shares and 10 million shares of Class B Common Stock in accordance with the Company’s certificate of incorporation.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fiscal year ended January 31, 2025, the Company issued 100 million shares of Class C Common Stock to stockholders upon the conversion of 76 million shares of Class A Common Stock and 24 million shares of Class B Common Stock in accordance with the Company’s certificate of incorporation.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6415"/>
                <wp:effectExtent l="0" t="0" r="0" b="0"/>
                <wp:wrapNone/>
                <wp:docPr id="120" name="Frame1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fiscal year ended February 2, 2024, the Company issued 34 million shares of Class C Common Stock to stockholders upon the conversion of 25 million shares of Class A Common Stock and 9 million shares of Class B Common Stock in accordance with the Company’s certificate of incorporation.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paid the following dividends during the periods presented:</w:t>
      </w:r>
    </w:p>
    <w:tbl>
      <w:tblPr>
        <w:tblW w:w="9277" w:type="dxa"/>
        <w:jc w:val="left"/>
        <w:tblInd w:w="0" w:type="dxa"/>
        <w:tblLayout w:type="fixed"/>
        <w:tblCellMar>
          <w:top w:w="28" w:type="dxa"/>
          <w:left w:w="28" w:type="dxa"/>
          <w:bottom w:w="28" w:type="dxa"/>
          <w:right w:w="28" w:type="dxa"/>
        </w:tblCellMar>
      </w:tblPr>
      <w:tblGrid>
        <w:gridCol w:w="124"/>
        <w:gridCol w:w="109"/>
        <w:gridCol w:w="574"/>
        <w:gridCol w:w="574"/>
        <w:gridCol w:w="576"/>
        <w:gridCol w:w="109"/>
        <w:gridCol w:w="109"/>
        <w:gridCol w:w="109"/>
        <w:gridCol w:w="504"/>
        <w:gridCol w:w="504"/>
        <w:gridCol w:w="506"/>
        <w:gridCol w:w="109"/>
        <w:gridCol w:w="109"/>
        <w:gridCol w:w="109"/>
        <w:gridCol w:w="534"/>
        <w:gridCol w:w="534"/>
        <w:gridCol w:w="536"/>
        <w:gridCol w:w="109"/>
        <w:gridCol w:w="109"/>
        <w:gridCol w:w="109"/>
        <w:gridCol w:w="392"/>
        <w:gridCol w:w="1145"/>
        <w:gridCol w:w="202"/>
        <w:gridCol w:w="109"/>
        <w:gridCol w:w="109"/>
        <w:gridCol w:w="109"/>
        <w:gridCol w:w="293"/>
        <w:gridCol w:w="648"/>
        <w:gridCol w:w="2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Amount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4"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Fiscal 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4"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Fiscal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fiscal years ended January 30, 2026 and January 31, 2025, the Company also paid an immaterial amount of dividend equivalents on eligible vested equity awards which are not included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subsequent to the close of the Company’s fiscal year ended January 30, 2026, the Company announced that the Board of Directors approved a 20% increase in the quarterly dividend rate to $0.630 per share per fiscal quarter beginning in the first quarter of the fiscal year ending January 29,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Repurchases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23, 2021, the Company’s Board of Directors approved the Company’s current stock repurchase program with no fixed expiration date under which the Company may repurchase a specified dollar value of Class C Common Stock, exclusive of any fees, commissions, or other expenses related to such repurchases. As of January 30, 2026, the Company’s Board of Directors authorized the repurchase of up to $20 billion of Class C Common Stock and on February 26, 2026, subsequent to the close of the fiscal year ended January 30, 2026, authorized an additional $10 billion of Class C Common Stock for repurchase. Following the February 26, 2026 approval, the Company had approximately $15.2 billion of authorized shares remaining for repurchase under the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fiscal year ended January 30, 2026, the Company repurchased approximately 54 million shares of Class C Common Stock for a total purchase price of approximately $6.0 billion. During the fiscal year ended January 31, 2025, the Company repurchased approximately 22 million shares of Class C Common Stock for a total purchase price of approximately $2.6 billion. During the fiscal year ended February 2, 2024, the Company repurchased approximately 34 million shares of Class C Common Stock for a total purchase price of approximately $2.1 billion.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above repurchases of Class C Common Stock exclude U.S. federal excise taxes and shares withheld from equity awards to settle employee tax withholding obligations related to the vesting of such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26415"/>
                <wp:effectExtent l="0" t="0" r="0" b="0"/>
                <wp:wrapNone/>
                <wp:docPr id="121" name="Frame1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EARNINGS PER SHARE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based on the weighted-average effect of all common shares issued and outstanding and is calculated by dividing net income by the weighted-average shares outstanding during the period. Diluted earnings per share is calculated by dividing net income by the weighted-average number of common shares used in the basic earnings per share calculation plus the number of common shares that would be issued assuming exercise or conversion of all potentially dilutive instruments. The Company excludes equity instruments from the calculation of diluted earnings per share if the effect of including such instruments is antidilutive.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basic and diluted earnings per share for the periods indicated:</w:t>
      </w:r>
    </w:p>
    <w:tbl>
      <w:tblPr>
        <w:tblW w:w="10205" w:type="dxa"/>
        <w:jc w:val="left"/>
        <w:tblInd w:w="0" w:type="dxa"/>
        <w:tblLayout w:type="fixed"/>
        <w:tblCellMar>
          <w:top w:w="28" w:type="dxa"/>
          <w:left w:w="28" w:type="dxa"/>
          <w:bottom w:w="28" w:type="dxa"/>
          <w:right w:w="28" w:type="dxa"/>
        </w:tblCellMar>
      </w:tblPr>
      <w:tblGrid>
        <w:gridCol w:w="1257"/>
        <w:gridCol w:w="980"/>
        <w:gridCol w:w="980"/>
        <w:gridCol w:w="644"/>
        <w:gridCol w:w="644"/>
        <w:gridCol w:w="646"/>
        <w:gridCol w:w="109"/>
        <w:gridCol w:w="358"/>
        <w:gridCol w:w="868"/>
        <w:gridCol w:w="184"/>
        <w:gridCol w:w="109"/>
        <w:gridCol w:w="109"/>
        <w:gridCol w:w="109"/>
        <w:gridCol w:w="358"/>
        <w:gridCol w:w="868"/>
        <w:gridCol w:w="184"/>
        <w:gridCol w:w="109"/>
        <w:gridCol w:w="109"/>
        <w:gridCol w:w="109"/>
        <w:gridCol w:w="352"/>
        <w:gridCol w:w="854"/>
        <w:gridCol w:w="265"/>
      </w:tblGrid>
      <w:tr>
        <w:trPr/>
        <w:tc>
          <w:tcPr>
            <w:tcW w:w="125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90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798" w:type="dxa"/>
            <w:gridSpan w:val="6"/>
            <w:tcBorders/>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51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Earnings per share attributable to Dell Technologies Inc.</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12"/>
            <w:tcBorders/>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Common Stock — Basic</w:t>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Common Stock — Diluted</w:t>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earnings per share for the periods indicated:</w:t>
      </w:r>
    </w:p>
    <w:tbl>
      <w:tblPr>
        <w:tblW w:w="10205" w:type="dxa"/>
        <w:jc w:val="left"/>
        <w:tblInd w:w="0" w:type="dxa"/>
        <w:tblLayout w:type="fixed"/>
        <w:tblCellMar>
          <w:top w:w="28" w:type="dxa"/>
          <w:left w:w="28" w:type="dxa"/>
          <w:bottom w:w="28" w:type="dxa"/>
          <w:right w:w="28" w:type="dxa"/>
        </w:tblCellMar>
      </w:tblPr>
      <w:tblGrid>
        <w:gridCol w:w="1924"/>
        <w:gridCol w:w="1561"/>
        <w:gridCol w:w="1569"/>
        <w:gridCol w:w="109"/>
        <w:gridCol w:w="109"/>
        <w:gridCol w:w="109"/>
        <w:gridCol w:w="109"/>
        <w:gridCol w:w="302"/>
        <w:gridCol w:w="883"/>
        <w:gridCol w:w="156"/>
        <w:gridCol w:w="109"/>
        <w:gridCol w:w="109"/>
        <w:gridCol w:w="109"/>
        <w:gridCol w:w="302"/>
        <w:gridCol w:w="883"/>
        <w:gridCol w:w="156"/>
        <w:gridCol w:w="109"/>
        <w:gridCol w:w="109"/>
        <w:gridCol w:w="109"/>
        <w:gridCol w:w="295"/>
        <w:gridCol w:w="864"/>
        <w:gridCol w:w="220"/>
      </w:tblGrid>
      <w:tr>
        <w:trPr/>
        <w:tc>
          <w:tcPr>
            <w:tcW w:w="192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706" w:type="dxa"/>
            <w:gridSpan w:val="6"/>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 Dell Technologies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Dell Technologies Inc.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 Dell Technologies Common Stock weighted-average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shares outstanding </w:t>
            </w:r>
            <w:r>
              <w:rPr>
                <w:color w:val="000000"/>
              </w:rPr>
              <w:t xml:space="preserve">— </w:t>
            </w: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shares outstanding </w:t>
            </w:r>
            <w:r>
              <w:rPr>
                <w:color w:val="000000"/>
              </w:rPr>
              <w:t xml:space="preserve">— </w:t>
            </w: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shares outstanding </w:t>
            </w:r>
            <w:r>
              <w:rPr>
                <w:color w:val="000000"/>
              </w:rPr>
              <w:t xml:space="preserve">— </w:t>
            </w:r>
            <w:r>
              <w:rPr>
                <w:rFonts w:ascii="Times New Roman;serif" w:hAnsi="Times New Roman;serif"/>
                <w:b w:val="false"/>
                <w:color w:val="000000"/>
                <w:sz w:val="20"/>
              </w:rPr>
              <w:t>antidilutive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26415"/>
                <wp:effectExtent l="0" t="0" r="0" b="0"/>
                <wp:wrapNone/>
                <wp:docPr id="122" name="Frame1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16 — STOCK-BASED COMPENSATION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stock-based compensation expense recognized in the Consolidated Statements of Income for the periods indicated:</w:t>
      </w:r>
    </w:p>
    <w:tbl>
      <w:tblPr>
        <w:tblW w:w="10205" w:type="dxa"/>
        <w:jc w:val="center"/>
        <w:tblInd w:w="0" w:type="dxa"/>
        <w:tblLayout w:type="fixed"/>
        <w:tblCellMar>
          <w:top w:w="28" w:type="dxa"/>
          <w:left w:w="28" w:type="dxa"/>
          <w:bottom w:w="28" w:type="dxa"/>
          <w:right w:w="28" w:type="dxa"/>
        </w:tblCellMar>
      </w:tblPr>
      <w:tblGrid>
        <w:gridCol w:w="1770"/>
        <w:gridCol w:w="1552"/>
        <w:gridCol w:w="1561"/>
        <w:gridCol w:w="412"/>
        <w:gridCol w:w="913"/>
        <w:gridCol w:w="216"/>
        <w:gridCol w:w="109"/>
        <w:gridCol w:w="109"/>
        <w:gridCol w:w="109"/>
        <w:gridCol w:w="412"/>
        <w:gridCol w:w="913"/>
        <w:gridCol w:w="216"/>
        <w:gridCol w:w="109"/>
        <w:gridCol w:w="109"/>
        <w:gridCol w:w="109"/>
        <w:gridCol w:w="401"/>
        <w:gridCol w:w="884"/>
        <w:gridCol w:w="301"/>
      </w:tblGrid>
      <w:tr>
        <w:trPr/>
        <w:tc>
          <w:tcPr>
            <w:tcW w:w="177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before taxes</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income taxes</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Dell Technologies Inc. Stock-Based Compensation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Dell Technologies Inc. 2023 Stock Incentive Plan </w:t>
      </w:r>
      <w:r>
        <w:rPr>
          <w:color w:val="000000"/>
        </w:rPr>
        <w:t xml:space="preserve">— </w:t>
      </w:r>
      <w:r>
        <w:rPr>
          <w:rFonts w:ascii="Times New Roman;serif" w:hAnsi="Times New Roman;serif"/>
          <w:b w:val="false"/>
          <w:color w:val="000000"/>
          <w:sz w:val="20"/>
        </w:rPr>
        <w:t xml:space="preserve">Employees, consultants, non-employee directors, and other service providers of the Company or its affiliates are eligible to participate in the Dell Technologies Inc. 2023 Stock Incentive Plan, which became effective on June 20, 2023 upon its approval by stockholders (the “2023 Plan”). The 2023 Plan authorizes the Company to grant stock options, RSUs, stock appreciation rights (“SARs”), restricted stock awards, deferred stock units, and dividend equivalents. The 2023 Plan replaced the Dell Technologies Inc. 2013 Stock Incentive Plan (as amended and restated, the “2013 Plan”). Upon effectiveness of the 2023 Plan, no further awards were authorized for grant under the 2013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2023 Plan authorizes the issuance of an aggregate of up to approximately 103.3 million shares of the Class C Common Stock, including (a) 50.0 million shares of Class C Common Stock that were authorized for offering and issuance under the 2023 Plan, (b) approximately 7.0 million shares of Class C Common Stock that remained available for issuance under the 2013 Plan as of the effective date of the 2023 Plan, and (c) up to approximately 46.3 million shares of Class C Common Stock subject to awards outstanding under the 2013 Plan as of the effective date of the 2023 Plan that subsequently expire or terminate prior to exercise or settlement. As of January 30, 2026, there were approximately 45 million shares of Class C Common Stock available for future grants under the 2023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Restricted Stock </w:t>
      </w:r>
      <w:r>
        <w:rPr>
          <w:color w:val="000000"/>
        </w:rPr>
        <w:t xml:space="preserve">— </w:t>
      </w:r>
      <w:r>
        <w:rPr>
          <w:rFonts w:ascii="Times New Roman;serif" w:hAnsi="Times New Roman;serif"/>
          <w:b w:val="false"/>
          <w:color w:val="000000"/>
          <w:sz w:val="20"/>
        </w:rPr>
        <w:t xml:space="preserve">The Company’s awards primarily consist of RSUs granted to employees. During the fiscal years ended January 30, 2026, January 31, 2025, and February 2, 2024, the Company granted long-term incentive awards in the form of service-based RSUs and performance-based RSUs (“PSUs”) in order to align critical talent retention programs with the interests of holders of the Class C Common Stock. Each service-based RSU represents the right to acquire one share of Class C Common Stock upon vesting.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PSUs granted during the periods presented are reflected as target units for performance periods not yet complete. The actual number of units that ultimately vest will range from 0% to 200% of the target number, based on the level of achievement of the performance goals and continued employment with the Company over a three-year performance period. Vesting of approximately half of the PSUs granted is subject to achievement of market-based performance goals based on relative total shareholder return and vesting of the remaining PSUs is subject to achievement of internal financial performance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6415"/>
                <wp:effectExtent l="0" t="0" r="0" b="0"/>
                <wp:wrapNone/>
                <wp:docPr id="123" name="Frame1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assumptions utilized in the Monte Carlo valuation model for the periods indicated:</w:t>
      </w:r>
    </w:p>
    <w:tbl>
      <w:tblPr>
        <w:tblW w:w="9380" w:type="dxa"/>
        <w:jc w:val="center"/>
        <w:tblInd w:w="0" w:type="dxa"/>
        <w:tblLayout w:type="fixed"/>
        <w:tblCellMar>
          <w:top w:w="28" w:type="dxa"/>
          <w:left w:w="28" w:type="dxa"/>
          <w:bottom w:w="28" w:type="dxa"/>
          <w:right w:w="28" w:type="dxa"/>
        </w:tblCellMar>
      </w:tblPr>
      <w:tblGrid>
        <w:gridCol w:w="1424"/>
        <w:gridCol w:w="1250"/>
        <w:gridCol w:w="1255"/>
        <w:gridCol w:w="566"/>
        <w:gridCol w:w="292"/>
        <w:gridCol w:w="731"/>
        <w:gridCol w:w="109"/>
        <w:gridCol w:w="109"/>
        <w:gridCol w:w="109"/>
        <w:gridCol w:w="566"/>
        <w:gridCol w:w="292"/>
        <w:gridCol w:w="731"/>
        <w:gridCol w:w="109"/>
        <w:gridCol w:w="109"/>
        <w:gridCol w:w="109"/>
        <w:gridCol w:w="536"/>
        <w:gridCol w:w="276"/>
        <w:gridCol w:w="807"/>
      </w:tblGrid>
      <w:tr>
        <w:trPr/>
        <w:tc>
          <w:tcPr>
            <w:tcW w:w="142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(U.S. Government Treasury Note)</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following table presents RSU activity </w:t>
      </w:r>
      <w:r>
        <w:rPr>
          <w:rFonts w:ascii="Times New Roman;serif" w:hAnsi="Times New Roman;serif"/>
          <w:b w:val="false"/>
          <w:color w:val="000000"/>
          <w:sz w:val="20"/>
        </w:rPr>
        <w:t xml:space="preserve">settled in Class C Common Stock </w:t>
      </w:r>
      <w:r>
        <w:rPr>
          <w:rFonts w:ascii="Times New Roman;serif" w:hAnsi="Times New Roman;serif"/>
          <w:b w:val="false"/>
          <w:color w:val="000000"/>
          <w:sz w:val="20"/>
          <w:shd w:fill="FFFFFF" w:val="clear"/>
        </w:rPr>
        <w:t>for the periods indicated</w:t>
      </w:r>
      <w:r>
        <w:rPr>
          <w:rFonts w:ascii="Times New Roman;serif" w:hAnsi="Times New Roman;serif"/>
          <w:b w:val="false"/>
          <w:color w:val="000000"/>
          <w:sz w:val="20"/>
        </w:rPr>
        <w:t xml:space="preserve">: </w:t>
      </w:r>
    </w:p>
    <w:tbl>
      <w:tblPr>
        <w:tblW w:w="10205" w:type="dxa"/>
        <w:jc w:val="center"/>
        <w:tblInd w:w="0" w:type="dxa"/>
        <w:tblLayout w:type="fixed"/>
        <w:tblCellMar>
          <w:top w:w="28" w:type="dxa"/>
          <w:left w:w="28" w:type="dxa"/>
          <w:bottom w:w="28" w:type="dxa"/>
          <w:right w:w="28" w:type="dxa"/>
        </w:tblCellMar>
      </w:tblPr>
      <w:tblGrid>
        <w:gridCol w:w="1110"/>
        <w:gridCol w:w="975"/>
        <w:gridCol w:w="981"/>
        <w:gridCol w:w="425"/>
        <w:gridCol w:w="425"/>
        <w:gridCol w:w="427"/>
        <w:gridCol w:w="109"/>
        <w:gridCol w:w="109"/>
        <w:gridCol w:w="109"/>
        <w:gridCol w:w="690"/>
        <w:gridCol w:w="2016"/>
        <w:gridCol w:w="357"/>
        <w:gridCol w:w="109"/>
        <w:gridCol w:w="109"/>
        <w:gridCol w:w="109"/>
        <w:gridCol w:w="458"/>
        <w:gridCol w:w="1343"/>
        <w:gridCol w:w="344"/>
      </w:tblGrid>
      <w:tr>
        <w:trPr/>
        <w:tc>
          <w:tcPr>
            <w:tcW w:w="11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(a)</w:t>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Outstanding as of February 3, 2023</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Outstanding as of February 2, 2024</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Outstanding as of January 31, 2025 </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Outstanding as of January 30, 2026 (b)</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Vested and expected to vest, January 30, 2026</w:t>
            </w:r>
          </w:p>
        </w:tc>
        <w:tc>
          <w:tcPr>
            <w:tcW w:w="8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aggregate intrinsic value represents the total pre-tax intrinsic values based on the closing price of $114.44 of the Class C Common Stock on January 30, 2026 as reported on the NYSE that would have been received by the RSU holders if the RSUs had been issued as of January 30,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(b)As of January 30, 2026, the 19 million units outstanding included 14 million RSUs and 5 million PSUs.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fair value of RSU awards that vested during the fiscal years ended January 30, 2026, January 31, 2025, and February 2, 2024 was $0.7 billion, $0.8 billion, and $1.0 billion, respectively, with a pre-tax intrinsic value of $1.4 billion, $2.0 billion, and $1.2 billion,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30, 2026, there was $0.7 billion of unrecognized stock-based compensation expense, net of estimated forfeitures, related to these awards expected to be recognized over a weighted-average period of approximately 1.7 years.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Dell Technologies Shares Withheld for Taxes </w:t>
      </w:r>
      <w:r>
        <w:rPr>
          <w:color w:val="000000"/>
        </w:rPr>
        <w:t xml:space="preserve">— </w:t>
      </w:r>
      <w:r>
        <w:rPr>
          <w:rFonts w:ascii="Times New Roman;serif" w:hAnsi="Times New Roman;serif"/>
          <w:b w:val="false"/>
          <w:color w:val="000000"/>
          <w:sz w:val="20"/>
        </w:rPr>
        <w:t>Shares of Class C Common Stock are generally withheld from issuance to cover employee taxes for the vesting of restricted stock units. For the fiscal years ended January 30, 2026, January 31, 2025, and February 2, 2024, 4 million, 5 million, and 9 million shares, respectively, were withheld to cover $0.4 billion, $0.6 billion, and $0.4 billion, respectively, of employees’ tax obligations. The value of the withheld shares was classified as a reduction to common stock and capital in excess of par value.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6415"/>
                <wp:effectExtent l="0" t="0" r="0" b="0"/>
                <wp:wrapNone/>
                <wp:docPr id="124" name="Frame1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 xml:space="preserve">Stock Option Activity </w:t>
      </w:r>
      <w:r>
        <w:rPr>
          <w:color w:val="000000"/>
        </w:rPr>
        <w:t xml:space="preserve">— </w:t>
      </w:r>
      <w:r>
        <w:rPr>
          <w:rFonts w:ascii="Times New Roman;serif" w:hAnsi="Times New Roman;serif"/>
          <w:b w:val="false"/>
          <w:color w:val="000000"/>
          <w:sz w:val="20"/>
        </w:rPr>
        <w:t xml:space="preserve">Stock options are granted with option exercise prices equal to the fair market value of the Company’s Class C Common Stock and expire ten years after the grant date. On September 30, 2025, the Compensation Committee of the Board of Directors approved a stock option grant to the Chief Operating Officer to purchase 2.5 million shares of the Company’s Class C Common Stock (the “COO option award”) under the 2023 Plan. The COO option award has a ten-year term, an exercise price of $141.77 per share, and a grant date fair value of approximately $132 million, of which the Company recognized an immaterial amount of compensation expense for the fiscal year ended January 30, 2026. Vesting in the stock option award is contingent upon achievement of a Company market capitalization goal, a Company adjusted free cash flow performance goal as of January 31, 2031, and continued service through March 15, 2031. Stock option activity was not material during the fiscal years ended January 31, 2025 and February 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26415"/>
                <wp:effectExtent l="0" t="0" r="0" b="0"/>
                <wp:wrapNone/>
                <wp:docPr id="125" name="Frame1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17 — RETIREMENT PLAN BENEFITS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Defined Benefit Retirement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sponsors retirement plans for certain employees, some of which meet the criteria of a defined benefit retirement plan. Benefits under defined benefit retirement plans guarantee a particular payment to the employee in retirement. The amount of retirement benefit is defined by the plan and is typically a function of the number of years of service rendered by the employee and the employee’s average salary or salary at retirement. The annual costs of the plans are determined using the projected unit credit actuarial cost method that includes actuarial assumptions and estimates which are subject to change.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U.S. Pension Plan</w:t>
      </w:r>
      <w:r>
        <w:rPr>
          <w:color w:val="000000"/>
        </w:rPr>
        <w:t xml:space="preserve"> — </w:t>
      </w:r>
      <w:r>
        <w:rPr>
          <w:rFonts w:ascii="Times New Roman;serif" w:hAnsi="Times New Roman;serif"/>
          <w:b w:val="false"/>
          <w:color w:val="000000"/>
          <w:sz w:val="20"/>
        </w:rPr>
        <w:t xml:space="preserve">The Company sponsored a noncontributory defined benefit retirement plan in the United States (the “U.S. pension plan”), which was assumed in connection with the EMC Corporation merger transaction that was completed in September 2016. As of December 1999, the U.S. pension plan was frozen and employees no longer accrued retirement benefits for future services.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20, 2024, the Company’s Board of Directors approved an amendment to terminate the U.S. pension plan with an effective date of September 30, 2024. On September 24, 2025, the Company settled its remaining obligations under the U.S. pension plan by making distributions in the form of lump-sum payments to participants or by purchasing third-party annuities on behalf of the participant, at the participants’ election. At the time of settlement, the Company recognized a net gain of $15 million which was recorded within interest and other,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measurement date for the U.S. pension plan is the end of the Company’s fiscal year. The Company did not make any material contributions to the U.S. pension plan for the fiscal years ended January 30, 2026, January 31, 2025, and February 2, 2024. Net periodic benefit costs related to the U.S. pension plan were immaterial for the fiscal years ended January 30, 2026, January 31, 2025, and February 2,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underfunded position of the plan as of January 31, 2025, was $14 million and was recognized in other non-current liabilities in the Consolidated Statements of Financial Position. As of January 31, 2025, plan assets at fair value were $423 million and benefit obligations were $437 million. Plan assets were managed by outside investment managers. Assets were recognized at fair value and were primarily classified within Level 2 of the fair value hierarchy.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International Pension Plans</w:t>
      </w:r>
      <w:r>
        <w:rPr>
          <w:color w:val="000000"/>
        </w:rPr>
        <w:t xml:space="preserve"> — </w:t>
      </w:r>
      <w:r>
        <w:rPr>
          <w:rFonts w:ascii="Times New Roman;serif" w:hAnsi="Times New Roman;serif"/>
          <w:b w:val="false"/>
          <w:color w:val="000000"/>
          <w:sz w:val="20"/>
        </w:rPr>
        <w:t>The Company sponsors retirement plans outside of the United States that qualify as defined benefit plans. The following table presents attributes of the international pension plans as of the dates indicated:</w:t>
      </w:r>
    </w:p>
    <w:tbl>
      <w:tblPr>
        <w:tblW w:w="5801" w:type="dxa"/>
        <w:jc w:val="left"/>
        <w:tblInd w:w="0" w:type="dxa"/>
        <w:tblLayout w:type="fixed"/>
        <w:tblCellMar>
          <w:top w:w="28" w:type="dxa"/>
          <w:left w:w="28" w:type="dxa"/>
          <w:bottom w:w="28" w:type="dxa"/>
          <w:right w:w="28" w:type="dxa"/>
        </w:tblCellMar>
      </w:tblPr>
      <w:tblGrid>
        <w:gridCol w:w="814"/>
        <w:gridCol w:w="714"/>
        <w:gridCol w:w="722"/>
        <w:gridCol w:w="389"/>
        <w:gridCol w:w="999"/>
        <w:gridCol w:w="201"/>
        <w:gridCol w:w="109"/>
        <w:gridCol w:w="109"/>
        <w:gridCol w:w="109"/>
        <w:gridCol w:w="381"/>
        <w:gridCol w:w="976"/>
        <w:gridCol w:w="278"/>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assets at fair value (a)</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Underfunded position (b)</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 for both the fiscal years ended January 30, 2026 and January 31, 2025.</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(b)The underfunded position is recognized in other non-current liabilities in the Consolidated Statements of Financial Position.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6415"/>
                <wp:effectExtent l="0" t="0" r="0" b="0"/>
                <wp:wrapNone/>
                <wp:docPr id="126" name="Frame1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Defined Contribution Retirement Plans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Dell 401(k) Plan </w:t>
      </w:r>
      <w:r>
        <w:rPr>
          <w:color w:val="000000"/>
        </w:rPr>
        <w:t xml:space="preserve">— </w:t>
      </w:r>
      <w:r>
        <w:rPr>
          <w:rFonts w:ascii="Times New Roman;serif" w:hAnsi="Times New Roman;serif"/>
          <w:b w:val="false"/>
          <w:color w:val="000000"/>
          <w:sz w:val="20"/>
        </w:rPr>
        <w:t xml:space="preserve">The Company maintains a defined contribution retirement plan (the “Dell 401(k) Plan”) that complies with Section 401(k) of the Internal Revenue Code. Only U.S. employees and employees of certain subsidiaries, except those who are covered by a collective bargaining agreement, classified as a leased employee or a nonresident alien, or are covered under a separate plan, are eligible to participate in the Dell 401(k) Plan. Participation in the Dell 401(k) Plan is at the election of the employee. As of January 30, 2026, the Company matched 100% of each participant’s voluntary contributions (the “Dell 401(k) employer match”), subject to a maximum contribution of 6% of the participant’s eligible compensation, up to an annual limit of $7,500. Participants vest immediately in all contributions to the Dell 401(k) Plan. The Company’s matching contributions as well as participants’ voluntary contributions are invested according to each participant’s elections in the investment options provided under the Dell 401(k) Plan. The Company’s contributions during the fiscal years ended January 30, 2026, January 31, 2025, and February 2, 2024 were $198 million, $218 million, and $238 million, respectively.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6415"/>
                <wp:effectExtent l="0" t="0" r="0" b="0"/>
                <wp:wrapNone/>
                <wp:docPr id="127" name="Frame12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18 — SEGMENT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financial results through two reportable segments which are based on the following business units: Infrastructure Solutions Group (“ISG”) and Client Solutions Group (“CSG”). The Company organizes its reportable segments based on the manner in which management evaluates the performance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Executive Officer is the CODM. The CODM is regularly provided and reviews segment revenue and segment operating income to assess the performance of each segment and allocate resources to the segments in the annual planning process. The Company’s measure of segment revenue and segment operating income for management reporting purposes excludes Corporate and other, amortization of intangible assets, stock-based compensation expense, and other corporate expenses, as applicable, which are not used in evaluating the results of, or in allocating resources to, the segments. The Company does not allocate assets to the reportable segments for internal reporting purposes. The accounting policies of the segments are the same as those described in Note 2 of the Notes to the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scale and growth of the AI-optimized servers business, effective in the three months ended January 30, 2026, the Company’s servers and networking offerings were disaggregated within revenue by major product category into AI-optimized servers offerings and traditional servers and networking offerings. As a result, ISG includes the Company’s AI-optimized servers offerings, traditional servers and networking offerings, and storage offerings as major product categories. The Company’s AI-optimized servers are designed to run high-value workloads, including AI model training, fine-tuning, and inferencing. The Company’s traditional servers are high-performance general-purpose servers designed to deliver scalable performance, reliability, and efficient management across a wide range of enterprise workloads. The Company’s networking portfolio includes wide area network infrastructure, data center and edge networking switches, and cables and optics. The Company’s comprehensive storage portfolio includes modern and traditional storage solutions that span primary, unstructured and data protection offerings and are delivered through multiple architectures, including all-flash, purpose-built, software-defined, and hyper-converged infrastructure platforms. ISG also offers software, peripherals, and services, including consulting and support and deployment.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CSG includes the Company’s commercial offerings and consumer offerings as major product categories. The Company’s CSG portfolio includes branded PCs, including notebooks, desktops, and workstations and branded peripherals that include displays, docking stations, keyboards, mice, and webcam and audio devices, as well as third-party software and peripherals. CSG also includes services offerings, such as configuration, support and deployment, and extended warranties.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March 2024, the Company terminated the Commercial Framework Agreement with VMware, whereby Dell Technologies acted as a distributor VMware’s stand-alone products and services and purchased such products and services for resale to end-user customers (“VMware Resale”). Dell Technologies no longer acts as a distributor of those products and services, although it continues to support customers that have purchased resale offerings sold in prior periods. The results of VMware Resale transactions are reflected in Corporate and other. The Company continues to integrate and embed certain VMware products and services with the Company’s VxRail solution to end-user customers. The results for this integrated offering are reflected within ISG.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6415"/>
                <wp:effectExtent l="0" t="0" r="0" b="0"/>
                <wp:wrapNone/>
                <wp:docPr id="128" name="Frame12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revenue by the Company’s reportable segments to the Company’s consolidated net revenue as well as a reconciliation of segment operating income to the Company’s consolidated operating income for the periods indicated:</w:t>
      </w:r>
    </w:p>
    <w:tbl>
      <w:tblPr>
        <w:tblW w:w="9367" w:type="dxa"/>
        <w:jc w:val="left"/>
        <w:tblInd w:w="0" w:type="dxa"/>
        <w:tblLayout w:type="fixed"/>
        <w:tblCellMar>
          <w:top w:w="28" w:type="dxa"/>
          <w:left w:w="28" w:type="dxa"/>
          <w:bottom w:w="28" w:type="dxa"/>
          <w:right w:w="28" w:type="dxa"/>
        </w:tblCellMar>
      </w:tblPr>
      <w:tblGrid>
        <w:gridCol w:w="1261"/>
        <w:gridCol w:w="1108"/>
        <w:gridCol w:w="1111"/>
        <w:gridCol w:w="109"/>
        <w:gridCol w:w="109"/>
        <w:gridCol w:w="109"/>
        <w:gridCol w:w="109"/>
        <w:gridCol w:w="292"/>
        <w:gridCol w:w="1146"/>
        <w:gridCol w:w="151"/>
        <w:gridCol w:w="109"/>
        <w:gridCol w:w="109"/>
        <w:gridCol w:w="109"/>
        <w:gridCol w:w="322"/>
        <w:gridCol w:w="1101"/>
        <w:gridCol w:w="166"/>
        <w:gridCol w:w="109"/>
        <w:gridCol w:w="109"/>
        <w:gridCol w:w="109"/>
        <w:gridCol w:w="314"/>
        <w:gridCol w:w="1076"/>
        <w:gridCol w:w="229"/>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operating income (f)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(a)Corporate and other consists of results of divested businesses or non-reportable segments whose offerings are no longer actively sold, including (i) VMware Resale, (ii) Secureworks, and (iii) Virtustream, and do not meet the requirements for a reportable segment, either individually or collectively. Additionally, Corporate and other includes other items that are managed at the corporate level and are not allocated to reportable segments.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(b)Depreciation expense directly attributable to each reportable segment is included in the operating results of each segment. However, the CODM does not evaluate depreciation expense by operating segment, and therefore such expense is not separately presented.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(c)Amortization of intangibles includes non-cash purchase accounting adjustments that are primarily related to the acquisition by merger of EMC Corporation in 2016.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(d)Stock-based compensation expense consists of equity awards granted based on the estimated fair value of those awards at grant date.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(e)Other corporate expenses includes severance expenses, payroll taxes associated with stock-based compensation, incentive charges related to equity investments, facility action costs, transaction-related expenses, and impairment charges.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(f)Income and expenses within interest and other, net, is not allocated to the reportable segments. Therefore, the Company does not report below reportable segment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6415"/>
                <wp:effectExtent l="0" t="0" r="0" b="0"/>
                <wp:wrapNone/>
                <wp:docPr id="129" name="Frame12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expense categories by reportable segment for the periods indicated:</w:t>
      </w:r>
    </w:p>
    <w:tbl>
      <w:tblPr>
        <w:tblW w:w="8886" w:type="dxa"/>
        <w:jc w:val="left"/>
        <w:tblInd w:w="0" w:type="dxa"/>
        <w:tblLayout w:type="fixed"/>
        <w:tblCellMar>
          <w:top w:w="28" w:type="dxa"/>
          <w:left w:w="28" w:type="dxa"/>
          <w:bottom w:w="28" w:type="dxa"/>
          <w:right w:w="28" w:type="dxa"/>
        </w:tblCellMar>
      </w:tblPr>
      <w:tblGrid>
        <w:gridCol w:w="1086"/>
        <w:gridCol w:w="954"/>
        <w:gridCol w:w="959"/>
        <w:gridCol w:w="109"/>
        <w:gridCol w:w="109"/>
        <w:gridCol w:w="109"/>
        <w:gridCol w:w="109"/>
        <w:gridCol w:w="322"/>
        <w:gridCol w:w="1101"/>
        <w:gridCol w:w="166"/>
        <w:gridCol w:w="109"/>
        <w:gridCol w:w="109"/>
        <w:gridCol w:w="109"/>
        <w:gridCol w:w="322"/>
        <w:gridCol w:w="1101"/>
        <w:gridCol w:w="166"/>
        <w:gridCol w:w="109"/>
        <w:gridCol w:w="109"/>
        <w:gridCol w:w="109"/>
        <w:gridCol w:w="314"/>
        <w:gridCol w:w="1076"/>
        <w:gridCol w:w="229"/>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disaggregation of net revenue by reportable segment and by major product categories within the segments for the periods indicated:</w:t>
      </w:r>
    </w:p>
    <w:tbl>
      <w:tblPr>
        <w:tblW w:w="8842" w:type="dxa"/>
        <w:jc w:val="center"/>
        <w:tblInd w:w="0" w:type="dxa"/>
        <w:tblLayout w:type="fixed"/>
        <w:tblCellMar>
          <w:top w:w="28" w:type="dxa"/>
          <w:left w:w="28" w:type="dxa"/>
          <w:bottom w:w="28" w:type="dxa"/>
          <w:right w:w="28" w:type="dxa"/>
        </w:tblCellMar>
      </w:tblPr>
      <w:tblGrid>
        <w:gridCol w:w="1068"/>
        <w:gridCol w:w="940"/>
        <w:gridCol w:w="947"/>
        <w:gridCol w:w="109"/>
        <w:gridCol w:w="109"/>
        <w:gridCol w:w="109"/>
        <w:gridCol w:w="109"/>
        <w:gridCol w:w="322"/>
        <w:gridCol w:w="1101"/>
        <w:gridCol w:w="166"/>
        <w:gridCol w:w="109"/>
        <w:gridCol w:w="109"/>
        <w:gridCol w:w="109"/>
        <w:gridCol w:w="322"/>
        <w:gridCol w:w="1101"/>
        <w:gridCol w:w="166"/>
        <w:gridCol w:w="109"/>
        <w:gridCol w:w="109"/>
        <w:gridCol w:w="109"/>
        <w:gridCol w:w="314"/>
        <w:gridCol w:w="1076"/>
        <w:gridCol w:w="229"/>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ISG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Solutions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CSG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48,916 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revenue allocated between the United States and foreign countries for the periods indicated:</w:t>
      </w:r>
    </w:p>
    <w:tbl>
      <w:tblPr>
        <w:tblW w:w="6995" w:type="dxa"/>
        <w:jc w:val="left"/>
        <w:tblInd w:w="0" w:type="dxa"/>
        <w:tblLayout w:type="fixed"/>
        <w:tblCellMar>
          <w:top w:w="28" w:type="dxa"/>
          <w:left w:w="28" w:type="dxa"/>
          <w:bottom w:w="28" w:type="dxa"/>
          <w:right w:w="28" w:type="dxa"/>
        </w:tblCellMar>
      </w:tblPr>
      <w:tblGrid>
        <w:gridCol w:w="559"/>
        <w:gridCol w:w="492"/>
        <w:gridCol w:w="493"/>
        <w:gridCol w:w="292"/>
        <w:gridCol w:w="1146"/>
        <w:gridCol w:w="151"/>
        <w:gridCol w:w="109"/>
        <w:gridCol w:w="109"/>
        <w:gridCol w:w="109"/>
        <w:gridCol w:w="322"/>
        <w:gridCol w:w="1101"/>
        <w:gridCol w:w="166"/>
        <w:gridCol w:w="109"/>
        <w:gridCol w:w="109"/>
        <w:gridCol w:w="109"/>
        <w:gridCol w:w="314"/>
        <w:gridCol w:w="1076"/>
        <w:gridCol w:w="229"/>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countries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allocation between domestic and foreign net revenue is based on the location of the customers. Net revenue from any single foreign country did not constitute 10% or more of the Company’s consolidated net revenue for any of the fiscal years ended January 30, 2026, January 31, 2025, and February 2,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6415"/>
                <wp:effectExtent l="0" t="0" r="0" b="0"/>
                <wp:wrapNone/>
                <wp:docPr id="130" name="Frame12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property, plant, and equipment, net allocated between the United States and foreign countries as of the dates indicated:</w:t>
      </w:r>
    </w:p>
    <w:tbl>
      <w:tblPr>
        <w:tblW w:w="7001" w:type="dxa"/>
        <w:jc w:val="left"/>
        <w:tblInd w:w="0" w:type="dxa"/>
        <w:tblLayout w:type="fixed"/>
        <w:tblCellMar>
          <w:top w:w="28" w:type="dxa"/>
          <w:left w:w="28" w:type="dxa"/>
          <w:bottom w:w="28" w:type="dxa"/>
          <w:right w:w="28" w:type="dxa"/>
        </w:tblCellMar>
      </w:tblPr>
      <w:tblGrid>
        <w:gridCol w:w="1250"/>
        <w:gridCol w:w="1098"/>
        <w:gridCol w:w="1102"/>
        <w:gridCol w:w="358"/>
        <w:gridCol w:w="1047"/>
        <w:gridCol w:w="185"/>
        <w:gridCol w:w="109"/>
        <w:gridCol w:w="109"/>
        <w:gridCol w:w="109"/>
        <w:gridCol w:w="351"/>
        <w:gridCol w:w="1027"/>
        <w:gridCol w:w="256"/>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countries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and January 31, 2025, property, plant, and equipment, net primarily related to domestic ownership. Within foreign countries, property, plant, and equipment, net located in Ireland was $0.8 billion and $0.7 billion for the fiscal years ended January 30, 2026 and January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6415"/>
                <wp:effectExtent l="0" t="0" r="0" b="0"/>
                <wp:wrapNone/>
                <wp:docPr id="131" name="Frame13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19 — RELATED PARTY TRANSACTIONS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acquisition on November 22, 2023 of VMware LLC (previously VMware, Inc. and individually and together with its consolidated subsidiaries, “VMware”) by Broadcom Inc. (“Broadcom”), VMware was considered a related party of the Company. Upon Broadcom’s acquisition of VMware, Michael Dell’s ownership interest in VMware and his position as Chairman of the Board of VMware terminated, and the Company determined no related party relationship exists with Broadcom or VMware effective as of November 22, 2023. The Company continues to engage in select transactions with VMware following the completion of Broadcom’s acquisition and the termination of the related party relationship. See Note 18 of the Notes to the Consolidated Financial Statements for additional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Related Party Transactions with VMware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provided below includes a summary of related party transactions with VMware for the fiscal year ended February 2, 2024. Such transactions were considered related party transactions only through November 21, 2023, the day immediately preceding Broadcom’s acquisition of VMware.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Dell Technologies integrated or bundled select VMware products and services with Dell Technologies’ products and sold them to end-users. Dell Technologies also acted as a distributor, purchasing VMware’s standalone products and services for resale to end-user customers. Where applicable, costs under these arrangements were presented net of rebates received by Dell Technologies.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DFS provided financing to certain VMware end-users, which resulted in the recognition of amounts due to related parties on the Consolidated Statements of Financial Position. Associated financing fees were recorded to product net revenue on the Consolidated Statements of Income and were reflected within sales and leases of products to VMware in the table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Dell Technologies procured products and services from VMware for its internal use. For the fiscal year ended February 2, 2024, costs incurred associated with products and services purchased from VMware for internal use were immaterial.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Dell Technologies sold and leased products and sold services to VMware. For the fiscal year ended February 2, 2024, revenue recognized from sales of services to VMware was immaterial.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Dell Technologies and VMware entered into joint marketing, sales, and branding arrangements, for which both parties incurred costs. For the fiscal year ended February 2, 2024, consideration received from VMware for joint marketing, sales, and branding arrangements was immaterial.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impact of Dell Technologies’ related party transactions with VMware on the Consolidated Statements of Income for the period presented: </w:t>
      </w:r>
    </w:p>
    <w:tbl>
      <w:tblPr>
        <w:tblW w:w="10205" w:type="dxa"/>
        <w:jc w:val="left"/>
        <w:tblInd w:w="0" w:type="dxa"/>
        <w:tblLayout w:type="fixed"/>
        <w:tblCellMar>
          <w:top w:w="28" w:type="dxa"/>
          <w:left w:w="28" w:type="dxa"/>
          <w:bottom w:w="28" w:type="dxa"/>
          <w:right w:w="28" w:type="dxa"/>
        </w:tblCellMar>
      </w:tblPr>
      <w:tblGrid>
        <w:gridCol w:w="1135"/>
        <w:gridCol w:w="997"/>
        <w:gridCol w:w="1000"/>
        <w:gridCol w:w="854"/>
        <w:gridCol w:w="854"/>
        <w:gridCol w:w="857"/>
        <w:gridCol w:w="109"/>
        <w:gridCol w:w="109"/>
        <w:gridCol w:w="109"/>
        <w:gridCol w:w="109"/>
        <w:gridCol w:w="109"/>
        <w:gridCol w:w="109"/>
        <w:gridCol w:w="109"/>
        <w:gridCol w:w="109"/>
        <w:gridCol w:w="109"/>
        <w:gridCol w:w="1591"/>
        <w:gridCol w:w="109"/>
        <w:gridCol w:w="391"/>
        <w:gridCol w:w="1145"/>
        <w:gridCol w:w="291"/>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36" w:type="dxa"/>
            <w:gridSpan w:val="4"/>
            <w:tcBorders/>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 (a)</w:t>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leases of products to VMware</w:t>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VMware products for resale</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 —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VMware services for resale</w:t>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 —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(a)For the fiscal year ended February 2, 2024, amounts are reported only through November 21, 2023, the day immediately preceding the acquisition of VMware by Broadcom.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6415"/>
                <wp:effectExtent l="0" t="0" r="0" b="0"/>
                <wp:wrapNone/>
                <wp:docPr id="132" name="Frame13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completion of the VMware Spin-off described in Note 11 of the Notes to the Consolidated Financial Statements, Dell Technologies and VMware entered into a Tax Matters Agreement effective as of April 14, 2021 (the “Tax Matters Agreement”), which governs the respective rights and obligations of Dell Technologies and VMware regarding income and other taxes as well as related matters, including tax liabilities and benefits, attributes, and returns for periods both preceding and following the VMware Spin-off.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Tax Matters Agreement, net receipts from VMware during the fiscal year ended February 2, 2024 were $286 million, a portion of which was received subsequent to the completion of Broadcom’s acquisition of VMware. Such receipts were primarily related to VMware’s portion of the mandatory one-time transition tax on accumulated earnings of foreign subsidiaries and federal income taxes on Dell Technologies’ consolidated income tax return.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other related parties during the periods presented were immaterial, individually and in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6415"/>
                <wp:effectExtent l="0" t="0" r="0" b="0"/>
                <wp:wrapNone/>
                <wp:docPr id="133" name="Frame13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20 — SUPPLEMENTAL CONSOLIDATED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on selected assets included in the Consolidated Statements of Financial Position as of the dates indicated:</w:t>
      </w:r>
    </w:p>
    <w:tbl>
      <w:tblPr>
        <w:tblW w:w="7539" w:type="dxa"/>
        <w:jc w:val="left"/>
        <w:tblInd w:w="0" w:type="dxa"/>
        <w:tblLayout w:type="fixed"/>
        <w:tblCellMar>
          <w:top w:w="28" w:type="dxa"/>
          <w:left w:w="28" w:type="dxa"/>
          <w:bottom w:w="28" w:type="dxa"/>
          <w:right w:w="28" w:type="dxa"/>
        </w:tblCellMar>
      </w:tblPr>
      <w:tblGrid>
        <w:gridCol w:w="1443"/>
        <w:gridCol w:w="1271"/>
        <w:gridCol w:w="1275"/>
        <w:gridCol w:w="322"/>
        <w:gridCol w:w="1101"/>
        <w:gridCol w:w="166"/>
        <w:gridCol w:w="109"/>
        <w:gridCol w:w="109"/>
        <w:gridCol w:w="109"/>
        <w:gridCol w:w="351"/>
        <w:gridCol w:w="1027"/>
        <w:gridCol w:w="256"/>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and restricted cash:</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held for sale (a)</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(b)</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Inventories:</w:t>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materials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Prepaid expenses:</w:t>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(c)</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Deferred costs:</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costs, current (c)</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in a customer contract</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other equipment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software</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 (d)</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(a)Held for sale represents the reclassification of Secureworks cash and cash equivalents to assets held for sale as of January 31, 2025. See Note 1 of the Notes to the Consolidated Financial Statements for more information about the sale of Secureworks.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(b)Restricted cash is primarily classified as other current assets in the Consolidated Statements of Financial Position and consists predominantly of cash required to be held in escrow pursuant to DFS securitization arrangements.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(c)Prepaid expenses and deferred costs are included in other current assets in the Consolidated Statements of Financial Position. Amounts classified as long-term prepaid expenses and long-term deferred costs are included in other non-current assets and are not disclosed above.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(d)During the fiscal years ended January 30, 2026, January 31, 2025, and February 2, 2024, the Company recognized $2.2 billion, $2.1 billion, and $2.0 billion, respectively, in depreciation and amortization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6415"/>
                <wp:effectExtent l="0" t="0" r="0" b="0"/>
                <wp:wrapNone/>
                <wp:docPr id="134" name="Frame13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Warranty Liability</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the Company’s liability for standard limited warranties for the periods indicated:</w:t>
      </w:r>
    </w:p>
    <w:tbl>
      <w:tblPr>
        <w:tblW w:w="10205" w:type="dxa"/>
        <w:jc w:val="left"/>
        <w:tblInd w:w="0" w:type="dxa"/>
        <w:tblLayout w:type="fixed"/>
        <w:tblCellMar>
          <w:top w:w="28" w:type="dxa"/>
          <w:left w:w="28" w:type="dxa"/>
          <w:bottom w:w="28" w:type="dxa"/>
          <w:right w:w="28" w:type="dxa"/>
        </w:tblCellMar>
      </w:tblPr>
      <w:tblGrid>
        <w:gridCol w:w="1926"/>
        <w:gridCol w:w="1627"/>
        <w:gridCol w:w="1633"/>
        <w:gridCol w:w="109"/>
        <w:gridCol w:w="109"/>
        <w:gridCol w:w="109"/>
        <w:gridCol w:w="109"/>
        <w:gridCol w:w="343"/>
        <w:gridCol w:w="761"/>
        <w:gridCol w:w="180"/>
        <w:gridCol w:w="109"/>
        <w:gridCol w:w="109"/>
        <w:gridCol w:w="109"/>
        <w:gridCol w:w="343"/>
        <w:gridCol w:w="761"/>
        <w:gridCol w:w="180"/>
        <w:gridCol w:w="109"/>
        <w:gridCol w:w="109"/>
        <w:gridCol w:w="109"/>
        <w:gridCol w:w="344"/>
        <w:gridCol w:w="760"/>
        <w:gridCol w:w="257"/>
      </w:tblGrid>
      <w:tr>
        <w:trPr/>
        <w:tc>
          <w:tcPr>
            <w:tcW w:w="192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5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688" w:type="dxa"/>
            <w:gridSpan w:val="6"/>
            <w:tcBorders/>
          </w:tcPr>
          <w:p>
            <w:pPr>
              <w:pStyle w:val="TableContents"/>
              <w:bidi w:val="0"/>
              <w:spacing w:before="0" w:after="283"/>
              <w:jc w:val="left"/>
              <w:rPr>
                <w:sz w:val="4"/>
                <w:szCs w:val="4"/>
              </w:rPr>
            </w:pPr>
            <w:r>
              <w:rPr>
                <w:sz w:val="4"/>
                <w:szCs w:val="4"/>
              </w:rPr>
            </w:r>
          </w:p>
        </w:tc>
      </w:tr>
      <w:tr>
        <w:trPr/>
        <w:tc>
          <w:tcPr>
            <w:tcW w:w="5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5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Warranty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liability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accrued for new warranty contracts and changes in estimates for pre-existing warranties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obligations honored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liability at end of period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5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(a)Changes in cost estimates related to pre-existing warranties are aggregated with accruals for new standard warranty contracts. The Company’s warranty liability process does not differentiate between estimates made for pre-existing warranties and those made for new warranty obligations.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liabilities for standard warranties are included in accrued and other and in non-current liabilities in the Consolidated Statements of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Severance Charges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incurs costs related to employee severance and records a liability for these costs when it is probable that employees will be entitled to termination benefits and the amounts can be reasonably estimated. The liability related to these actions is primarily included in accrued and other within current liabilities in the Consolidated Statements of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related to the Company’s severance liability for the periods indicated:</w:t>
      </w:r>
    </w:p>
    <w:tbl>
      <w:tblPr>
        <w:tblW w:w="9397" w:type="dxa"/>
        <w:jc w:val="left"/>
        <w:tblInd w:w="0" w:type="dxa"/>
        <w:tblLayout w:type="fixed"/>
        <w:tblCellMar>
          <w:top w:w="28" w:type="dxa"/>
          <w:left w:w="28" w:type="dxa"/>
          <w:bottom w:w="28" w:type="dxa"/>
          <w:right w:w="28" w:type="dxa"/>
        </w:tblCellMar>
      </w:tblPr>
      <w:tblGrid>
        <w:gridCol w:w="1272"/>
        <w:gridCol w:w="1117"/>
        <w:gridCol w:w="1121"/>
        <w:gridCol w:w="109"/>
        <w:gridCol w:w="109"/>
        <w:gridCol w:w="109"/>
        <w:gridCol w:w="109"/>
        <w:gridCol w:w="425"/>
        <w:gridCol w:w="941"/>
        <w:gridCol w:w="223"/>
        <w:gridCol w:w="109"/>
        <w:gridCol w:w="109"/>
        <w:gridCol w:w="109"/>
        <w:gridCol w:w="425"/>
        <w:gridCol w:w="941"/>
        <w:gridCol w:w="223"/>
        <w:gridCol w:w="109"/>
        <w:gridCol w:w="109"/>
        <w:gridCol w:w="109"/>
        <w:gridCol w:w="411"/>
        <w:gridCol w:w="907"/>
        <w:gridCol w:w="301"/>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Severance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liability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liability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severance charges as included in the Consolidated Statements of Income for the periods indicated:</w:t>
      </w:r>
    </w:p>
    <w:tbl>
      <w:tblPr>
        <w:tblW w:w="8886" w:type="dxa"/>
        <w:jc w:val="left"/>
        <w:tblInd w:w="0" w:type="dxa"/>
        <w:tblLayout w:type="fixed"/>
        <w:tblCellMar>
          <w:top w:w="28" w:type="dxa"/>
          <w:left w:w="28" w:type="dxa"/>
          <w:bottom w:w="28" w:type="dxa"/>
          <w:right w:w="28" w:type="dxa"/>
        </w:tblCellMar>
      </w:tblPr>
      <w:tblGrid>
        <w:gridCol w:w="1086"/>
        <w:gridCol w:w="955"/>
        <w:gridCol w:w="958"/>
        <w:gridCol w:w="109"/>
        <w:gridCol w:w="109"/>
        <w:gridCol w:w="109"/>
        <w:gridCol w:w="109"/>
        <w:gridCol w:w="425"/>
        <w:gridCol w:w="941"/>
        <w:gridCol w:w="223"/>
        <w:gridCol w:w="109"/>
        <w:gridCol w:w="109"/>
        <w:gridCol w:w="109"/>
        <w:gridCol w:w="425"/>
        <w:gridCol w:w="941"/>
        <w:gridCol w:w="223"/>
        <w:gridCol w:w="109"/>
        <w:gridCol w:w="109"/>
        <w:gridCol w:w="109"/>
        <w:gridCol w:w="411"/>
        <w:gridCol w:w="907"/>
        <w:gridCol w:w="301"/>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Severance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severance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6415"/>
                <wp:effectExtent l="0" t="0" r="0" b="0"/>
                <wp:wrapNone/>
                <wp:docPr id="135" name="Frame13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Supply Chain Finance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a Supply Chain Finance Program (the “SCF Program”), which enables eligible suppliers, at the supplier's sole discretion, to sell receivables due from the Company to a third-party financial institution. The Company has no involvement in establishing the terms or conditions of the arrangement between its suppliers and the financial institution, no economic interest in a supplier's decision to sell a receivable, and does not provide legally secured assets or other forms of guarantees under the arrangement.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SCF Program does not impact the Company's liquidity as payments for participating supplier invoices are remitted by the Company to the financial institution on the original invoice due date, regardless of whether an individual invoice is sold by the supplier to the financial institution. Further, the Company negotiates payment terms with suppliers regardless of their decision to participate in the SCF Program. Payment terms with such suppliers vary and do not exceed 100 days. The Company’s outstanding obligations represent invoices due to suppliers confirmed as valid under the SCF Program and are included within accounts payable on the Consolidated Statements of Financial Position, while associated payments are included in cash flows from operating activities on the Consolidated Statements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Company’s outstanding obligations for the periods indicated:</w:t>
      </w:r>
    </w:p>
    <w:tbl>
      <w:tblPr>
        <w:tblW w:w="8696" w:type="dxa"/>
        <w:jc w:val="left"/>
        <w:tblInd w:w="0" w:type="dxa"/>
        <w:tblLayout w:type="fixed"/>
        <w:tblCellMar>
          <w:top w:w="28" w:type="dxa"/>
          <w:left w:w="28" w:type="dxa"/>
          <w:bottom w:w="28" w:type="dxa"/>
          <w:right w:w="28" w:type="dxa"/>
        </w:tblCellMar>
      </w:tblPr>
      <w:tblGrid>
        <w:gridCol w:w="1864"/>
        <w:gridCol w:w="1638"/>
        <w:gridCol w:w="1643"/>
        <w:gridCol w:w="358"/>
        <w:gridCol w:w="1047"/>
        <w:gridCol w:w="185"/>
        <w:gridCol w:w="109"/>
        <w:gridCol w:w="109"/>
        <w:gridCol w:w="109"/>
        <w:gridCol w:w="351"/>
        <w:gridCol w:w="1027"/>
        <w:gridCol w:w="256"/>
      </w:tblGrid>
      <w:tr>
        <w:trPr/>
        <w:tc>
          <w:tcPr>
            <w:tcW w:w="186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the beginning of period</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confirmed</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invoices paid</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the end of period</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and Other,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interest and other, net as included in the Consolidated Statements of Income for the periods indicated:</w:t>
      </w:r>
    </w:p>
    <w:tbl>
      <w:tblPr>
        <w:tblW w:w="9577" w:type="dxa"/>
        <w:jc w:val="left"/>
        <w:tblInd w:w="0" w:type="dxa"/>
        <w:tblLayout w:type="fixed"/>
        <w:tblCellMar>
          <w:top w:w="28" w:type="dxa"/>
          <w:left w:w="28" w:type="dxa"/>
          <w:bottom w:w="28" w:type="dxa"/>
          <w:right w:w="28" w:type="dxa"/>
        </w:tblCellMar>
      </w:tblPr>
      <w:tblGrid>
        <w:gridCol w:w="1333"/>
        <w:gridCol w:w="1172"/>
        <w:gridCol w:w="1184"/>
        <w:gridCol w:w="109"/>
        <w:gridCol w:w="109"/>
        <w:gridCol w:w="109"/>
        <w:gridCol w:w="109"/>
        <w:gridCol w:w="389"/>
        <w:gridCol w:w="999"/>
        <w:gridCol w:w="201"/>
        <w:gridCol w:w="109"/>
        <w:gridCol w:w="109"/>
        <w:gridCol w:w="109"/>
        <w:gridCol w:w="332"/>
        <w:gridCol w:w="1087"/>
        <w:gridCol w:w="171"/>
        <w:gridCol w:w="109"/>
        <w:gridCol w:w="109"/>
        <w:gridCol w:w="109"/>
        <w:gridCol w:w="323"/>
        <w:gridCol w:w="1060"/>
        <w:gridCol w:w="236"/>
      </w:tblGrid>
      <w:tr>
        <w:trPr/>
        <w:tc>
          <w:tcPr>
            <w:tcW w:w="13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1946"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2, 2024</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Interest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 primarily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businesses and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6415"/>
                <wp:effectExtent l="0" t="0" r="0" b="0"/>
                <wp:wrapNone/>
                <wp:docPr id="136" name="Frame13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Taxes Paid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income taxes paid as included in the Consolidated Statements of Cash Flows:</w:t>
      </w:r>
    </w:p>
    <w:tbl>
      <w:tblPr>
        <w:tblW w:w="4936" w:type="dxa"/>
        <w:jc w:val="left"/>
        <w:tblInd w:w="0" w:type="dxa"/>
        <w:tblLayout w:type="fixed"/>
        <w:tblCellMar>
          <w:top w:w="28" w:type="dxa"/>
          <w:left w:w="28" w:type="dxa"/>
          <w:bottom w:w="28" w:type="dxa"/>
          <w:right w:w="28" w:type="dxa"/>
        </w:tblCellMar>
      </w:tblPr>
      <w:tblGrid>
        <w:gridCol w:w="1010"/>
        <w:gridCol w:w="888"/>
        <w:gridCol w:w="892"/>
        <w:gridCol w:w="375"/>
        <w:gridCol w:w="1096"/>
        <w:gridCol w:w="194"/>
        <w:gridCol w:w="109"/>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6415"/>
                <wp:effectExtent l="0" t="0" r="0" b="0"/>
                <wp:wrapNone/>
                <wp:docPr id="137" name="Frame13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21 — GOVERNMENT ASSISTANCE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receives government assistance in the form of grants and incentives which vary in size, duration, and conditions from various domestic and international governing bodies and related entities which are primarily structured as cash grants and non-income tax incentives. For government assistance in which no specific GAAP applies, the Company accounts for such transactions as a gain contingency and by analogy to a grant model. Under such model, the Company recognizes the impact of the government assistance on the Consolidated Statements of Income upon reaching reasonable assurance that the Company will comply with the conditions of the assistance and that the grant will be received. The Company classifies the impact of government assistance on the Consolidated Statements of Income based on the underlying nature and purpose of the assistance.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fiscal years ended January 30, 2026, January 31, 2025, and February 2, 2024, government assistance received primarily consisted of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received assistance from foreign governmental entities designed, in part, to promote competitive pricing by providing companies with an offset to local sales taxes incurred on the sales of products to customers. The assistance received is broadly available to companies. To qualify for this assistance, companies are required to invest a portion of local revenue, derived from goods manufactured locally, into research and development activities. The incentives in place are currently set to expire at various dates through 2029. Such expirations could be impacted by future legislation. During the fiscal years ended January 30, 2026, January 31, 2025, and February 2, 2024, the Company recognized $339 million, $279 million, and $288 million, respectively, within net revenue on the Consolidated Statements of Income related to such assistance.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received incentives from foreign governmental entities to provide reimbursement for various costs incurred that are directly tied to the production or delivery of offerings sold to customers. The agreements governing such assistance require that the Company comply with certain conditions including, but not limited to, the achievement of future operational targets. These agreements currently expire at various dates through 2029. During the fiscal years ended January 30, 2026, January 31, 2025, and February 2, 2024, the Company recognized a benefit of $18 million, $45 million, and $166 million, respectively, to cost of net revenue on the Consolidated Statements of Income related to such assistance.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6415"/>
                <wp:effectExtent l="0" t="0" r="0" b="0"/>
                <wp:wrapNone/>
                <wp:docPr id="138" name="Frame13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22 — SUBSEQUENT 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known events occurring after January 30, 2026 and up until the date of issuance of this report that would materially affect the information presented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6415"/>
                <wp:effectExtent l="0" t="0" r="0" b="0"/>
                <wp:wrapNone/>
                <wp:docPr id="139" name="Frame13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9A</w:t>
      </w:r>
      <w:r>
        <w:rPr>
          <w:color w:val="000000"/>
        </w:rPr>
        <w:t xml:space="preserve"> — </w:t>
      </w:r>
      <w:r>
        <w:rPr>
          <w:rFonts w:ascii="Times New Roman;serif" w:hAnsi="Times New Roman;serif"/>
          <w:b/>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January 30, 2026. Based on that evaluation, our Chief Executive Officer and Chief Financial Officer have concluded that as of January 30, 2026, the Company’s disclosure controls and procedures were effective to accomplish their objectives at the reasonable assurance level.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under the supervision of the Chief Executive Officer and the Chief Financial Officer, is responsible for establishing and maintaining adequate internal control over financial reporting. Internal control over financial reporting (as defined in Rules 13a-15(f) and 15d-15(f)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and that receipts and expenditures of the issuer are being made only in accordance with appropriate authorization of management and the directors of the issuer, and (c) provide reasonable assurance regarding prevention or timely detection of unauthorized acquisition, use, or disposition of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the preparation of this report, our management, under the supervision and with the participation of our Chief Executive Officer and Chief Financial Officer, conducted an evaluation of the effectiveness of our internal control over financial reporting as of January 30, 2026, based on the criteria established in </w:t>
      </w:r>
      <w:r>
        <w:rPr>
          <w:rFonts w:ascii="Times New Roman;serif" w:hAnsi="Times New Roman;serif"/>
          <w:b w:val="false"/>
          <w:i/>
          <w:color w:val="000000"/>
          <w:sz w:val="20"/>
        </w:rPr>
        <w:t>Internal Control — Integrated Framework </w:t>
      </w:r>
      <w:r>
        <w:rPr>
          <w:rFonts w:ascii="Times New Roman;serif" w:hAnsi="Times New Roman;serif"/>
          <w:b w:val="false"/>
          <w:color w:val="000000"/>
          <w:sz w:val="20"/>
        </w:rPr>
        <w:t xml:space="preserve">(2013) issued by the Committee of Sponsoring Organizations of the Treadway Commission (COSO). As a result of that evaluation, management has concluded that our internal control over financial reporting was effective as of January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January 30, 2026 has been audited by PricewaterhouseCoopers LLP, our independent registered public accounting firm, as stated in their report, which is included in “Item 8 — Financial Statements and Supplementary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in the process of an ongoing business modernization initiative to advance our capabilities, leverage new technology, and optimize business processes to change the way we work and make decisions, improve business outcomes, and reduce costs. As part of this initiative, we are modernizing accounting and finance systems. We have modified and will continue to modify the design and implementation of certain internal control processes to accommodate changes to our business processes and finance procedures, as our business modernization initiative continues.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6415"/>
                <wp:effectExtent l="0" t="0" r="0" b="0"/>
                <wp:wrapNone/>
                <wp:docPr id="140" name="Frame13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other changes in our internal control over financial reporting during the fiscal quarter ended January 30, 2026 that have materially affected, or are reasonably likely to materially affect, our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Judgments in decision-making can be faulty, and control and process breakdowns can occur because of simple errors or mistakes.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Controls can be circumvented by individuals, acting alone or in collusion with each other, or by management override.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design of any system of controls is based in part on certain assumptions about the likelihood of future events, and there can be no assurance that any design will succeed in achieving its stated goals under all potential future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Over time, controls may become inadequate because of changes in conditions or deterioration in the degree of compliance with associated policies or procedures.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design of a control system must reflect the fact that resources are constrained, and the benefits of controls must be considered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6415"/>
                <wp:effectExtent l="0" t="0" r="0" b="0"/>
                <wp:wrapNone/>
                <wp:docPr id="141" name="Frame14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18, 2025, Richard Troy Sharp, the Company’s Chief Accounting Officer, adopted a written plan for the sale of up to 2,071 shares of the Company’s Class C Common Stock that is intended to satisfy the affirmative defense conditions of Rule 10b5-1(c) under the Exchange Act. The plan will expire on December 18, 2026, or on any earlier date on which all of the shares have been sold.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15, 2026, Jeffrey W. Clarke, the Company’s Vice Chairman and Chief Operating Officer, adopted a written plan for the sale of up to 116,000 shares of the Company’s Class C Common Stock that is intended to satisfy the affirmative defense conditions of Rule 10b5-1(c) under the Exchange Act. The plan will expire on June 30, 2026, or on any earlier date on which all of the shares have been sold.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adopted a code of ethics applicable to our principal executive officer and our other senior financial officers. The code of ethics, which we refer to as our Code of Ethics for Senior Financial Officers, is available on the Investor Relations page of our website at www.dell.com.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“Part I — Item 1 — Business — Information about our Executive Officers” for more information about our executive officers, which is incorporated by reference in this Item 10. Other information required by this Item 10 is incorporated herein by reference to our definitive proxy statement for our 2026 annual meeting of stockholders, referred to as the “2026 proxy statement,” which we will file with the SEC on or before 120 days after our 2026 fiscal year-end, and which will appear in the 2026 proxy statement under the captions “Proposal 1 — Election of Directors,” “Compensation Discussion and Analysis” and “Additional Information — Delinquent Section 16(a) Reports,” if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information about the members of our Board of Directors and the principal occupation or employment of each director is provided as of the date of this report.</w:t>
      </w:r>
    </w:p>
    <w:p>
      <w:pPr>
        <w:pStyle w:val="TextBody"/>
        <w:bidi w:val="0"/>
        <w:spacing w:before="0" w:after="0"/>
        <w:jc w:val="left"/>
        <w:rPr/>
      </w:pPr>
      <w:r>
        <w:rPr/>
      </w:r>
    </w:p>
    <w:tbl>
      <w:tblPr>
        <w:tblW w:w="5758" w:type="dxa"/>
        <w:jc w:val="center"/>
        <w:tblInd w:w="0" w:type="dxa"/>
        <w:tblLayout w:type="fixed"/>
        <w:tblCellMar>
          <w:top w:w="28" w:type="dxa"/>
          <w:left w:w="28" w:type="dxa"/>
          <w:bottom w:w="28" w:type="dxa"/>
          <w:right w:w="28" w:type="dxa"/>
        </w:tblCellMar>
      </w:tblPr>
      <w:tblGrid>
        <w:gridCol w:w="1168"/>
        <w:gridCol w:w="1027"/>
        <w:gridCol w:w="1029"/>
        <w:gridCol w:w="741"/>
        <w:gridCol w:w="741"/>
        <w:gridCol w:w="1052"/>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Michael S. Dell</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Dell Technologies Inc.</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Grain</w:t>
              <w:br/>
              <w:t>Founder and CEO</w:t>
              <w:br/>
              <w:t>Grain Management</w:t>
              <w:br/>
              <w:t>(private equity)</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David W. Dorman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Founding Partner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Centerview Capital Technology</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Egon Durban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Co-CEO</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Silver Lake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(private equity)</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Ellen J. Kullman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Public Company Director</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Steve M. Mollenkopf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Public Company Director</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William D. Green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Public Company Director</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Lynn Vojvodich Radakovich</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Public Company Director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6415"/>
                <wp:effectExtent l="0" t="0" r="0" b="0"/>
                <wp:wrapNone/>
                <wp:docPr id="142" name="Frame14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11 is incorporated herein by reference to the 2026 proxy statement, including the information in the 2026 proxy statement appearing under the captions “Proposal 1 — Election of Directors — Director Compensation,” “Compensation Discussion and Analysis” and “Compensation of Executive Officers.”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12 is incorporated herein by reference to the 2026 proxy statement, including the information in the 2026 proxy statement appearing under the captions “Equity Compensation Plan Information” and “Security Ownership of Certain Beneficial Owners and Management.”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13 is incorporated herein by reference to the 2026 proxy statement, including the information in the 2026 proxy statement appearing under the captions “Proposal 1 — Elections of Directors” and “Transactions with Related Persons.”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 PRINCIPAL ACCOUNTANT FEES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14 is incorporated herein by reference to the 2026 proxy statement, including the information in the 2026 proxy statement appearing under the caption “Proposal 2 — Ratification of Appointment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6415"/>
                <wp:effectExtent l="0" t="0" r="0" b="0"/>
                <wp:wrapNone/>
                <wp:docPr id="143" name="Frame14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 EXHIBITS AND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Annual Report on Form 10-K:</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The following financial statements are filed as part of this report under “Part II — Item 8 — Financial Statements and Supplementary Data”:</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Financial Position at January 30, 2026 and January 31, 2025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for the fiscal years ended January 30, 2026, January 31, 2025, and February 2, 2024</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fiscal years ended January 30, 2026, January 31, 2025, and February 2, 2024</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fiscal years ended January 30, 2026, January 31, 2025, and February 2, 2024</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(Deficit) for the fiscal years ended January 30, 2026, January 31, 2025, and February 2, 2024</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(2)    </w:t>
      </w:r>
      <w:r>
        <w:rPr>
          <w:rFonts w:ascii="Times New Roman;serif" w:hAnsi="Times New Roman;serif"/>
          <w:b w:val="false"/>
          <w:i/>
          <w:color w:val="000000"/>
          <w:sz w:val="20"/>
        </w:rPr>
        <w:t xml:space="preserve">Financial Statement Schedules: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they are not applicable or the required information is otherwise included in the Consolidated Financial Statements or Notes thereto.</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following are filed as exhibits to this Annual Report on Form 10-K:</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4"/>
        <w:gridCol w:w="2644"/>
        <w:gridCol w:w="377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Separation and Distribution Agreement, dated as of April 14, 2021, by and between Dell Technologies Inc. and VMware, Inc. (incorporated by reference to Exhibit 2.1 to the Current Report on Form 8-K of Dell Technologies Inc. (the “Company”) filed with the Securities and Exchange Commission (the “Commission”) on April 14, 2021) (Commission File No. 001-37867).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Letter Agreement, dated as of October 7, 2021, by and between Dell Technologies Inc. and VMware, Inc. (incorporated by reference to Exhibit 99.1 to the Company’s Current Report on Form 8-K filed with the Commission on October 7, 2021) (Commission File No. 001-37867).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erif" w:hAnsi="Times New Roman;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Letter Agreement, dated as of November 1, 2021, by and between Dell Technologies Inc. and VMware, Inc. (incorporated by reference to Exhibit 99.2 to the Company’s Current Report on Form 8-K filed with the Commission on November 1, 2021) (Commission File No. 001-37867).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Sixth Amended and Restated Certificate of Incorporation of Dell Technologies Inc. (incorporated by reference to Exhibit 3.1 to the Company’s Current Report on Form 8-K filed with the Commission on June 29, 2022) (Commission File No. 001-37867).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Third Amended and Restated Bylaws of Dell Technologies Inc. (incorporated by reference to Exhibit 3.2 to the Company’s Current Report on Form 8-K filed with the Commission on June 29, 2022) (Commission File No. 001-37867).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Indenture, dated as of April 27, 1998, between Dell Computer Corporation and Chase Bank of Texas, National Association, as trustee (incorporated by reference to Exhibit 99.2 to Dell Inc.’s Current Report on Form 8-K filed with the Commission on April 28, 1998) (Commission File No. 000-17017).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Indenture, dated as of April 17, 2008, between Dell Inc. and The Bank of New York Mellon Trust Company, N.A. (formerly The Bank of New York Trust Company, N.A.), as trustee (including the form of notes) (incorporated by reference to Exhibit 4.1 to Dell Inc.’s Current Report on Form 8-K filed with the Commission on April 17, 2008) (Commission File No. 000-17017).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Indenture, dated as of April 6, 2009, between Dell Inc. and The Bank of New York Mellon Trust Company, N.A., as trustee (incorporated by reference to Exhibit 4.1 to Dell Inc.’s Current Report on Form 8-K filed with the Commission on April 6, 2009) (Commission File No. 000-17017).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Third Supplemental Indenture, dated September 10, 2010, between Dell Inc. and The Bank of New York Mellon Trust Company, N.A., as trustee (incorporated by reference to Exhibit 4.1 to Dell Inc.’s Current Report on Form 8-K filed with the Commission on September 10, 2010) (Commission File No. 000-17017).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6415"/>
                <wp:effectExtent l="0" t="0" r="0" b="0"/>
                <wp:wrapNone/>
                <wp:docPr id="144" name="Frame14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770"/>
        <w:gridCol w:w="2745"/>
        <w:gridCol w:w="3882"/>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Base Indenture, dated as of June 1, 2016, among Diamond 1 Finance Corporation and Diamond 2 Finance Corporation, as issuers, and The Bank of New York Mellon Trust Company, N.A., as trustee and collateral agent (incorporated by reference to Exhibit 4.14 to Amendment No. 6 to the Company’s Registration Statement on Form S-4 (the “2016 Form S-4”) filed with the Commission on June 3, 2016) (Registration No. 333-208524).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Times New Roman;serif" w:hAnsi="Times New Roman;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2026 Notes Supplemental Indenture No. 1, dated June 1, 2016, among Diamond 1 Finance Corporation, Diamond 2 Finance Corporation and The Bank of New York Mellon Trust Company, N.A., as trustee and collateral agent (incorporated by reference to Exhibit 4.21 to Amendment No. 6 to the Company’s 2016 Form S-4 filed with the Commission on June 3, 2016) (Registration No. 333-208524).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Times New Roman;serif" w:hAnsi="Times New Roman;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2036 Notes Supplemental Indenture No. 1, dated June 1, 2016, among Diamond 1 Finance Corporation, Diamond 2 Finance Corporation and The Bank of New York Mellon Trust Company, N.A., as trustee and collateral agent (incorporated by reference to Exhibit 4.23 to Amendment No. 6 to the Company’s 2016 Form S-4 filed with the Commission on June 3, 2016) (Registration No. 333-208524).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7">
              <w:r>
                <w:rPr>
                  <w:rStyle w:val="InternetLink"/>
                  <w:rFonts w:ascii="Times New Roman;serif" w:hAnsi="Times New Roman;serif"/>
                  <w:b w:val="false"/>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2046 Notes Supplemental Indenture No. 1, dated June 1, 2016, among Diamond 1 Finance Corporation, Diamond 2 Finance Corporation and The Bank of New York Mellon Trust Company, N.A., as trustee and collateral agent (incorporated by reference to Exhibit 4.25 to Amendment No. 6 to the Company’s 2016 Form S-4 filed with the Commission on June 3, 2016) (Registration No. 333-208524).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9">
              <w:r>
                <w:rPr>
                  <w:rStyle w:val="InternetLink"/>
                  <w:rFonts w:ascii="Times New Roman;serif" w:hAnsi="Times New Roman;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First Supplemental Indenture, dated as of September 6, 2016, by and among Diamond 1 Finance Corporation, Diamond 2 Finance Corporation and The Bank of New York Mellon Trust Company, N.A., as trustee and collateral agent (incorporated by reference to Exhibit 4.1 to the Company’s Current Report on Form 8-K filed with the Commission on September 9, 2016)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1">
              <w:r>
                <w:rPr>
                  <w:rStyle w:val="InternetLink"/>
                  <w:rFonts w:ascii="Times New Roman;serif" w:hAnsi="Times New Roman;serif"/>
                  <w:b w:val="false"/>
                  <w:color w:val="0000FF"/>
                  <w:sz w:val="20"/>
                  <w:u w:val="single"/>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2019 Notes Supplemental Indenture No. 2, 2021 Notes Supplemental Indenture No. 2, 2023 Notes Supplemental Indenture No. 2, 2026 Notes Supplemental Indenture No. 2, 2036 Notes Supplemental Indenture No. 2 and 2046 Notes Supplemental Indenture No. 2, dated as of September 7, 2016, by and among Dell International L.L.C., EMC Corporation, New Dell International LLC and The Bank of New York Mellon Trust Company, N.A., as trustee and collateral agent (incorporated by reference to Exhibit 4.2 to the Company’s Current Report on Form 8-K filed with the Commission on September 9, 2016)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3">
              <w:r>
                <w:rPr>
                  <w:rStyle w:val="InternetLink"/>
                  <w:rFonts w:ascii="Times New Roman;serif" w:hAnsi="Times New Roman;serif"/>
                  <w:b w:val="false"/>
                  <w:color w:val="0000FF"/>
                  <w:sz w:val="20"/>
                  <w:u w:val="single"/>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2019 Notes Supplemental Indenture No. 3, 2021 Notes Supplemental Indenture No. 3, 2023 Notes Supplemental Indenture No. 3, 2026 Notes Supplemental Indenture No. 3, 2036 Notes Supplemental Indenture No. 3 and 2046 Notes Supplemental Indenture No. 3, dated as of September 7, 2016, by and among Dell International L.L.C., EMC Corporation, Dell Technologies Inc., Denali Intermediate Inc., Dell Inc., the other guarantors named therein and The Bank of New York Mellon Trust Company, N.A., as trustee and collateral agent (incorporated by reference to Exhibit 4.3 to the Company’s Current Report on Form 8-K filed with the Commission on September 9, 2016)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5">
              <w:r>
                <w:rPr>
                  <w:rStyle w:val="InternetLink"/>
                  <w:rFonts w:ascii="Times New Roman;serif" w:hAnsi="Times New Roman;serif"/>
                  <w:b w:val="false"/>
                  <w:color w:val="0000FF"/>
                  <w:sz w:val="20"/>
                  <w:u w:val="single"/>
                </w:rPr>
                <w:t>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2019 Notes Supplemental Indenture No. 4, 2021 Notes Supplemental Indenture No. 4, 2023 Notes Supplemental Indenture No. 4, 2026 Notes Supplemental Indenture No. 4, 2036 Notes Supplemental Indenture No. 4 and 2046 Notes Supplemental Indenture No. 4, dated as of May 23, 2017, by and among Dell International L.L.C., EMC Corporation, Dell Global Holdings XIII L.L.C., QTZ L.L.C. and The Bank of New York Mellon Trust Company, N.A., as Trustee and Collateral Agent (incorporated by reference to Exhibit 4.32 to the Company’s Annual Report on Form 10-K for the fiscal year ended February 1, 2019)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7">
              <w:r>
                <w:rPr>
                  <w:rStyle w:val="InternetLink"/>
                  <w:rFonts w:ascii="Times New Roman;serif" w:hAnsi="Times New Roman;serif"/>
                  <w:b w:val="false"/>
                  <w:color w:val="0000FF"/>
                  <w:sz w:val="20"/>
                  <w:u w:val="single"/>
                </w:rPr>
                <w:t>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Supplemental Indenture No. 5, dated as of March 20, 2019, among Dell International L.L.C., EMC Corporation, the guarantors party thereto and The Bank of New York Mellon Trust Company, N.A., as Trustee and Notes Collateral Agent (incorporated by reference to Exhibit 4.11 to the Company’s Current Report on Form 8-K filed with the Commission on March 21, 2019)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9">
              <w:r>
                <w:rPr>
                  <w:rStyle w:val="InternetLink"/>
                  <w:rFonts w:ascii="Times New Roman;serif" w:hAnsi="Times New Roman;serif"/>
                  <w:b w:val="false"/>
                  <w:color w:val="0000FF"/>
                  <w:sz w:val="20"/>
                  <w:u w:val="single"/>
                </w:rPr>
                <w:t>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Base Indenture, dated as of March 20, 2019, among Dell International L.L.C., EMC Corporation, the guarantors party thereto and The Bank of New York Mellon Trust Company, N.A., as Trustee and Notes Collateral Agent (incorporated by reference to Exhibit 4.1 to the Company’s Current Report on Form 8-K filed with the Commission on March 21, 2019)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1">
              <w:r>
                <w:rPr>
                  <w:rStyle w:val="InternetLink"/>
                  <w:rFonts w:ascii="Times New Roman;serif" w:hAnsi="Times New Roman;serif"/>
                  <w:b w:val="false"/>
                  <w:color w:val="0000FF"/>
                  <w:sz w:val="20"/>
                  <w:u w:val="single"/>
                </w:rPr>
                <w:t>4.15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2026 Notes Supplemental Indenture No. 1, dated as of March 20, 2019, among Dell International L.L.C., EMC Corporation, the guarantors party thereto and The Bank of New York Mellon Trust Company, N.A., as Trustee and Notes Collateral Agent (incorporated by reference to Exhibit 4.3 to the Company’s Current Report on Form 8-K filed with the Commission on March 21, 2019)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3">
              <w:r>
                <w:rPr>
                  <w:rStyle w:val="InternetLink"/>
                  <w:rFonts w:ascii="Times New Roman;serif" w:hAnsi="Times New Roman;serif"/>
                  <w:b w:val="false"/>
                  <w:color w:val="0000FF"/>
                  <w:sz w:val="20"/>
                  <w:u w:val="single"/>
                </w:rPr>
                <w:t>4.16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2029 Notes Supplemental Indenture No. 1, dated as of March 20, 2019, among Dell International L.L.C., EMC Corporation, the guarantors party thereto and The Bank of New York Mellon Trust Company, N.A., as Trustee and Notes Collateral Agent (incorporated by reference to Exhibit 4.4 to the Company’s Current Report on Form 8-K filed with the Commission on March 21, 2019)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5">
              <w:r>
                <w:rPr>
                  <w:rStyle w:val="InternetLink"/>
                  <w:rFonts w:ascii="Times New Roman;serif" w:hAnsi="Times New Roman;serif"/>
                  <w:b w:val="false"/>
                  <w:color w:val="0000FF"/>
                  <w:sz w:val="20"/>
                  <w:u w:val="single"/>
                </w:rPr>
                <w:t>4.17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Base Indenture, dated as of April 9, 2020, among Dell International L.L.C., EMC Corporation, the guarantors party thereto and The Bank of New York Mellon Trust Company, N.A., as Trustee and Notes Collateral Agent (incorporated by reference to Exhibit 4.1 to the Company’s Current Report on Form 8-K filed with the Commission on April 9, 2020) (Commission File No. 001-37867).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6415"/>
                <wp:effectExtent l="0" t="0" r="0" b="0"/>
                <wp:wrapNone/>
                <wp:docPr id="145" name="Frame14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9"/>
        <w:gridCol w:w="157"/>
        <w:gridCol w:w="158"/>
        <w:gridCol w:w="109"/>
        <w:gridCol w:w="109"/>
        <w:gridCol w:w="109"/>
        <w:gridCol w:w="2742"/>
        <w:gridCol w:w="2742"/>
        <w:gridCol w:w="390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7">
              <w:r>
                <w:rPr>
                  <w:rStyle w:val="InternetLink"/>
                  <w:rFonts w:ascii="Times New Roman;serif" w:hAnsi="Times New Roman;serif"/>
                  <w:b w:val="false"/>
                  <w:color w:val="0000FF"/>
                  <w:sz w:val="20"/>
                  <w:u w:val="single"/>
                </w:rPr>
                <w:t>4.18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2027 Notes Supplemental Indenture No. 1, dated as of April 9, 2020, among Dell International L.L.C., EMC Corporation, the guarantors party thereto and The Bank of New York Mellon Trust Company, N.A., as Trustee and Notes Collateral Agent (incorporated by reference to Exhibit 4.3 to the Company’s Current Report on Form 8-K filed with the Commission on April 9, 2020)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9">
              <w:r>
                <w:rPr>
                  <w:rStyle w:val="InternetLink"/>
                  <w:rFonts w:ascii="Times New Roman;serif" w:hAnsi="Times New Roman;serif"/>
                  <w:b w:val="false"/>
                  <w:color w:val="0000FF"/>
                  <w:sz w:val="20"/>
                  <w:u w:val="single"/>
                </w:rPr>
                <w:t>4.19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2030 Notes Supplemental Indenture No. 1, dated as of April 9, 2020, among Dell International L.L.C., EMC Corporation, the guarantors party thereto and The Bank of New York Mellon Trust Company, N.A., as Trustee and Notes Collateral Agent (incorporated by reference to Exhibit 4.4 to the Company’s Current Report on Form 8-K filed with the Commission on April 9, 2020)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1">
              <w:r>
                <w:rPr>
                  <w:rStyle w:val="InternetLink"/>
                  <w:rFonts w:ascii="Times New Roman;serif" w:hAnsi="Times New Roman;serif"/>
                  <w:b w:val="false"/>
                  <w:color w:val="0000FF"/>
                  <w:sz w:val="20"/>
                  <w:u w:val="single"/>
                </w:rPr>
                <w:t>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Base Indenture, dated as of December 13, 2021, among Dell International L.L.C., EMC Corporation, the guarantors party thereto and The Bank of New York Mellon Trust Company, N.A., as Trustee (incorporated by reference to Exhibit 4.1 to the Company’s Current Report on Form 8-K filed with the Commission on December 15, 2021)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3">
              <w:r>
                <w:rPr>
                  <w:rStyle w:val="InternetLink"/>
                  <w:rFonts w:ascii="Times New Roman;serif" w:hAnsi="Times New Roman;serif"/>
                  <w:b w:val="false"/>
                  <w:color w:val="0000FF"/>
                  <w:sz w:val="20"/>
                  <w:u w:val="single"/>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2041 Notes Supplemental Indenture No. 1, dated as of December 13, 2021, among Dell International L.L.C., EMC Corporation, the guarantors party thereto and The Bank of New York Mellon Trust Company, N.A., as Trustee (incorporated by reference to Exhibit 4.2 to the Company’s Current Report on Form 8-K filed with the Commission on December 15, 2021)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5">
              <w:r>
                <w:rPr>
                  <w:rStyle w:val="InternetLink"/>
                  <w:rFonts w:ascii="Times New Roman;serif" w:hAnsi="Times New Roman;serif"/>
                  <w:b w:val="false"/>
                  <w:color w:val="0000FF"/>
                  <w:sz w:val="20"/>
                  <w:u w:val="single"/>
                </w:rPr>
                <w:t>4.22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2051 Notes Supplemental Indenture No. 1, dated as of December 13, 2021, among Dell International L.L.C., EMC Corporation, the guarantors party thereto and The Bank of New York Mellon Trust Company, N.A., as Trustee (incorporated by reference to Exhibit 4.3 to the Company’s Current Report on Form 8-K filed with the Commission on December 15, 2021)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7">
              <w:r>
                <w:rPr>
                  <w:rStyle w:val="InternetLink"/>
                  <w:rFonts w:ascii="Times New Roman;serif" w:hAnsi="Times New Roman;serif"/>
                  <w:b w:val="false"/>
                  <w:color w:val="0000FF"/>
                  <w:sz w:val="20"/>
                  <w:u w:val="single"/>
                </w:rPr>
                <w:t>4.23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Form of Global Note for 3.375% Senior Notes due 2041 (included in Exhibit 4.21).</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9">
              <w:r>
                <w:rPr>
                  <w:rStyle w:val="InternetLink"/>
                  <w:rFonts w:ascii="Times New Roman;serif" w:hAnsi="Times New Roman;serif"/>
                  <w:b w:val="false"/>
                  <w:color w:val="000080"/>
                  <w:sz w:val="20"/>
                  <w:u w:val="single"/>
                </w:rPr>
                <w:t>4.2</w:t>
              </w:r>
            </w:hyperlink>
            <w:hyperlink r:id="rId60">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Form of Global Note for 3.450% Senior Notes due 2051 (included in Exhibit 4.22).</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2">
              <w:r>
                <w:rPr>
                  <w:rStyle w:val="InternetLink"/>
                  <w:rFonts w:ascii="Times New Roman;serif" w:hAnsi="Times New Roman;serif"/>
                  <w:b w:val="false"/>
                  <w:color w:val="000080"/>
                  <w:sz w:val="20"/>
                  <w:u w:val="single"/>
                </w:rPr>
                <w:t>4.2</w:t>
              </w:r>
            </w:hyperlink>
            <w:hyperlink r:id="rId63">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Second Amended and Restated Registration Rights Agreement, dated as of December 25, 2018, by and among Dell Technologies Inc., Michael S. Dell, Susan Lieberman Dell Separate Property Trust, MSDC Denali Investors, L.P., MSDC Denali EIV, LLC, Silver Lake Partners III, L.P., Silver Lake Technology Investors III, L.P., Silver Lake Partners IV, L.P., Silver Lake Technology Investors IV, L.P., SLP Denali Co-Invest, L.P., Venezio Investments Pte. Ltd. and the Management Stockholders party thereto (incorporated by reference to Exhibit 10.4 to the Company’s Current Report on Form 8-K filed with the Commission on December 28, 2018)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5">
              <w:r>
                <w:rPr>
                  <w:rStyle w:val="InternetLink"/>
                  <w:rFonts w:ascii="Times New Roman;serif" w:hAnsi="Times New Roman;serif"/>
                  <w:b w:val="false"/>
                  <w:color w:val="000080"/>
                  <w:sz w:val="20"/>
                  <w:u w:val="single"/>
                </w:rPr>
                <w:t>4.2</w:t>
              </w:r>
            </w:hyperlink>
            <w:hyperlink r:id="rId66">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80"/>
                  <w:sz w:val="20"/>
                  <w:u w:val="single"/>
                </w:rPr>
                <w:t>Amendment No. 1 to the Second Amended and Restated Registration Rights Agreement, dated as of May 27, 2019, among Dell Technologies Inc., Michael S. Dell, Susan Lieberman Dell Separate Property Trust, MSDC Denali Investors, L.P., MSDC Denali EIV, LLC, SL SPV-2, L.P., Silver Lake Partners IV, L.P., Silver Lake Technology Investors IV, L.P., Silver Lake Partners V DE (AIV), L.P., Silver Lake Technology Investors V, L.P., SLP Denali Co-Invest, L.P. and Venezio Investments Pte. Ltd</w:t>
              </w:r>
            </w:hyperlink>
            <w:hyperlink r:id="rId68">
              <w:r>
                <w:rPr>
                  <w:rStyle w:val="InternetLink"/>
                  <w:rFonts w:ascii="Times New Roman;serif" w:hAnsi="Times New Roman;serif"/>
                  <w:b w:val="false"/>
                  <w:color w:val="000080"/>
                  <w:sz w:val="20"/>
                  <w:u w:val="single"/>
                </w:rPr>
                <w:t>.</w:t>
              </w:r>
            </w:hyperlink>
            <w:hyperlink r:id="rId69">
              <w:r>
                <w:rPr>
                  <w:rStyle w:val="InternetLink"/>
                  <w:rFonts w:ascii="Times New Roman;serif" w:hAnsi="Times New Roman;serif"/>
                  <w:b w:val="false"/>
                  <w:color w:val="000080"/>
                  <w:sz w:val="20"/>
                  <w:u w:val="single"/>
                </w:rPr>
                <w:t xml:space="preserve"> </w:t>
              </w:r>
            </w:hyperlink>
            <w:hyperlink r:id="rId70">
              <w:r>
                <w:rPr>
                  <w:rStyle w:val="InternetLink"/>
                  <w:rFonts w:ascii="Times New Roman;serif" w:hAnsi="Times New Roman;serif"/>
                  <w:b w:val="false"/>
                  <w:color w:val="000080"/>
                  <w:sz w:val="20"/>
                  <w:u w:val="single"/>
                </w:rPr>
                <w:t>(incorporated by reference to Exhibit 4.40 to the Company’s Annual Report on Form 10-K for the fiscal year ended January 31, 2020)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1">
              <w:r>
                <w:rPr>
                  <w:rStyle w:val="InternetLink"/>
                  <w:rFonts w:ascii="Times New Roman;serif" w:hAnsi="Times New Roman;serif"/>
                  <w:b w:val="false"/>
                  <w:color w:val="000080"/>
                  <w:sz w:val="20"/>
                  <w:u w:val="single"/>
                </w:rPr>
                <w:t>4.2</w:t>
              </w:r>
            </w:hyperlink>
            <w:hyperlink r:id="rId72">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Amendment No. 2 to the Second Amended and Restated Registration Rights Agreement, dated as of April 15, 2020, among Dell Technologies Inc., Michael S. Dell and Susan Lieberman Dell Separate Property Trust, SL SPV-2 L.P., Silver Lake Partners IV, L.P., Silver Lake Technology Investors IV, L.P., Silver Lake Partners V DE (AIV), L.P., Silver Lake Technology Investors V, L.P. and Venezio Investments Pte. Ltd. (incorporated by reference to Exhibit 4.9 to the Company’s Quarterly Report on Form 10-Q for the quarterly period ended May 1, 2020)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4">
              <w:r>
                <w:rPr>
                  <w:rStyle w:val="InternetLink"/>
                  <w:rFonts w:ascii="Times New Roman;serif" w:hAnsi="Times New Roman;serif"/>
                  <w:b w:val="false"/>
                  <w:color w:val="0000FF"/>
                  <w:sz w:val="20"/>
                  <w:u w:val="single"/>
                </w:rPr>
                <w:t>4.28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Amendment No. 3 to the Second Amended and Restated Registration Rights Agreement, dated as of September 15, 2020, among Dell Technologies Inc., Michael S. Dell and Susan Lieberman Dell Separate Property Trust, SL SPV-2 L.P., Silver Lake Partners IV, L.P., Silver Lake Technology Investors IV, L.P., Silver Lake Partners V DE (AIV), L.P., Silver Lake Technology Investors V, L.P. and Venezio Investments Pte. Ltd. (incorporated by reference to Exhibit 4.1 to the Company’s Quarterly Report on Form 10-Q for the quarterly period ended October 30, 2020)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429q4fy26.htm">
              <w:r>
                <w:rPr>
                  <w:rStyle w:val="InternetLink"/>
                  <w:rFonts w:ascii="Times New Roman;serif" w:hAnsi="Times New Roman;serif"/>
                  <w:b w:val="false"/>
                  <w:color w:val="0000FF"/>
                  <w:sz w:val="20"/>
                  <w:u w:val="single"/>
                </w:rPr>
                <w:t>4.29†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9q4fy26.htm">
              <w:r>
                <w:rPr>
                  <w:rStyle w:val="InternetLink"/>
                  <w:rFonts w:ascii="Times New Roman;serif" w:hAnsi="Times New Roman;serif"/>
                  <w:b w:val="false"/>
                  <w:color w:val="0000FF"/>
                  <w:sz w:val="20"/>
                  <w:u w:val="single"/>
                </w:rPr>
                <w:t>Consent to the Extension of Registration Rights Under the Second Amended and Restated Registration Rights Agreement, dated December 16, 2025, among Dell Technologies Inc. and SL SPV-2 L.P., Silver Lake Partners IV, L.P., Silver Lake Technology Investors IV, L.P., Silver Lake Partners V DE (AIV), L.P., Silver Lake Technology Investors V, L.P.</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6">
              <w:r>
                <w:rPr>
                  <w:rStyle w:val="InternetLink"/>
                  <w:rFonts w:ascii="Times New Roman;serif" w:hAnsi="Times New Roman;serif"/>
                  <w:b w:val="false"/>
                  <w:color w:val="0000FF"/>
                  <w:sz w:val="20"/>
                  <w:u w:val="single"/>
                </w:rPr>
                <w:t>4.30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Base Indenture, dated as of January 24, 2023, among Dell International L.L.C., EMC Corporation, the guarantors party thereto and The Bank of New York Mellon Trust Company, N.A., as Trustee (incorporated by reference to Exhibit 4.1 to the Company’s Current Report on Form 8-K filed with the Commission on January 24, 2023) (Commission File No. 001-37867).</w:t>
              </w:r>
            </w:hyperlink>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8">
              <w:r>
                <w:rPr>
                  <w:rStyle w:val="InternetLink"/>
                  <w:rFonts w:ascii="Times New Roman;serif" w:hAnsi="Times New Roman;serif"/>
                  <w:b w:val="false"/>
                  <w:color w:val="0000FF"/>
                  <w:sz w:val="20"/>
                  <w:u w:val="single"/>
                </w:rPr>
                <w:t>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2028 Notes Supplemental Indenture No. 1, dated as of January 24, 2023, among Dell International L.L.C., EMC Corporation, the guarantors party thereto and The Bank of New York Mellon Trust Company, N.A., as Trustee (incorporated by reference to Exhibit 4.2 to the Company’s Current Report on Form 8-K filed with the Commission on January 24, 2023) (Commission File No. 001-37867).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6415"/>
                <wp:effectExtent l="0" t="0" r="0" b="0"/>
                <wp:wrapNone/>
                <wp:docPr id="146" name="Frame14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46"/>
        <w:gridCol w:w="2746"/>
        <w:gridCol w:w="390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0">
              <w:r>
                <w:rPr>
                  <w:rStyle w:val="InternetLink"/>
                  <w:rFonts w:ascii="Times New Roman;serif" w:hAnsi="Times New Roman;serif"/>
                  <w:b w:val="false"/>
                  <w:color w:val="0000FF"/>
                  <w:sz w:val="20"/>
                  <w:u w:val="single"/>
                </w:rPr>
                <w:t>4.32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2033 Notes Supplemental Indenture No. 1, dated as of January 24, 2023, among Dell International L.L.C., EMC Corporation, the guarantors party thereto and The Bank of New York Mellon Trust Company, N.A., as Trustee (incorporated by reference to Exhibit 4.3 to the Company’s Current Report on Form 8-K filed with the Commission on January 24, 2023)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2">
              <w:r>
                <w:rPr>
                  <w:rStyle w:val="InternetLink"/>
                  <w:rFonts w:ascii="Times New Roman;serif" w:hAnsi="Times New Roman;serif"/>
                  <w:b w:val="false"/>
                  <w:color w:val="0000FF"/>
                  <w:sz w:val="20"/>
                  <w:u w:val="single"/>
                </w:rPr>
                <w:t>4.33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2034 Notes Supplemental Indenture No. 1, dated as of March 18, 2024, among Dell International L.L.C., EMC Corporation, the guarantors party thereto and The Bank of New York Mellon Trust Company, N.A., as Trustee (incorporated by reference to Exhibit 4.1 to the Company’s Current Report on Form 8-K filed with the Commission on March 18, 2024)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4">
              <w:r>
                <w:rPr>
                  <w:rStyle w:val="InternetLink"/>
                  <w:rFonts w:ascii="Times New Roman;serif" w:hAnsi="Times New Roman;serif"/>
                  <w:b w:val="false"/>
                  <w:color w:val="0000FF"/>
                  <w:sz w:val="20"/>
                  <w:u w:val="single"/>
                </w:rPr>
                <w:t>4.34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2030 Notes Supplemental Indenture No. 1, dated as of October 8, 2024, among Dell International L.L.C., EMC Corporation, the guarantors party thereto and The Bank of New York Mellon Trust Company, N.A., as Trustee (incorporated by reference to Exhibit 4.1 to the Company’s Current Report on Form 8-K filed with the Commission on October 8, 2024)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6">
              <w:r>
                <w:rPr>
                  <w:rStyle w:val="InternetLink"/>
                  <w:rFonts w:ascii="Times New Roman;serif" w:hAnsi="Times New Roman;serif"/>
                  <w:b w:val="false"/>
                  <w:color w:val="0000FF"/>
                  <w:sz w:val="20"/>
                  <w:u w:val="single"/>
                </w:rPr>
                <w:t>4.35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2035 Notes Supplemental Indenture No. 1, dated as of October 8, 2024, among Dell International L.L.C., EMC Corporation, the guarantors party thereto and The Bank of New York Mellon Trust Company, N.A., as Trustee (incorporated by reference to Exhibit 4.2 to the Company’s Current Report on Form 8-K filed with the Commission on October 8, 2024)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8">
              <w:r>
                <w:rPr>
                  <w:rStyle w:val="InternetLink"/>
                  <w:rFonts w:ascii="Times New Roman;serif" w:hAnsi="Times New Roman;serif"/>
                  <w:b w:val="false"/>
                  <w:color w:val="0000FF"/>
                  <w:sz w:val="20"/>
                  <w:u w:val="single"/>
                </w:rPr>
                <w:t>4.36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80"/>
                  <w:sz w:val="20"/>
                  <w:u w:val="single"/>
                </w:rPr>
                <w:t>Form of Global Note for 5.250% Senior Notes due 2028 (included in Exhibit 4.3</w:t>
              </w:r>
            </w:hyperlink>
            <w:hyperlink r:id="rId90">
              <w:r>
                <w:rPr>
                  <w:rStyle w:val="InternetLink"/>
                  <w:rFonts w:ascii="Times New Roman;serif" w:hAnsi="Times New Roman;serif"/>
                  <w:b w:val="false"/>
                  <w:color w:val="000080"/>
                  <w:sz w:val="20"/>
                  <w:u w:val="single"/>
                </w:rPr>
                <w:t>1</w:t>
              </w:r>
            </w:hyperlink>
            <w:hyperlink r:id="rId91">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2">
              <w:r>
                <w:rPr>
                  <w:rStyle w:val="InternetLink"/>
                  <w:rFonts w:ascii="Times New Roman;serif" w:hAnsi="Times New Roman;serif"/>
                  <w:b w:val="false"/>
                  <w:color w:val="0000FF"/>
                  <w:sz w:val="20"/>
                  <w:u w:val="single"/>
                </w:rPr>
                <w:t>4.37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erif" w:hAnsi="Times New Roman;serif"/>
                  <w:b w:val="false"/>
                  <w:color w:val="000080"/>
                  <w:sz w:val="20"/>
                  <w:u w:val="single"/>
                </w:rPr>
                <w:t>Form of Global Note for 5.750% Senior Notes due 2033 (included in Exhibit 4.3</w:t>
              </w:r>
            </w:hyperlink>
            <w:hyperlink r:id="rId94">
              <w:r>
                <w:rPr>
                  <w:rStyle w:val="InternetLink"/>
                  <w:rFonts w:ascii="Times New Roman;serif" w:hAnsi="Times New Roman;serif"/>
                  <w:b w:val="false"/>
                  <w:color w:val="000080"/>
                  <w:sz w:val="20"/>
                  <w:u w:val="single"/>
                </w:rPr>
                <w:t>2</w:t>
              </w:r>
            </w:hyperlink>
            <w:hyperlink r:id="rId95">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6">
              <w:r>
                <w:rPr>
                  <w:rStyle w:val="InternetLink"/>
                  <w:rFonts w:ascii="Times New Roman;serif" w:hAnsi="Times New Roman;serif"/>
                  <w:b w:val="false"/>
                  <w:color w:val="0000FF"/>
                  <w:sz w:val="20"/>
                  <w:u w:val="single"/>
                </w:rPr>
                <w:t>4.38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80"/>
                  <w:sz w:val="20"/>
                  <w:u w:val="single"/>
                </w:rPr>
                <w:t>Form of Global Note for 5.400% Senior Notes due 2034 (included in Exhibit 4.3</w:t>
              </w:r>
            </w:hyperlink>
            <w:hyperlink r:id="rId98">
              <w:r>
                <w:rPr>
                  <w:rStyle w:val="InternetLink"/>
                  <w:rFonts w:ascii="Times New Roman;serif" w:hAnsi="Times New Roman;serif"/>
                  <w:b w:val="false"/>
                  <w:color w:val="000080"/>
                  <w:sz w:val="20"/>
                  <w:u w:val="single"/>
                </w:rPr>
                <w:t>3</w:t>
              </w:r>
            </w:hyperlink>
            <w:hyperlink r:id="rId99">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0">
              <w:r>
                <w:rPr>
                  <w:rStyle w:val="InternetLink"/>
                  <w:rFonts w:ascii="Times New Roman;serif" w:hAnsi="Times New Roman;serif"/>
                  <w:b w:val="false"/>
                  <w:color w:val="0000FF"/>
                  <w:sz w:val="20"/>
                  <w:u w:val="single"/>
                </w:rPr>
                <w:t>4.39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erif" w:hAnsi="Times New Roman;serif"/>
                  <w:b w:val="false"/>
                  <w:color w:val="000080"/>
                  <w:sz w:val="20"/>
                  <w:u w:val="single"/>
                </w:rPr>
                <w:t>Form of Global Note for 4.350% Senior Notes due 2030 (included in Exhibit 4.</w:t>
              </w:r>
            </w:hyperlink>
            <w:hyperlink r:id="rId102">
              <w:r>
                <w:rPr>
                  <w:rStyle w:val="InternetLink"/>
                  <w:rFonts w:ascii="Times New Roman;serif" w:hAnsi="Times New Roman;serif"/>
                  <w:b w:val="false"/>
                  <w:color w:val="000080"/>
                  <w:sz w:val="20"/>
                  <w:u w:val="single"/>
                </w:rPr>
                <w:t>3</w:t>
              </w:r>
            </w:hyperlink>
            <w:hyperlink r:id="rId103">
              <w:r>
                <w:rPr>
                  <w:rStyle w:val="InternetLink"/>
                  <w:rFonts w:ascii="Times New Roman;serif" w:hAnsi="Times New Roman;serif"/>
                  <w:b w:val="false"/>
                  <w:color w:val="000080"/>
                  <w:sz w:val="20"/>
                  <w:u w:val="single"/>
                </w:rPr>
                <w:t>4</w:t>
              </w:r>
            </w:hyperlink>
            <w:hyperlink r:id="rId104">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5">
              <w:r>
                <w:rPr>
                  <w:rStyle w:val="InternetLink"/>
                  <w:rFonts w:ascii="Times New Roman;serif" w:hAnsi="Times New Roman;serif"/>
                  <w:b w:val="false"/>
                  <w:color w:val="0000FF"/>
                  <w:sz w:val="20"/>
                  <w:u w:val="single"/>
                </w:rPr>
                <w:t>4.40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erif" w:hAnsi="Times New Roman;serif"/>
                  <w:b w:val="false"/>
                  <w:color w:val="000080"/>
                  <w:sz w:val="20"/>
                  <w:u w:val="single"/>
                </w:rPr>
                <w:t>Form of Global Note for 4.850% Senior Notes due 2035 (included in Exhibit 4.</w:t>
              </w:r>
            </w:hyperlink>
            <w:hyperlink r:id="rId107">
              <w:r>
                <w:rPr>
                  <w:rStyle w:val="InternetLink"/>
                  <w:rFonts w:ascii="Times New Roman;serif" w:hAnsi="Times New Roman;serif"/>
                  <w:b w:val="false"/>
                  <w:color w:val="000080"/>
                  <w:sz w:val="20"/>
                  <w:u w:val="single"/>
                </w:rPr>
                <w:t>3</w:t>
              </w:r>
            </w:hyperlink>
            <w:hyperlink r:id="rId108">
              <w:r>
                <w:rPr>
                  <w:rStyle w:val="InternetLink"/>
                  <w:rFonts w:ascii="Times New Roman;serif" w:hAnsi="Times New Roman;serif"/>
                  <w:b w:val="false"/>
                  <w:color w:val="000080"/>
                  <w:sz w:val="20"/>
                  <w:u w:val="single"/>
                </w:rPr>
                <w:t>5</w:t>
              </w:r>
            </w:hyperlink>
            <w:hyperlink r:id="rId109">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0">
              <w:r>
                <w:rPr>
                  <w:rStyle w:val="InternetLink"/>
                  <w:rFonts w:ascii="Times New Roman;serif" w:hAnsi="Times New Roman;serif"/>
                  <w:b w:val="false"/>
                  <w:color w:val="0000FF"/>
                  <w:sz w:val="20"/>
                  <w:u w:val="single"/>
                </w:rPr>
                <w:t>4.41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erif" w:hAnsi="Times New Roman;serif"/>
                  <w:b w:val="false"/>
                  <w:color w:val="0000FF"/>
                  <w:sz w:val="20"/>
                  <w:u w:val="single"/>
                </w:rPr>
                <w:t>2028 Notes Supplemental Indenture No. 1, dated as of April 1, 2025, among Dell International L.L.C, EMC Corporation, the guarantors party thereto and The Bank of New York Mellon Trust Company, N.A., as Trustee (incorporated by reference to Exhibit 4.1 to the Company’s Current Report on Form 8-K filed with the Commission on April 1, 2025)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2">
              <w:r>
                <w:rPr>
                  <w:rStyle w:val="InternetLink"/>
                  <w:rFonts w:ascii="Times New Roman;serif" w:hAnsi="Times New Roman;serif"/>
                  <w:b w:val="false"/>
                  <w:color w:val="0000FF"/>
                  <w:sz w:val="20"/>
                  <w:u w:val="single"/>
                </w:rPr>
                <w:t>4.42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Times New Roman;serif" w:hAnsi="Times New Roman;serif"/>
                  <w:b w:val="false"/>
                  <w:color w:val="0000FF"/>
                  <w:sz w:val="20"/>
                  <w:u w:val="single"/>
                </w:rPr>
                <w:t>2030 Notes Supplemental Indenture No. 1, dated as of April 1, 2025, among Dell International L.L.C, EMC Corporation, the guarantors party thereto and The Bank of New York Mellon Trust Company, N.A., as Trustee (incorporated by reference to Exhibit 4.2 to the Company’s Current Report on Form 8-K filed with the Commission on April 1, 2025)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4">
              <w:r>
                <w:rPr>
                  <w:rStyle w:val="InternetLink"/>
                  <w:rFonts w:ascii="Times New Roman;serif" w:hAnsi="Times New Roman;serif"/>
                  <w:b w:val="false"/>
                  <w:color w:val="0000FF"/>
                  <w:sz w:val="20"/>
                  <w:u w:val="single"/>
                </w:rPr>
                <w:t>4.43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erif" w:hAnsi="Times New Roman;serif"/>
                  <w:b w:val="false"/>
                  <w:color w:val="0000FF"/>
                  <w:sz w:val="20"/>
                  <w:u w:val="single"/>
                </w:rPr>
                <w:t>2032 Notes Supplemental Indenture No. 1, dated as of April 1, 2025, among Dell International L.L.C, EMC Corporation, the guarantors party thereto and The Bank of New York Mellon Trust Company, N.A., as Trustee (incorporated by reference to Exhibit 4.3 to the Company’s Current Report on Form 8-K filed with the Commission on April 1, 2025)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6">
              <w:r>
                <w:rPr>
                  <w:rStyle w:val="InternetLink"/>
                  <w:rFonts w:ascii="Times New Roman;serif" w:hAnsi="Times New Roman;serif"/>
                  <w:b w:val="false"/>
                  <w:color w:val="0000FF"/>
                  <w:sz w:val="20"/>
                  <w:u w:val="single"/>
                </w:rPr>
                <w:t>4.44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Times New Roman;serif" w:hAnsi="Times New Roman;serif"/>
                  <w:b w:val="false"/>
                  <w:color w:val="0000FF"/>
                  <w:sz w:val="20"/>
                  <w:u w:val="single"/>
                </w:rPr>
                <w:t>2035 Notes Supplemental Indenture No. 1, dated as of April 1, 2025, among Dell International L.L.C, EMC Corporation, the guarantors party thereto and The Bank of New York Mellon Trust Company, N.A., as Trustee (incorporated by reference to Exhibit 4.4 to the Company’s Current Report on Form 8-K filed with the Commission on April 1, 2025)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8">
              <w:r>
                <w:rPr>
                  <w:rStyle w:val="InternetLink"/>
                  <w:rFonts w:ascii="Times New Roman;serif" w:hAnsi="Times New Roman;serif"/>
                  <w:b w:val="false"/>
                  <w:color w:val="0000FF"/>
                  <w:sz w:val="20"/>
                  <w:u w:val="single"/>
                </w:rPr>
                <w:t>4.45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Times New Roman;serif" w:hAnsi="Times New Roman;serif"/>
                  <w:b w:val="false"/>
                  <w:color w:val="0000FF"/>
                  <w:sz w:val="20"/>
                  <w:u w:val="single"/>
                </w:rPr>
                <w:t>Form of Global Note for 4.750% Senior Notes due 2028 (included in Exhibit 4.41).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0">
              <w:r>
                <w:rPr>
                  <w:rStyle w:val="InternetLink"/>
                  <w:rFonts w:ascii="Times New Roman;serif" w:hAnsi="Times New Roman;serif"/>
                  <w:b w:val="false"/>
                  <w:color w:val="0000FF"/>
                  <w:sz w:val="20"/>
                  <w:u w:val="single"/>
                </w:rPr>
                <w:t>4.46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1">
              <w:r>
                <w:rPr>
                  <w:rStyle w:val="InternetLink"/>
                  <w:rFonts w:ascii="Times New Roman;serif" w:hAnsi="Times New Roman;serif"/>
                  <w:b w:val="false"/>
                  <w:color w:val="0000FF"/>
                  <w:sz w:val="20"/>
                  <w:u w:val="single"/>
                </w:rPr>
                <w:t>Form of Global Note for 5.000% Senior Notes due 2030 (included in Exhibit 4.42).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2">
              <w:r>
                <w:rPr>
                  <w:rStyle w:val="InternetLink"/>
                  <w:rFonts w:ascii="Times New Roman;serif" w:hAnsi="Times New Roman;serif"/>
                  <w:b w:val="false"/>
                  <w:color w:val="0000FF"/>
                  <w:sz w:val="20"/>
                  <w:u w:val="single"/>
                </w:rPr>
                <w:t>4.47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Times New Roman;serif" w:hAnsi="Times New Roman;serif"/>
                  <w:b w:val="false"/>
                  <w:color w:val="0000FF"/>
                  <w:sz w:val="20"/>
                  <w:u w:val="single"/>
                </w:rPr>
                <w:t>Form of Global Note for 5.300% Senior Notes due 2032 (included in Exhibit 4.43).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4">
              <w:r>
                <w:rPr>
                  <w:rStyle w:val="InternetLink"/>
                  <w:rFonts w:ascii="Times New Roman;serif" w:hAnsi="Times New Roman;serif"/>
                  <w:b w:val="false"/>
                  <w:color w:val="0000FF"/>
                  <w:sz w:val="20"/>
                  <w:u w:val="single"/>
                </w:rPr>
                <w:t>4.48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5">
              <w:r>
                <w:rPr>
                  <w:rStyle w:val="InternetLink"/>
                  <w:rFonts w:ascii="Times New Roman;serif" w:hAnsi="Times New Roman;serif"/>
                  <w:b w:val="false"/>
                  <w:color w:val="0000FF"/>
                  <w:sz w:val="20"/>
                  <w:u w:val="single"/>
                </w:rPr>
                <w:t>Form of Global Note for 5.500% Senior Notes due 2035 (included in Exhibit 4.44).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6">
              <w:r>
                <w:rPr>
                  <w:rStyle w:val="InternetLink"/>
                  <w:rFonts w:ascii="Times New Roman;serif" w:hAnsi="Times New Roman;serif"/>
                  <w:b w:val="false"/>
                  <w:color w:val="0000FF"/>
                  <w:sz w:val="20"/>
                  <w:u w:val="single"/>
                </w:rPr>
                <w:t>4.49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7">
              <w:r>
                <w:rPr>
                  <w:rStyle w:val="InternetLink"/>
                  <w:rFonts w:ascii="Times New Roman;serif" w:hAnsi="Times New Roman;serif"/>
                  <w:b w:val="false"/>
                  <w:color w:val="0000FF"/>
                  <w:sz w:val="20"/>
                  <w:u w:val="single"/>
                </w:rPr>
                <w:t>2029 Notes Supplemental Indenture No. 1, dated as of October 6, 2025, among Dell International L.L.C, EMC Corporation, the guarantors party thereto and The Bank of New York Mellon Trust Company, N.A., as Trustee (incorporated by reference to Exhibit 4.1 to the Company’s Current Report on Form 8-K filed with the Commission on October 6, 2025)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8">
              <w:r>
                <w:rPr>
                  <w:rStyle w:val="InternetLink"/>
                  <w:rFonts w:ascii="Times New Roman;serif" w:hAnsi="Times New Roman;serif"/>
                  <w:b w:val="false"/>
                  <w:color w:val="0000FF"/>
                  <w:sz w:val="20"/>
                  <w:u w:val="single"/>
                </w:rPr>
                <w:t>4.50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erif" w:hAnsi="Times New Roman;serif"/>
                  <w:b w:val="false"/>
                  <w:color w:val="0000FF"/>
                  <w:sz w:val="20"/>
                  <w:u w:val="single"/>
                </w:rPr>
                <w:t>2031 Notes Supplemental Indenture No. 1, dated as of October 6, 2025, among Dell International L.L.C, EMC Corporation, the guarantors party thereto and The Bank of New York Mellon Trust Company, N.A., as Trustee (incorporated by reference to Exhibit 4.2 to the Company’s Current Report on Form 8-K filed with the Commission on October 6, 2025)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0">
              <w:r>
                <w:rPr>
                  <w:rStyle w:val="InternetLink"/>
                  <w:rFonts w:ascii="Times New Roman;serif" w:hAnsi="Times New Roman;serif"/>
                  <w:b w:val="false"/>
                  <w:color w:val="0000FF"/>
                  <w:sz w:val="20"/>
                  <w:u w:val="single"/>
                </w:rPr>
                <w:t>4.51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Times New Roman;serif" w:hAnsi="Times New Roman;serif"/>
                  <w:b w:val="false"/>
                  <w:color w:val="0000FF"/>
                  <w:sz w:val="20"/>
                  <w:u w:val="single"/>
                </w:rPr>
                <w:t>2032 Notes Supplemental Indenture No. 1, dated as of October 6, 2025, among Dell International L.L.C, EMC Corporation, the guarantors party thereto and The Bank of New York Mellon Trust Company, N.A., as Trustee (incorporated by reference to Exhibit 4.3 to the Company’s Current Report on Form 8-K filed with the Commission on October 6, 2025)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2">
              <w:r>
                <w:rPr>
                  <w:rStyle w:val="InternetLink"/>
                  <w:rFonts w:ascii="Times New Roman;serif" w:hAnsi="Times New Roman;serif"/>
                  <w:b w:val="false"/>
                  <w:color w:val="0000FF"/>
                  <w:sz w:val="20"/>
                  <w:u w:val="single"/>
                </w:rPr>
                <w:t>4.52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3">
              <w:r>
                <w:rPr>
                  <w:rStyle w:val="InternetLink"/>
                  <w:rFonts w:ascii="Times New Roman;serif" w:hAnsi="Times New Roman;serif"/>
                  <w:b w:val="false"/>
                  <w:color w:val="0000FF"/>
                  <w:sz w:val="20"/>
                  <w:u w:val="single"/>
                </w:rPr>
                <w:t>2036 Notes Supplemental Indenture No. 1, dated as of October 6, 2025, among Dell International L.L.C, EMC Corporation, the guarantors party thereto and The Bank of New York Mellon Trust Company, N.A., as Trustee (incorporated by reference to Exhibit 4.4 to the Company’s Current Report on Form 8-K filed with the Commission on October 6, 2025) (Commission File No. 001-37867).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4">
              <w:r>
                <w:rPr>
                  <w:rStyle w:val="InternetLink"/>
                  <w:rFonts w:ascii="Times New Roman;serif" w:hAnsi="Times New Roman;serif"/>
                  <w:b w:val="false"/>
                  <w:color w:val="0000FF"/>
                  <w:sz w:val="20"/>
                  <w:u w:val="single"/>
                </w:rPr>
                <w:t>4.53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5">
              <w:r>
                <w:rPr>
                  <w:rStyle w:val="InternetLink"/>
                  <w:rFonts w:ascii="Times New Roman;serif" w:hAnsi="Times New Roman;serif"/>
                  <w:b w:val="false"/>
                  <w:color w:val="000080"/>
                  <w:sz w:val="20"/>
                  <w:u w:val="single"/>
                </w:rPr>
                <w:t>Form of Global Note for 4.150% Senior Notes due 2029 (included in Exhibit 4.</w:t>
              </w:r>
            </w:hyperlink>
            <w:hyperlink r:id="rId136">
              <w:r>
                <w:rPr>
                  <w:rStyle w:val="InternetLink"/>
                  <w:rFonts w:ascii="Times New Roman;serif" w:hAnsi="Times New Roman;serif"/>
                  <w:b w:val="false"/>
                  <w:color w:val="000080"/>
                  <w:sz w:val="20"/>
                  <w:u w:val="single"/>
                </w:rPr>
                <w:t>49</w:t>
              </w:r>
            </w:hyperlink>
            <w:hyperlink r:id="rId137">
              <w:r>
                <w:rPr>
                  <w:rStyle w:val="InternetLink"/>
                  <w:rFonts w:ascii="Times New Roman;serif" w:hAnsi="Times New Roman;serif"/>
                  <w:b w:val="false"/>
                  <w:color w:val="000080"/>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6415"/>
                <wp:effectExtent l="0" t="0" r="0" b="0"/>
                <wp:wrapNone/>
                <wp:docPr id="147" name="Frame14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9"/>
        <w:gridCol w:w="193"/>
        <w:gridCol w:w="196"/>
        <w:gridCol w:w="109"/>
        <w:gridCol w:w="109"/>
        <w:gridCol w:w="109"/>
        <w:gridCol w:w="3340"/>
        <w:gridCol w:w="2446"/>
        <w:gridCol w:w="3484"/>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8">
              <w:r>
                <w:rPr>
                  <w:rStyle w:val="InternetLink"/>
                  <w:rFonts w:ascii="Times New Roman;serif" w:hAnsi="Times New Roman;serif"/>
                  <w:b w:val="false"/>
                  <w:color w:val="0000FF"/>
                  <w:sz w:val="20"/>
                  <w:u w:val="single"/>
                </w:rPr>
                <w:t>4.54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9">
              <w:r>
                <w:rPr>
                  <w:rStyle w:val="InternetLink"/>
                  <w:rFonts w:ascii="Times New Roman;serif" w:hAnsi="Times New Roman;serif"/>
                  <w:b w:val="false"/>
                  <w:color w:val="000080"/>
                  <w:sz w:val="20"/>
                  <w:u w:val="single"/>
                </w:rPr>
                <w:t>Form of Global Note for 4.500% Senior Notes due 2031 (included in Exhibit 4.</w:t>
              </w:r>
            </w:hyperlink>
            <w:hyperlink r:id="rId140">
              <w:r>
                <w:rPr>
                  <w:rStyle w:val="InternetLink"/>
                  <w:rFonts w:ascii="Times New Roman;serif" w:hAnsi="Times New Roman;serif"/>
                  <w:b w:val="false"/>
                  <w:color w:val="000080"/>
                  <w:sz w:val="20"/>
                  <w:u w:val="single"/>
                </w:rPr>
                <w:t>50</w:t>
              </w:r>
            </w:hyperlink>
            <w:hyperlink r:id="rId141">
              <w:r>
                <w:rPr>
                  <w:rStyle w:val="InternetLink"/>
                  <w:rFonts w:ascii="Times New Roman;serif" w:hAnsi="Times New Roman;serif"/>
                  <w:b w:val="false"/>
                  <w:color w:val="000080"/>
                  <w:sz w:val="20"/>
                  <w:u w:val="single"/>
                </w:rPr>
                <w:t>).</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2">
              <w:r>
                <w:rPr>
                  <w:rStyle w:val="InternetLink"/>
                  <w:rFonts w:ascii="Times New Roman;serif" w:hAnsi="Times New Roman;serif"/>
                  <w:b w:val="false"/>
                  <w:color w:val="0000FF"/>
                  <w:sz w:val="20"/>
                  <w:u w:val="single"/>
                </w:rPr>
                <w:t>4.55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3">
              <w:r>
                <w:rPr>
                  <w:rStyle w:val="InternetLink"/>
                  <w:rFonts w:ascii="Times New Roman;serif" w:hAnsi="Times New Roman;serif"/>
                  <w:b w:val="false"/>
                  <w:color w:val="000080"/>
                  <w:sz w:val="20"/>
                  <w:u w:val="single"/>
                </w:rPr>
                <w:t>Form of Global Note for 4.750% Senior Notes due 2032 (included in Exhibit 4.5</w:t>
              </w:r>
            </w:hyperlink>
            <w:hyperlink r:id="rId144">
              <w:r>
                <w:rPr>
                  <w:rStyle w:val="InternetLink"/>
                  <w:rFonts w:ascii="Times New Roman;serif" w:hAnsi="Times New Roman;serif"/>
                  <w:b w:val="false"/>
                  <w:color w:val="000080"/>
                  <w:sz w:val="20"/>
                  <w:u w:val="single"/>
                </w:rPr>
                <w:t>1</w:t>
              </w:r>
            </w:hyperlink>
            <w:hyperlink r:id="rId145">
              <w:r>
                <w:rPr>
                  <w:rStyle w:val="InternetLink"/>
                  <w:rFonts w:ascii="Times New Roman;serif" w:hAnsi="Times New Roman;serif"/>
                  <w:b w:val="false"/>
                  <w:color w:val="000080"/>
                  <w:sz w:val="20"/>
                  <w:u w:val="single"/>
                </w:rPr>
                <w:t>).</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6">
              <w:r>
                <w:rPr>
                  <w:rStyle w:val="InternetLink"/>
                  <w:rFonts w:ascii="Times New Roman;serif" w:hAnsi="Times New Roman;serif"/>
                  <w:b w:val="false"/>
                  <w:color w:val="0000FF"/>
                  <w:sz w:val="20"/>
                  <w:u w:val="single"/>
                </w:rPr>
                <w:t>4.56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7">
              <w:r>
                <w:rPr>
                  <w:rStyle w:val="InternetLink"/>
                  <w:rFonts w:ascii="Times New Roman;serif" w:hAnsi="Times New Roman;serif"/>
                  <w:b w:val="false"/>
                  <w:color w:val="000080"/>
                  <w:sz w:val="20"/>
                  <w:u w:val="single"/>
                </w:rPr>
                <w:t>Form of Global Note for 5.100% Senior Notes due 2036 (included in Exhibit 4.5</w:t>
              </w:r>
            </w:hyperlink>
            <w:hyperlink r:id="rId148">
              <w:r>
                <w:rPr>
                  <w:rStyle w:val="InternetLink"/>
                  <w:rFonts w:ascii="Times New Roman;serif" w:hAnsi="Times New Roman;serif"/>
                  <w:b w:val="false"/>
                  <w:color w:val="000080"/>
                  <w:sz w:val="20"/>
                  <w:u w:val="single"/>
                </w:rPr>
                <w:t>2</w:t>
              </w:r>
            </w:hyperlink>
            <w:hyperlink r:id="rId149">
              <w:r>
                <w:rPr>
                  <w:rStyle w:val="InternetLink"/>
                  <w:rFonts w:ascii="Times New Roman;serif" w:hAnsi="Times New Roman;serif"/>
                  <w:b w:val="false"/>
                  <w:color w:val="000080"/>
                  <w:sz w:val="20"/>
                  <w:u w:val="single"/>
                </w:rPr>
                <w:t>).</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0">
              <w:r>
                <w:rPr>
                  <w:rStyle w:val="InternetLink"/>
                  <w:rFonts w:ascii="Times New Roman;serif" w:hAnsi="Times New Roman;serif"/>
                  <w:b w:val="false"/>
                  <w:color w:val="0000FF"/>
                  <w:sz w:val="20"/>
                  <w:u w:val="single"/>
                </w:rPr>
                <w:t>4.57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1">
              <w:r>
                <w:rPr>
                  <w:rStyle w:val="InternetLink"/>
                  <w:rFonts w:ascii="Times New Roman;serif" w:hAnsi="Times New Roman;serif"/>
                  <w:b w:val="false"/>
                  <w:color w:val="0000FF"/>
                  <w:sz w:val="20"/>
                  <w:u w:val="single"/>
                </w:rPr>
                <w:t>Amended and Restated Description of Common Stock (incorporated by reference to Exhibit 4.42 to the Company’s Annual Report on Form 10-K for the fiscal year ended February 3, 2023)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2">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3">
              <w:r>
                <w:rPr>
                  <w:rStyle w:val="InternetLink"/>
                  <w:rFonts w:ascii="Times New Roman;serif" w:hAnsi="Times New Roman;serif"/>
                  <w:b w:val="false"/>
                  <w:color w:val="0000FF"/>
                  <w:sz w:val="20"/>
                  <w:u w:val="single"/>
                </w:rPr>
                <w:t>Dell Technologies Inc. 2012 Long-Term Incentive Plan (formerly known as Dell Inc. 2012 Long-Term Incentive Plan) as amended and restated as of October 6, 2017 (incorporated by reference to Exhibit 10.4 to the Company’s Quarterly Report on Form 10-Q for the quarterly period ended November 3, 2017)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4">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5">
              <w:r>
                <w:rPr>
                  <w:rStyle w:val="InternetLink"/>
                  <w:rFonts w:ascii="Times New Roman;serif" w:hAnsi="Times New Roman;serif"/>
                  <w:b w:val="false"/>
                  <w:color w:val="0000FF"/>
                  <w:sz w:val="20"/>
                  <w:u w:val="single"/>
                </w:rPr>
                <w:t>Dell Inc. Annual Bonus Plan (incorporated by reference to Exhibit 10.1 to the Company’s Quarterly Report on Form 10-Q for the quarterly period ended May 1, 2020)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6">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7">
              <w:r>
                <w:rPr>
                  <w:rStyle w:val="InternetLink"/>
                  <w:rFonts w:ascii="Times New Roman;serif" w:hAnsi="Times New Roman;serif"/>
                  <w:b w:val="false"/>
                  <w:color w:val="0000FF"/>
                  <w:sz w:val="20"/>
                  <w:u w:val="single"/>
                </w:rPr>
                <w:t>Employment Agreement, dated October 29, 2013, by and among Dell Inc., Denali Holding, Inc. and Michael S. Dell (incorporated by reference to Exhibit 10.7 to Amendment No. 3 to the Company’s 2016 Form S-4 filed with the Commission on April 11, 2016) (Registration No. 333-208524).</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8">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9">
              <w:r>
                <w:rPr>
                  <w:rStyle w:val="InternetLink"/>
                  <w:rFonts w:ascii="Times New Roman;serif" w:hAnsi="Times New Roman;serif"/>
                  <w:b w:val="false"/>
                  <w:color w:val="0000FF"/>
                  <w:sz w:val="20"/>
                  <w:u w:val="single"/>
                </w:rPr>
                <w:t>Dell Inc. Severance Pay Plan for Executive Employees (incorporated by reference to Exhibit 10.14 to the Company’s Annual Report on Form 10-K for the fiscal year ended February 3, 2017)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0">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1">
              <w:r>
                <w:rPr>
                  <w:rStyle w:val="InternetLink"/>
                  <w:rFonts w:ascii="Times New Roman;serif" w:hAnsi="Times New Roman;serif"/>
                  <w:b w:val="false"/>
                  <w:color w:val="0000FF"/>
                  <w:sz w:val="20"/>
                  <w:u w:val="single"/>
                </w:rPr>
                <w:t>Form of Protection of Sensitive Information, Noncompetition and Nonsolicitation Agreement (incorporated by reference to Exhibit 10.16 to Amendment No. 3 to the Company’s 2016 Form S-4 filed with the Commission on April 11, 2016) (Registration No. 333-208524).</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2">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3">
              <w:r>
                <w:rPr>
                  <w:rStyle w:val="InternetLink"/>
                  <w:rFonts w:ascii="Times New Roman;serif" w:hAnsi="Times New Roman;serif"/>
                  <w:b w:val="false"/>
                  <w:color w:val="0000FF"/>
                  <w:sz w:val="20"/>
                  <w:u w:val="single"/>
                </w:rPr>
                <w:t>Form of Dell Technologies Inc. Deferred Cash Award Agreement (incorporated by reference to Exhibit 10.26 to the Company’s Annual Report on Form 10-K for the fiscal year ended February 3, 2017)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4">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5">
              <w:r>
                <w:rPr>
                  <w:rStyle w:val="InternetLink"/>
                  <w:rFonts w:ascii="Times New Roman;serif" w:hAnsi="Times New Roman;serif"/>
                  <w:b w:val="false"/>
                  <w:color w:val="0000FF"/>
                  <w:sz w:val="20"/>
                  <w:u w:val="single"/>
                </w:rPr>
                <w:t>Form of Indemnification Agreement between Dell Technologies Inc. and certain members of its Board of Directors (incorporated by reference to Exhibit 10.1 to the Company’s Quarterly Report on Form 10-Q for the quarterly period ended October 28, 2022)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6">
              <w:r>
                <w:rPr>
                  <w:rStyle w:val="InternetLink"/>
                  <w:rFonts w:ascii="Times New Roman;serif" w:hAnsi="Times New Roman;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7">
              <w:r>
                <w:rPr>
                  <w:rStyle w:val="InternetLink"/>
                  <w:rFonts w:ascii="Times New Roman;serif" w:hAnsi="Times New Roman;serif"/>
                  <w:b w:val="false"/>
                  <w:color w:val="0000FF"/>
                  <w:sz w:val="20"/>
                  <w:u w:val="single"/>
                </w:rPr>
                <w:t>Form of Indemnification Agreement between Dell Technologies Inc. and certain of its executive officers (incorporated by reference to Exhibit 10.40 to the Company’s Annual Report on Form 10-K for the fiscal year ended February 3, 2017)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8">
              <w:r>
                <w:rPr>
                  <w:rStyle w:val="InternetLink"/>
                  <w:rFonts w:ascii="Times New Roman;serif" w:hAnsi="Times New Roman;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9">
              <w:r>
                <w:rPr>
                  <w:rStyle w:val="InternetLink"/>
                  <w:rFonts w:ascii="Times New Roman;serif" w:hAnsi="Times New Roman;serif"/>
                  <w:b w:val="false"/>
                  <w:color w:val="0000FF"/>
                  <w:sz w:val="20"/>
                  <w:u w:val="single"/>
                </w:rPr>
                <w:t>Form of EMC Corporation Deferred Compensation Retirement Plan, as amended and restated, effective as of January 1, 2016 (incorporated by reference to Exhibit 10.41 to the Company’s Annual Report on Form 10-K for the fiscal year ended February 3, 2017)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0">
              <w:r>
                <w:rPr>
                  <w:rStyle w:val="InternetLink"/>
                  <w:rFonts w:ascii="Times New Roman;serif" w:hAnsi="Times New Roman;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1">
              <w:r>
                <w:rPr>
                  <w:rStyle w:val="InternetLink"/>
                  <w:rFonts w:ascii="Times New Roman;serif" w:hAnsi="Times New Roman;serif"/>
                  <w:b w:val="false"/>
                  <w:color w:val="0000FF"/>
                  <w:sz w:val="20"/>
                  <w:u w:val="single"/>
                </w:rPr>
                <w:t>Form of Dell Deferred Compensation Plan, effective as of January 1, 2017 (incorporated by reference to Exhibit 10.42 to the Company’s Annual Report on Form 10-K for the fiscal year ended February 3, 2017)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2">
              <w:r>
                <w:rPr>
                  <w:rStyle w:val="InternetLink"/>
                  <w:rFonts w:ascii="Times New Roman;serif" w:hAnsi="Times New Roman;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3">
              <w:r>
                <w:rPr>
                  <w:rStyle w:val="InternetLink"/>
                  <w:rFonts w:ascii="Times New Roman;serif" w:hAnsi="Times New Roman;serif"/>
                  <w:b w:val="false"/>
                  <w:color w:val="0000FF"/>
                  <w:sz w:val="20"/>
                  <w:u w:val="single"/>
                </w:rPr>
                <w:t>Form of Protection of Sensitive Information, Noncompetition and Nonsolicitation Agreement between Dell Inc. and each of Howard D. Elias and William F. Scannell (incorporated by reference to Exhibit 10.47 to the Company’s Annual Report on Form 10-K for the fiscal year ended February 2, 2018)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4">
              <w:r>
                <w:rPr>
                  <w:rStyle w:val="InternetLink"/>
                  <w:rFonts w:ascii="Times New Roman;serif" w:hAnsi="Times New Roman;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5">
              <w:r>
                <w:rPr>
                  <w:rStyle w:val="InternetLink"/>
                  <w:rFonts w:ascii="Times New Roman;serif" w:hAnsi="Times New Roman;serif"/>
                  <w:b w:val="false"/>
                  <w:color w:val="0000FF"/>
                  <w:sz w:val="20"/>
                  <w:u w:val="single"/>
                </w:rPr>
                <w:t>Offer Letter to William F. Scannell, dated August 12, 2016 (incorporated by reference to Exhibit 10.51 to the Company’s Annual Report on Form 10-K for the fiscal year ended February 2, 2018) (Commission File No. 001-37867).</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6">
              <w:r>
                <w:rPr>
                  <w:rStyle w:val="InternetLink"/>
                  <w:rFonts w:ascii="Times New Roman;serif" w:hAnsi="Times New Roman;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7">
              <w:r>
                <w:rPr>
                  <w:rStyle w:val="InternetLink"/>
                  <w:rFonts w:ascii="Times New Roman;serif" w:hAnsi="Times New Roman;serif"/>
                  <w:b w:val="false"/>
                  <w:color w:val="0000FF"/>
                  <w:sz w:val="20"/>
                  <w:u w:val="single"/>
                </w:rPr>
                <w:t>Form of Amended and Restated Stock Option Agreement-Performance Vesting Option for grants to executive officers under the Dell Technologies Inc. 2013 Stock Incentive Plan (incorporated by reference to Exhibit 10.10 to Amendment No. 2 to the Company’s Registration Statement on Form S-4 (the “2018 Form S-4”) filed with the Commission on October 4, 2018) (Registration No. 333-226618).</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8">
              <w:r>
                <w:rPr>
                  <w:rStyle w:val="InternetLink"/>
                  <w:rFonts w:ascii="Times New Roman;serif" w:hAnsi="Times New Roman;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9">
              <w:r>
                <w:rPr>
                  <w:rStyle w:val="InternetLink"/>
                  <w:rFonts w:ascii="Times New Roman;serif" w:hAnsi="Times New Roman;serif"/>
                  <w:b w:val="false"/>
                  <w:color w:val="0000FF"/>
                  <w:sz w:val="20"/>
                  <w:u w:val="single"/>
                </w:rPr>
                <w:t>Form of Amended and Restated Stock Option Agreement-Performance Vesting Option for grants to employees under the Dell Technologies Inc. 2013 Stock Incentive Plan (incorporated by reference to Exhibit 10.11 to Amendment No. 2 to the Company’s 2018 Form S-4 filed with the Commission on October 4, 2018) (Registration No. 333-226618).</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0">
              <w:r>
                <w:rPr>
                  <w:rStyle w:val="InternetLink"/>
                  <w:rFonts w:ascii="Times New Roman;serif" w:hAnsi="Times New Roman;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1">
              <w:r>
                <w:rPr>
                  <w:rStyle w:val="InternetLink"/>
                  <w:rFonts w:ascii="Times New Roman;serif" w:hAnsi="Times New Roman;serif"/>
                  <w:b w:val="false"/>
                  <w:color w:val="0000FF"/>
                  <w:sz w:val="20"/>
                  <w:u w:val="single"/>
                </w:rPr>
                <w:t>Form of Amended and Restated Stock Option Agreement-Time Vesting Option for grants to executive officers under the Dell Technologies Inc. 2013 Stock Incentive Plan (incorporated by reference to Exhibit 10.12 to Amendment No. 2 to the Company’s 2018 Form S-4 filed with the Commission on October 4, 2018) (Registration No. 333-226618).</w:t>
              </w:r>
            </w:hyperlink>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2">
              <w:r>
                <w:rPr>
                  <w:rStyle w:val="InternetLink"/>
                  <w:rFonts w:ascii="Times New Roman;serif" w:hAnsi="Times New Roman;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3">
              <w:r>
                <w:rPr>
                  <w:rStyle w:val="InternetLink"/>
                  <w:rFonts w:ascii="Times New Roman;serif" w:hAnsi="Times New Roman;serif"/>
                  <w:b w:val="false"/>
                  <w:color w:val="0000FF"/>
                  <w:sz w:val="20"/>
                  <w:u w:val="single"/>
                </w:rPr>
                <w:t>Form of Amended and Restated Stock Option Agreement-Time Vesting Option for grants to employees under the Dell Technologies Inc. 2013 Stock Incentive Plan (incorporated by reference to Exhibit 10.13 to Amendment No. 2 to the Company’s 2018 Form S-4 filed with the Commission on October 4, 2018) (Registration No. 333-226618).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6415"/>
                <wp:effectExtent l="0" t="0" r="0" b="0"/>
                <wp:wrapNone/>
                <wp:docPr id="148" name="Frame14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4"/>
        <w:gridCol w:w="197"/>
        <w:gridCol w:w="199"/>
        <w:gridCol w:w="109"/>
        <w:gridCol w:w="109"/>
        <w:gridCol w:w="109"/>
        <w:gridCol w:w="2780"/>
        <w:gridCol w:w="2679"/>
        <w:gridCol w:w="3799"/>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4">
              <w:r>
                <w:rPr>
                  <w:rStyle w:val="InternetLink"/>
                  <w:rFonts w:ascii="Times New Roman;serif" w:hAnsi="Times New Roman;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5">
              <w:r>
                <w:rPr>
                  <w:rStyle w:val="InternetLink"/>
                  <w:rFonts w:ascii="Times New Roman;serif" w:hAnsi="Times New Roman;serif"/>
                  <w:b w:val="false"/>
                  <w:color w:val="0000FF"/>
                  <w:sz w:val="20"/>
                  <w:u w:val="single"/>
                </w:rPr>
                <w:t>Form of Amended and Restated Dell Performance Award Agreement for grants to executive officers under the Dell Technologies Inc. 2013 Stock Incentive Plan (incorporated by reference to Exhibit 10.14 to Amendment No. 2 to the Company’s 2018 Form S-4 filed with the Commission on October 4, 2018) (Registration No. 333-226618).</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6">
              <w:r>
                <w:rPr>
                  <w:rStyle w:val="InternetLink"/>
                  <w:rFonts w:ascii="Times New Roman;serif" w:hAnsi="Times New Roman;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7">
              <w:r>
                <w:rPr>
                  <w:rStyle w:val="InternetLink"/>
                  <w:rFonts w:ascii="Times New Roman;serif" w:hAnsi="Times New Roman;serif"/>
                  <w:b w:val="false"/>
                  <w:color w:val="0000FF"/>
                  <w:sz w:val="20"/>
                  <w:u w:val="single"/>
                </w:rPr>
                <w:t>Form of Amended and Restated Dell Performance Award Agreement for grants to employees under the Dell Technologies Inc. 2013 Stock Incentive Plan (incorporated by reference to Exhibit 10.15 to Amendment No. 2 to the Company’s 2018 Form S-4 filed with the Commission on October 4, 2018) (Registration No. 333-226618).</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8">
              <w:r>
                <w:rPr>
                  <w:rStyle w:val="InternetLink"/>
                  <w:rFonts w:ascii="Times New Roman;serif" w:hAnsi="Times New Roman;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9">
              <w:r>
                <w:rPr>
                  <w:rStyle w:val="InternetLink"/>
                  <w:rFonts w:ascii="Times New Roman;serif" w:hAnsi="Times New Roman;serif"/>
                  <w:b w:val="false"/>
                  <w:color w:val="0000FF"/>
                  <w:sz w:val="20"/>
                  <w:u w:val="single"/>
                </w:rPr>
                <w:t>Form of Amended and Restated Dell Time Award Agreement for grants to executive officers under the Dell Technologies Inc. 2013 Stock Incentive Plan (incorporated by reference to Exhibit 10.16 to Amendment No. 2 to the Company’s 2018 Form S-4 filed with the Commission on October 4, 2018) (Registration No. 333-226618).</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0">
              <w:r>
                <w:rPr>
                  <w:rStyle w:val="InternetLink"/>
                  <w:rFonts w:ascii="Times New Roman;serif" w:hAnsi="Times New Roman;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1">
              <w:r>
                <w:rPr>
                  <w:rStyle w:val="InternetLink"/>
                  <w:rFonts w:ascii="Times New Roman;serif" w:hAnsi="Times New Roman;serif"/>
                  <w:b w:val="false"/>
                  <w:color w:val="0000FF"/>
                  <w:sz w:val="20"/>
                  <w:u w:val="single"/>
                </w:rPr>
                <w:t>Form of Amended and Restated Dell Time Award Agreement for grants to employees under the Dell Technologies Inc. 2013 Stock Incentive Plan (incorporated by reference to Exhibit 10.17 to Amendment No. 2 to the Company’s 2018 Form S-4 filed with the Commission on October 4, 2018) (Registration No. 333-226618).</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2">
              <w:r>
                <w:rPr>
                  <w:rStyle w:val="InternetLink"/>
                  <w:rFonts w:ascii="Times New Roman;serif" w:hAnsi="Times New Roman;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3">
              <w:r>
                <w:rPr>
                  <w:rStyle w:val="InternetLink"/>
                  <w:rFonts w:ascii="Times New Roman;serif" w:hAnsi="Times New Roman;serif"/>
                  <w:b w:val="false"/>
                  <w:color w:val="0000FF"/>
                  <w:sz w:val="20"/>
                  <w:u w:val="single"/>
                </w:rPr>
                <w:t>Form of Amended and Restated Dell Deferred Time Award Agreement for Non-Employee Directors under the Dell Technologies Inc. 2013 Stock Incentive Plan (incorporated by reference to Exhibit 10.18 to Amendment No. 2 to the Company’s 2018 Form S-4 filed with the Commission on October 4, 2018) (Registration No. 333-226618).</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4">
              <w:r>
                <w:rPr>
                  <w:rStyle w:val="InternetLink"/>
                  <w:rFonts w:ascii="Times New Roman;serif" w:hAnsi="Times New Roman;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5">
              <w:r>
                <w:rPr>
                  <w:rStyle w:val="InternetLink"/>
                  <w:rFonts w:ascii="Times New Roman;serif" w:hAnsi="Times New Roman;serif"/>
                  <w:b w:val="false"/>
                  <w:color w:val="0000FF"/>
                  <w:sz w:val="20"/>
                  <w:u w:val="single"/>
                </w:rPr>
                <w:t>Form of Amended and Restated Stock Option Agreement for Non-Employee Directors (Annual Grant) under the Dell Technologies Inc. 2013 Stock Incentive Plan (incorporated by reference to Exhibit 10.19 to Amendment No. 2 to the Company’s 2018 Form S-4 filed with the Commission on October 4, 2018) (Registration No. 333-226618).</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6">
              <w:r>
                <w:rPr>
                  <w:rStyle w:val="InternetLink"/>
                  <w:rFonts w:ascii="Times New Roman;serif" w:hAnsi="Times New Roman;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7">
              <w:r>
                <w:rPr>
                  <w:rStyle w:val="InternetLink"/>
                  <w:rFonts w:ascii="Times New Roman;serif" w:hAnsi="Times New Roman;serif"/>
                  <w:b w:val="false"/>
                  <w:color w:val="0000FF"/>
                  <w:sz w:val="20"/>
                  <w:u w:val="single"/>
                </w:rPr>
                <w:t>Form of Stock Option Agreement for Non-Employee Directors (Sign-On Grant) under the Dell Technologies Inc. 2013 Stock Incentive Plan (incorporated by reference to Exhibit 10.20 to Amendment No. 2 to the Company’s 2018 Form S-4 filed with the Commission on October 4, 2018) (Registration No. 333-226618).</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8">
              <w:r>
                <w:rPr>
                  <w:rStyle w:val="InternetLink"/>
                  <w:rFonts w:ascii="Times New Roman;serif" w:hAnsi="Times New Roman;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9">
              <w:r>
                <w:rPr>
                  <w:rStyle w:val="InternetLink"/>
                  <w:rFonts w:ascii="Times New Roman;serif" w:hAnsi="Times New Roman;serif"/>
                  <w:b w:val="false"/>
                  <w:color w:val="0000FF"/>
                  <w:sz w:val="20"/>
                  <w:u w:val="single"/>
                </w:rPr>
                <w:t>Form of Amended and Restated Stock Option Agreement for grants to executive officers (Rollover Option) under the Dell Technologies Inc. 2013 Stock Incentive Plan (incorporated by reference to Exhibit 10.21 to Amendment No. 2 to the Company’s 2018 Form S-4 filed with the Commission on October 4, 2018) (Registration No. 333-226618).</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0">
              <w:r>
                <w:rPr>
                  <w:rStyle w:val="InternetLink"/>
                  <w:rFonts w:ascii="Times New Roman;serif" w:hAnsi="Times New Roman;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1">
              <w:r>
                <w:rPr>
                  <w:rStyle w:val="InternetLink"/>
                  <w:rFonts w:ascii="Times New Roman;serif" w:hAnsi="Times New Roman;serif"/>
                  <w:b w:val="false"/>
                  <w:color w:val="0000FF"/>
                  <w:sz w:val="20"/>
                  <w:u w:val="single"/>
                </w:rPr>
                <w:t>Dell Technologies Inc. 2013 Stock Incentive Plan (as amended and restated as of July 9, 2019) (incorporated by reference to Exhibit 10.1 to the Company’s Current Report on Form 8-K filed with the Commission on July 11, 2019) (Commission File No. 001-37867).</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026q4fy26.htm">
              <w:r>
                <w:rPr>
                  <w:rStyle w:val="InternetLink"/>
                  <w:rFonts w:ascii="Times New Roman;serif" w:hAnsi="Times New Roman;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6q4fy26.htm">
              <w:r>
                <w:rPr>
                  <w:rStyle w:val="InternetLink"/>
                  <w:rFonts w:ascii="Times New Roman;serif" w:hAnsi="Times New Roman;serif"/>
                  <w:b w:val="false"/>
                  <w:color w:val="0000FF"/>
                  <w:sz w:val="20"/>
                  <w:u w:val="single"/>
                </w:rPr>
                <w:t>Amended and Restated Compensation Program for Independent Non-Employee Directors.</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2">
              <w:r>
                <w:rPr>
                  <w:rStyle w:val="InternetLink"/>
                  <w:rFonts w:ascii="Times New Roman;serif" w:hAnsi="Times New Roman;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3">
              <w:r>
                <w:rPr>
                  <w:rStyle w:val="InternetLink"/>
                  <w:rFonts w:ascii="Times New Roman;serif" w:hAnsi="Times New Roman;serif"/>
                  <w:b w:val="false"/>
                  <w:color w:val="0000FF"/>
                  <w:sz w:val="20"/>
                  <w:u w:val="single"/>
                </w:rPr>
                <w:t>MD Stockholders Agreement, dated as of December 25, 2018, by and among Dell Technologies Inc., Denali Intermediate Inc., Dell Inc., EMC Corporation, Denali Finance Corp., Dell International L.L.C., Michael S. Dell and the Susan Lieberman Dell Separate Property Trust (incorporated by reference to Exhibit 10.1 to the Company’s Current Report on Form 8-K filed with the Commission on December 28, 2018) (Commission File No. 001-37867).</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4">
              <w:r>
                <w:rPr>
                  <w:rStyle w:val="InternetLink"/>
                  <w:rFonts w:ascii="Times New Roman;serif" w:hAnsi="Times New Roman;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5">
              <w:r>
                <w:rPr>
                  <w:rStyle w:val="InternetLink"/>
                  <w:rFonts w:ascii="Times New Roman;serif" w:hAnsi="Times New Roman;serif"/>
                  <w:b w:val="false"/>
                  <w:color w:val="0000FF"/>
                  <w:sz w:val="20"/>
                  <w:u w:val="single"/>
                </w:rPr>
                <w:t>SLP Stockholders Agreement, dated as of December 25, 2018, by and among Dell Technologies Inc., Denali Intermediate Inc., Dell Inc., EMC Corporation, Denali Finance Corp., Dell International L.L.C., Silver Lake Partners III, L.P., Silver Lake Technology Investors III, L.P., Silver Lake Partners IV, L.P., Silver Lake Technology Investors IV, L.P. and SLP Denali Co-Invest, L.P. and the other stockholders named therein (incorporated by reference to Exhibit 10.2 to the Company’s Current Report on Form 8-K filed with the Commission on December 28, 2018) (Commission File No. 001-37867).</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6">
              <w:r>
                <w:rPr>
                  <w:rStyle w:val="InternetLink"/>
                  <w:rFonts w:ascii="Times New Roman;serif" w:hAnsi="Times New Roman;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7">
              <w:r>
                <w:rPr>
                  <w:rStyle w:val="InternetLink"/>
                  <w:rFonts w:ascii="Times New Roman;serif" w:hAnsi="Times New Roman;serif"/>
                  <w:b w:val="false"/>
                  <w:color w:val="0000FF"/>
                  <w:sz w:val="20"/>
                  <w:u w:val="single"/>
                </w:rPr>
                <w:t>Second Amended and Restated Management Stockholders Agreement, dated as of December 25, 2018, by and among Dell Technologies Inc., Michael S. Dell, Susan Lieberman Dell Separate Property Trust, Silver Lake Partners III, L.P., Silver Lake Technology Investors III, L.P., Silver Lake Partners IV, L.P., Silver Lake Technology Investors IV, L.P., SLP Denali Co-Invest, L.P. and the Management Stockholders (as defined therein) (incorporated by reference to Exhibit 10.5 to the Company’s Current Report on Form 8-K filed with the Commission on December 28, 2018) (Commission File No. 001-37867).</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8">
              <w:r>
                <w:rPr>
                  <w:rStyle w:val="InternetLink"/>
                  <w:rFonts w:ascii="Times New Roman;serif" w:hAnsi="Times New Roman;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9">
              <w:r>
                <w:rPr>
                  <w:rStyle w:val="InternetLink"/>
                  <w:rFonts w:ascii="Times New Roman;serif" w:hAnsi="Times New Roman;serif"/>
                  <w:b w:val="false"/>
                  <w:color w:val="0000FF"/>
                  <w:sz w:val="20"/>
                  <w:u w:val="single"/>
                </w:rPr>
                <w:t>Amended and Restated Class C Stockholders Agreement, dated as of December 25, 2018, by and among Dell Technologies Inc., Michael S. Dell, Susan Lieberman Dell Separate Property Trust, Silver Lake Partners III, L.P., Silver Lake Partners IV, L.P., Silver Lake Technology Investors III, L.P., Silver Lake Technology Investors IV, L.P., SLP Denali Co-Invest, L.P. and Venezio Investments Pte. Ltd. (incorporated by reference to Exhibit 10.6 to the Company’s Current Report on Form 8-K filed with the Commission on December 28, 2018) (Commission File No. 001-37867).</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0">
              <w:r>
                <w:rPr>
                  <w:rStyle w:val="InternetLink"/>
                  <w:rFonts w:ascii="Times New Roman;serif" w:hAnsi="Times New Roman;serif"/>
                  <w:b w:val="false"/>
                  <w:color w:val="0000FF"/>
                  <w:sz w:val="20"/>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1">
              <w:r>
                <w:rPr>
                  <w:rStyle w:val="InternetLink"/>
                  <w:rFonts w:ascii="Times New Roman;serif" w:hAnsi="Times New Roman;serif"/>
                  <w:b w:val="false"/>
                  <w:color w:val="0000FF"/>
                  <w:sz w:val="20"/>
                  <w:u w:val="single"/>
                </w:rPr>
                <w:t>Second Amended and Restated Class A Stockholders Agreement, dated as of December 25, 2018, by and among Dell Technologies Inc., Michael S. Dell, Susan Lieberman Dell Separate Property Trust, Silver Lake Partners III, L.P., Silver Lake Partners IV, L.P., Silver Lake Technology Investors III, L.P., Silver Lake Technology Investors IV, L.P., SLP Denali Co-Invest, L.P. and the New Class A Stockholders party thereto (incorporated by reference to Exhibit 10.7 to the Company’s Current Report on Form 8-K filed with the Commission on December 28, 2018) (Commission File No. 001-37867).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26415"/>
                <wp:effectExtent l="0" t="0" r="0" b="0"/>
                <wp:wrapNone/>
                <wp:docPr id="149" name="Frame14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8"/>
        <w:gridCol w:w="191"/>
        <w:gridCol w:w="193"/>
        <w:gridCol w:w="109"/>
        <w:gridCol w:w="109"/>
        <w:gridCol w:w="109"/>
        <w:gridCol w:w="3226"/>
        <w:gridCol w:w="2501"/>
        <w:gridCol w:w="3549"/>
      </w:tblGrid>
      <w:tr>
        <w:trPr/>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2">
              <w:r>
                <w:rPr>
                  <w:rStyle w:val="InternetLink"/>
                  <w:rFonts w:ascii="Times New Roman;serif" w:hAnsi="Times New Roman;serif"/>
                  <w:b w:val="false"/>
                  <w:color w:val="0000FF"/>
                  <w:sz w:val="20"/>
                  <w:u w:val="single"/>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3">
              <w:r>
                <w:rPr>
                  <w:rStyle w:val="InternetLink"/>
                  <w:rFonts w:ascii="Times New Roman;serif" w:hAnsi="Times New Roman;serif"/>
                  <w:b w:val="false"/>
                  <w:color w:val="0000FF"/>
                  <w:sz w:val="20"/>
                  <w:u w:val="single"/>
                </w:rPr>
                <w:t>Form of Restricted Stock Unit Agreement under the Dell Technologies Inc. 2013 Stock Incentive Plan (incorporated by reference to Exhibit 10.1 to the Company’s Current Report on Form 8-K filed with the Commission on March 19, 2019)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4">
              <w:r>
                <w:rPr>
                  <w:rStyle w:val="InternetLink"/>
                  <w:rFonts w:ascii="Times New Roman;serif" w:hAnsi="Times New Roman;serif"/>
                  <w:b w:val="false"/>
                  <w:color w:val="0000FF"/>
                  <w:sz w:val="20"/>
                  <w:u w:val="single"/>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5">
              <w:r>
                <w:rPr>
                  <w:rStyle w:val="InternetLink"/>
                  <w:rFonts w:ascii="Times New Roman;serif" w:hAnsi="Times New Roman;serif"/>
                  <w:b w:val="false"/>
                  <w:color w:val="0000FF"/>
                  <w:sz w:val="20"/>
                  <w:u w:val="single"/>
                </w:rPr>
                <w:t xml:space="preserve">Form of Performance-Based Restricted Stock Unit Agreement under the Dell Technologies Inc. 2013 Stock Incentive Plan (incorporated by reference to Exhibit 10.2 to the Company’s Current Report on Form 8-K filed with the Commission on March 19, 2019) (Commission File No. 001-37867). </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6">
              <w:r>
                <w:rPr>
                  <w:rStyle w:val="InternetLink"/>
                  <w:rFonts w:ascii="Times New Roman;serif" w:hAnsi="Times New Roman;serif"/>
                  <w:b w:val="false"/>
                  <w:color w:val="0000FF"/>
                  <w:sz w:val="20"/>
                  <w:u w:val="single"/>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7">
              <w:r>
                <w:rPr>
                  <w:rStyle w:val="InternetLink"/>
                  <w:rFonts w:ascii="Times New Roman;serif" w:hAnsi="Times New Roman;serif"/>
                  <w:b w:val="false"/>
                  <w:color w:val="0000FF"/>
                  <w:sz w:val="20"/>
                  <w:u w:val="single"/>
                </w:rPr>
                <w:t>Commercial Framework Agreement, dated as of November 1, 2021, by and between Dell Technologies Inc. and VMware, Inc. (incorporated by reference to Exhibit 10.1 to the Company’s Current Report on Form 8-K filed with the Commission on November 1, 2021)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8">
              <w:r>
                <w:rPr>
                  <w:rStyle w:val="InternetLink"/>
                  <w:rFonts w:ascii="Times New Roman;serif" w:hAnsi="Times New Roman;serif"/>
                  <w:b w:val="false"/>
                  <w:color w:val="0000FF"/>
                  <w:sz w:val="20"/>
                  <w:u w:val="single"/>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9">
              <w:r>
                <w:rPr>
                  <w:rStyle w:val="InternetLink"/>
                  <w:rFonts w:ascii="Times New Roman;serif" w:hAnsi="Times New Roman;serif"/>
                  <w:b w:val="false"/>
                  <w:color w:val="0000FF"/>
                  <w:sz w:val="20"/>
                  <w:u w:val="single"/>
                </w:rPr>
                <w:t>Credit Agreement, dated as of November 1, 2021, among Dell Technologies Inc., Denali Intermediate Inc., Dell Inc., Dell International L.L.C., as a borrower, EMC Corporation, as a borrower, JPMorgan Chase Bank, N.A., as administrative agent, and each of the lenders and other parties from time to time party thereto (incorporated by reference to Exhibit 10.2 to the Company’s Current Report on Form 8-K filed with the Commission on November 1, 2021)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0">
              <w:r>
                <w:rPr>
                  <w:rStyle w:val="InternetLink"/>
                  <w:rFonts w:ascii="Times New Roman;serif" w:hAnsi="Times New Roman;serif"/>
                  <w:b w:val="false"/>
                  <w:color w:val="0000FF"/>
                  <w:sz w:val="20"/>
                  <w:u w:val="single"/>
                </w:rPr>
                <w:t>10.36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1">
              <w:r>
                <w:rPr>
                  <w:rStyle w:val="InternetLink"/>
                  <w:rFonts w:ascii="Times New Roman;serif" w:hAnsi="Times New Roman;serif"/>
                  <w:b w:val="false"/>
                  <w:color w:val="0000FF"/>
                  <w:sz w:val="20"/>
                  <w:u w:val="single"/>
                </w:rPr>
                <w:t>First Amendment to the Credit Agreement, dated as of February 8, 2022, among Dell Technologies Inc., Denali Intermediate Inc., Dell Inc., Dell International L.L.C., as a borrower, EMC Corporation, as a borrower, JPMorgan Chase Bank, N.A., as administrative agent, and each of the lenders and other parties from time to time party thereto (incorporated by reference to Exhibit 10.47 to the Company’s Annual Report on Form 10-K for the fiscal year ended February 3, 2023)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2">
              <w:r>
                <w:rPr>
                  <w:rStyle w:val="InternetLink"/>
                  <w:rFonts w:ascii="Times New Roman;serif" w:hAnsi="Times New Roman;serif"/>
                  <w:b w:val="false"/>
                  <w:color w:val="0000FF"/>
                  <w:sz w:val="20"/>
                  <w:u w:val="single"/>
                </w:rPr>
                <w:t>10.37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3">
              <w:r>
                <w:rPr>
                  <w:rStyle w:val="InternetLink"/>
                  <w:rFonts w:ascii="Times New Roman;serif" w:hAnsi="Times New Roman;serif"/>
                  <w:b w:val="false"/>
                  <w:color w:val="0000FF"/>
                  <w:sz w:val="20"/>
                  <w:u w:val="single"/>
                </w:rPr>
                <w:t>Second Amendment to the Credit Agreement, dated as of November 10, 2022, among Dell Technologies Inc., Denali Intermediate Inc., Dell Inc., Dell International L.L.C., as a borrower, EMC Corporation, as a borrower, JPMorgan Chase Bank, N.A., as administrative agent, and each of the lenders and other parties from time to time party thereto (incorporated by reference to Exhibit 10.48 to the Company’s Annual Report on Form 10-K for the fiscal year ended February 3, 2023)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4">
              <w:r>
                <w:rPr>
                  <w:rStyle w:val="InternetLink"/>
                  <w:rFonts w:ascii="Times New Roman;serif" w:hAnsi="Times New Roman;serif"/>
                  <w:b w:val="false"/>
                  <w:color w:val="0000FF"/>
                  <w:sz w:val="20"/>
                  <w:u w:val="single"/>
                </w:rPr>
                <w:t>10.38*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5">
              <w:r>
                <w:rPr>
                  <w:rStyle w:val="InternetLink"/>
                  <w:rFonts w:ascii="Times New Roman;serif" w:hAnsi="Times New Roman;serif"/>
                  <w:b w:val="false"/>
                  <w:color w:val="0000FF"/>
                  <w:sz w:val="20"/>
                  <w:u w:val="single"/>
                </w:rPr>
                <w:t>Dell Technologies Inc. 2023 Stock Incentive Plan (incorporated by reference to Exhibit 10.1 to the Company’s Current Report on Form 8-K filed with the Commission on June 22, 2023)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6">
              <w:r>
                <w:rPr>
                  <w:rStyle w:val="InternetLink"/>
                  <w:rFonts w:ascii="Times New Roman;serif" w:hAnsi="Times New Roman;serif"/>
                  <w:b w:val="false"/>
                  <w:color w:val="0000FF"/>
                  <w:sz w:val="20"/>
                  <w:u w:val="single"/>
                </w:rPr>
                <w:t>10.39*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7">
              <w:r>
                <w:rPr>
                  <w:rStyle w:val="InternetLink"/>
                  <w:rFonts w:ascii="Times New Roman;serif" w:hAnsi="Times New Roman;serif"/>
                  <w:b w:val="false"/>
                  <w:color w:val="0000FF"/>
                  <w:sz w:val="20"/>
                  <w:u w:val="single"/>
                </w:rPr>
                <w:t>Form of Time-Based Restricted Stock Unit Agreement under the Dell Technologies Inc. 2023 Stock Incentive Plan (incorporated by reference to Exhibit 10.44 to the Company’s Annual Report on Form 10-K for the fiscal year ended February 2, 2024)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8">
              <w:r>
                <w:rPr>
                  <w:rStyle w:val="InternetLink"/>
                  <w:rFonts w:ascii="Times New Roman;serif" w:hAnsi="Times New Roman;serif"/>
                  <w:b w:val="false"/>
                  <w:color w:val="0000FF"/>
                  <w:sz w:val="20"/>
                  <w:u w:val="single"/>
                </w:rPr>
                <w:t>10.40*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9">
              <w:r>
                <w:rPr>
                  <w:rStyle w:val="InternetLink"/>
                  <w:rFonts w:ascii="Times New Roman;serif" w:hAnsi="Times New Roman;serif"/>
                  <w:b w:val="false"/>
                  <w:color w:val="0000FF"/>
                  <w:sz w:val="20"/>
                  <w:u w:val="single"/>
                </w:rPr>
                <w:t>Form of Performance-Based Restricted Stock Unit Agreement under the Dell Technologies Inc. 2023 Stock Incentive Plan (incorporated by reference to Exhibit 10.45 to the Company’s Annual Report on Form 10-K for the fiscal year ended February 2, 2024)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0">
              <w:r>
                <w:rPr>
                  <w:rStyle w:val="InternetLink"/>
                  <w:rFonts w:ascii="Times New Roman;serif" w:hAnsi="Times New Roman;serif"/>
                  <w:b w:val="false"/>
                  <w:color w:val="0000FF"/>
                  <w:sz w:val="20"/>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1">
              <w:r>
                <w:rPr>
                  <w:rStyle w:val="InternetLink"/>
                  <w:rFonts w:ascii="Times New Roman;serif" w:hAnsi="Times New Roman;serif"/>
                  <w:b w:val="false"/>
                  <w:color w:val="0000FF"/>
                  <w:sz w:val="20"/>
                  <w:u w:val="single"/>
                </w:rPr>
                <w:t>Form of Deferred Stock Unit Agreement under the Dell Technologies Inc. 2023 Stock Incentive Plan (incorporated by reference to Exhibit 10.6 to the Company’s Quarterly Report on Form 10-Q for the quarterly period ended August 4, 2023)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2">
              <w:r>
                <w:rPr>
                  <w:rStyle w:val="InternetLink"/>
                  <w:rFonts w:ascii="Times New Roman;serif" w:hAnsi="Times New Roman;serif"/>
                  <w:b w:val="false"/>
                  <w:color w:val="0000FF"/>
                  <w:sz w:val="20"/>
                  <w:u w:val="single"/>
                </w:rPr>
                <w:t>10.42*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3">
              <w:r>
                <w:rPr>
                  <w:rStyle w:val="InternetLink"/>
                  <w:rFonts w:ascii="Times New Roman;serif" w:hAnsi="Times New Roman;serif"/>
                  <w:b w:val="false"/>
                  <w:color w:val="0000FF"/>
                  <w:sz w:val="20"/>
                  <w:u w:val="single"/>
                </w:rPr>
                <w:t>Separation Agreement and Release, dated September 9, 2025, between the Company and Yvonne McGill (incorporated by reference to Exhibit 10.1 to the Company’s Quarterly Report on Form 10-Q for the quarterly period ended October 31, 2025)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4">
              <w:r>
                <w:rPr>
                  <w:rStyle w:val="InternetLink"/>
                  <w:rFonts w:ascii="Times New Roman;serif" w:hAnsi="Times New Roman;serif"/>
                  <w:b w:val="false"/>
                  <w:color w:val="0000FF"/>
                  <w:sz w:val="20"/>
                  <w:u w:val="single"/>
                </w:rPr>
                <w:t>10.43*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5">
              <w:r>
                <w:rPr>
                  <w:rStyle w:val="InternetLink"/>
                  <w:rFonts w:ascii="Times New Roman;serif" w:hAnsi="Times New Roman;serif"/>
                  <w:b w:val="false"/>
                  <w:color w:val="0000FF"/>
                  <w:sz w:val="20"/>
                  <w:u w:val="single"/>
                </w:rPr>
                <w:t>Form of Restricted Stock Unit Agreement for Non-Employee Directors under the Dell Technologies Inc. 2023 Stock Incentive Plan (incorporated by reference to Exhibit 10.2 to the Company’s Quarterly Report on Form 10-Q for the quarterly period ended October 31, 2025)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6">
              <w:r>
                <w:rPr>
                  <w:rStyle w:val="InternetLink"/>
                  <w:rFonts w:ascii="Times New Roman;serif" w:hAnsi="Times New Roman;serif"/>
                  <w:b w:val="false"/>
                  <w:color w:val="0000FF"/>
                  <w:sz w:val="20"/>
                  <w:u w:val="single"/>
                </w:rPr>
                <w:t>10.44*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7">
              <w:r>
                <w:rPr>
                  <w:rStyle w:val="InternetLink"/>
                  <w:rFonts w:ascii="Times New Roman;serif" w:hAnsi="Times New Roman;serif"/>
                  <w:b w:val="false"/>
                  <w:color w:val="0000FF"/>
                  <w:sz w:val="20"/>
                  <w:u w:val="single"/>
                </w:rPr>
                <w:t>Form of Deferred Stock Unit Agreement for Non-Employee Directors under the Dell Technologies Inc. 2023 Stock Incentive Plan (incorporated by reference to Exhibit 10.3 to the Company’s Quarterly Report on Form 10-Q for the quarterly period ended October 31, 2025)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8">
              <w:r>
                <w:rPr>
                  <w:rStyle w:val="InternetLink"/>
                  <w:rFonts w:ascii="Times New Roman;serif" w:hAnsi="Times New Roman;serif"/>
                  <w:b w:val="false"/>
                  <w:color w:val="0000FF"/>
                  <w:sz w:val="20"/>
                  <w:u w:val="single"/>
                </w:rPr>
                <w:t>10.45*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9">
              <w:r>
                <w:rPr>
                  <w:rStyle w:val="InternetLink"/>
                  <w:rFonts w:ascii="Times New Roman;serif" w:hAnsi="Times New Roman;serif"/>
                  <w:b w:val="false"/>
                  <w:color w:val="0000FF"/>
                  <w:sz w:val="20"/>
                  <w:u w:val="single"/>
                </w:rPr>
                <w:t>Form of Performance-Based Stock Option Agreement (incorporated by reference to Exhibit 10.1 to the Company’s Current Report on Form 8-K filed with the Commission on October 2, 2025)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40">
              <w:r>
                <w:rPr>
                  <w:rStyle w:val="InternetLink"/>
                  <w:rFonts w:ascii="Times New Roman;serif" w:hAnsi="Times New Roman;serif"/>
                  <w:b w:val="false"/>
                  <w:color w:val="0000FF"/>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1">
              <w:r>
                <w:rPr>
                  <w:rStyle w:val="InternetLink"/>
                  <w:rFonts w:ascii="Times New Roman;serif" w:hAnsi="Times New Roman;serif"/>
                  <w:b w:val="false"/>
                  <w:color w:val="0000FF"/>
                  <w:sz w:val="20"/>
                  <w:u w:val="single"/>
                </w:rPr>
                <w:t>Dell Technologies Inc. Securities Trading Policy (incorporated by reference to Exhibit 19 to the Company’s Annual Report for the fiscal year ended January 31, 2025) (Commission File No. 001-37867).</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11fy2610-k.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11fy2610-k.htm">
              <w:r>
                <w:rPr>
                  <w:rStyle w:val="InternetLink"/>
                  <w:rFonts w:ascii="Times New Roman;serif" w:hAnsi="Times New Roman;serif"/>
                  <w:b w:val="false"/>
                  <w:color w:val="0000FF"/>
                  <w:sz w:val="20"/>
                  <w:u w:val="single"/>
                </w:rPr>
                <w:t>Subsidiaries of Dell Technologies Inc.</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21q4fy26.htm">
              <w:r>
                <w:rPr>
                  <w:rStyle w:val="InternetLink"/>
                  <w:rFonts w:ascii="Times New Roman;serif" w:hAnsi="Times New Roman;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21q4fy26.htm">
              <w:r>
                <w:rPr>
                  <w:rStyle w:val="InternetLink"/>
                  <w:rFonts w:ascii="Times New Roman;serif" w:hAnsi="Times New Roman;serif"/>
                  <w:b w:val="false"/>
                  <w:color w:val="0000FF"/>
                  <w:sz w:val="20"/>
                  <w:u w:val="single"/>
                </w:rPr>
                <w:t>List of Guarantor Subsidiaries and Issuers of Guaranteed Securities.</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31fy2610-k.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31fy2610-k.htm">
              <w:r>
                <w:rPr>
                  <w:rStyle w:val="InternetLink"/>
                  <w:rFonts w:ascii="Times New Roman;serif" w:hAnsi="Times New Roman;serif"/>
                  <w:b w:val="false"/>
                  <w:color w:val="0000FF"/>
                  <w:sz w:val="20"/>
                  <w:u w:val="single"/>
                </w:rPr>
                <w:t>Consent of PricewaterhouseCoopers LLP, independent registered public accounting firm of Dell Technologies Inc.</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1q4fy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4fy26.htm">
              <w:r>
                <w:rPr>
                  <w:rStyle w:val="InternetLink"/>
                  <w:rFonts w:ascii="Times New Roman;serif" w:hAnsi="Times New Roman;serif"/>
                  <w:b w:val="false"/>
                  <w:color w:val="0000FF"/>
                  <w:sz w:val="20"/>
                  <w:u w:val="single"/>
                </w:rPr>
                <w:t>Certification of Michael S. Dell, Chairman and Chief Executive Officer, pursuant to Rule 13a-14(a) or Rule 15d-14(a) under the Securities Exchange Act of 1934, as adopted pursuant to Section 302 of the Sarbanes-Oxley Act of 2002.</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2q4fy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4fy26.htm">
              <w:r>
                <w:rPr>
                  <w:rStyle w:val="InternetLink"/>
                  <w:rFonts w:ascii="Times New Roman;serif" w:hAnsi="Times New Roman;serif"/>
                  <w:b w:val="false"/>
                  <w:color w:val="0000FF"/>
                  <w:sz w:val="20"/>
                  <w:u w:val="single"/>
                </w:rPr>
                <w:t>Certification of David Kennedy, Executive Vice President and Chief Financial Officer, pursuant to Rule 13a-14(a) or Rule 15d-14(a) under the Securities Exchange Act of 1934, as adopted pursuant to Section 302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26415"/>
                <wp:effectExtent l="0" t="0" r="0" b="0"/>
                <wp:wrapNone/>
                <wp:docPr id="150" name="Frame14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4"/>
        <w:gridCol w:w="213"/>
        <w:gridCol w:w="215"/>
        <w:gridCol w:w="109"/>
        <w:gridCol w:w="109"/>
        <w:gridCol w:w="109"/>
        <w:gridCol w:w="2708"/>
        <w:gridCol w:w="2676"/>
        <w:gridCol w:w="3802"/>
      </w:tblGrid>
      <w:tr>
        <w:trPr/>
        <w:tc>
          <w:tcPr>
            <w:tcW w:w="2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21q4fy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4fy26.htm">
              <w:r>
                <w:rPr>
                  <w:rStyle w:val="InternetLink"/>
                  <w:rFonts w:ascii="Times New Roman;serif" w:hAnsi="Times New Roman;serif"/>
                  <w:b w:val="false"/>
                  <w:color w:val="0000FF"/>
                  <w:sz w:val="20"/>
                  <w:u w:val="single"/>
                </w:rPr>
                <w:t>Certifications of Michael S. Dell, Chairman and Chief Executive Officer, and David Kennedy, Executive Vice President and Chief Financial Officer, pursuant to Rule 13a-14(b) or Rule 15d-14(b) under the Securities Exchange Act of 1934 and 18 U.S.C. Section 1350, as adopted pursuant to Section 906 of the Sarbanes-Oxley Act of 2002.</w:t>
              </w:r>
            </w:hyperlink>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42">
              <w:r>
                <w:rPr>
                  <w:rStyle w:val="InternetLink"/>
                  <w:rFonts w:ascii="Times New Roman;serif" w:hAnsi="Times New Roman;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3">
              <w:r>
                <w:rPr>
                  <w:rStyle w:val="InternetLink"/>
                  <w:rFonts w:ascii="Times New Roman;serif" w:hAnsi="Times New Roman;serif"/>
                  <w:b w:val="false"/>
                  <w:color w:val="0000FF"/>
                  <w:sz w:val="20"/>
                  <w:u w:val="single"/>
                </w:rPr>
                <w:t>Dell Technologies Inc. Incentive-Based Compensation Recovery Policy effective September 28, 2023 (incorporated by reference to Exhibit 97 to the Company’s Annual Report on Form 10-K for the fiscal year ended February 2, 2024) (Commission File No. 001-37867).</w:t>
              </w:r>
            </w:hyperlink>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(included in Exhibit 101).</w:t>
            </w:r>
          </w:p>
        </w:tc>
      </w:tr>
    </w:tbl>
    <w:tbl>
      <w:tblPr>
        <w:tblW w:w="10205" w:type="dxa"/>
        <w:jc w:val="center"/>
        <w:tblInd w:w="0" w:type="dxa"/>
        <w:tblLayout w:type="fixed"/>
        <w:tblCellMar>
          <w:top w:w="28" w:type="dxa"/>
          <w:left w:w="28" w:type="dxa"/>
          <w:bottom w:w="28" w:type="dxa"/>
          <w:right w:w="28" w:type="dxa"/>
        </w:tblCellMar>
      </w:tblPr>
      <w:tblGrid>
        <w:gridCol w:w="125"/>
        <w:gridCol w:w="110"/>
        <w:gridCol w:w="110"/>
        <w:gridCol w:w="109"/>
        <w:gridCol w:w="109"/>
        <w:gridCol w:w="109"/>
        <w:gridCol w:w="2790"/>
        <w:gridCol w:w="2790"/>
        <w:gridCol w:w="3953"/>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contracts or compensation plans or arrangements in which directors or executive officers participate.</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with this report.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Item 601(b)(4)(iii) of Regulation S-K, copies of certain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 FORM 10-K SUMMARY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26415"/>
                <wp:effectExtent l="0" t="0" r="0" b="0"/>
                <wp:wrapNone/>
                <wp:docPr id="151" name="Frame15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823" w:type="dxa"/>
        <w:jc w:val="left"/>
        <w:tblInd w:w="0" w:type="dxa"/>
        <w:tblLayout w:type="fixed"/>
        <w:tblCellMar>
          <w:top w:w="28" w:type="dxa"/>
          <w:left w:w="28" w:type="dxa"/>
          <w:bottom w:w="28" w:type="dxa"/>
          <w:right w:w="28" w:type="dxa"/>
        </w:tblCellMar>
      </w:tblPr>
      <w:tblGrid>
        <w:gridCol w:w="124"/>
        <w:gridCol w:w="109"/>
        <w:gridCol w:w="109"/>
        <w:gridCol w:w="399"/>
        <w:gridCol w:w="399"/>
        <w:gridCol w:w="399"/>
        <w:gridCol w:w="959"/>
        <w:gridCol w:w="959"/>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DELL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Dell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Dat</w:t>
      </w:r>
      <w:r>
        <w:rPr>
          <w:rFonts w:ascii="Times New Roman;serif" w:hAnsi="Times New Roman;serif"/>
          <w:b w:val="false"/>
          <w:color w:val="000000"/>
          <w:sz w:val="20"/>
        </w:rPr>
        <w:t xml:space="preserve">e: March 16,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6415"/>
                <wp:effectExtent l="0" t="0" r="0" b="0"/>
                <wp:wrapNone/>
                <wp:docPr id="152" name="Frame15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ecfa9cdffdd430cb1da4c02ab2461d3_109951162967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as of March 16, 2026:</w:t>
      </w:r>
    </w:p>
    <w:p>
      <w:pPr>
        <w:pStyle w:val="TextBody"/>
        <w:bidi w:val="0"/>
        <w:spacing w:before="0" w:after="0"/>
        <w:jc w:val="left"/>
        <w:rPr/>
      </w:pPr>
      <w:r>
        <w:rPr/>
      </w:r>
    </w:p>
    <w:tbl>
      <w:tblPr>
        <w:tblW w:w="8140" w:type="dxa"/>
        <w:jc w:val="left"/>
        <w:tblInd w:w="0" w:type="dxa"/>
        <w:tblLayout w:type="fixed"/>
        <w:tblCellMar>
          <w:top w:w="28" w:type="dxa"/>
          <w:left w:w="28" w:type="dxa"/>
          <w:bottom w:w="28" w:type="dxa"/>
          <w:right w:w="28" w:type="dxa"/>
        </w:tblCellMar>
      </w:tblPr>
      <w:tblGrid>
        <w:gridCol w:w="1203"/>
        <w:gridCol w:w="1062"/>
        <w:gridCol w:w="1064"/>
        <w:gridCol w:w="109"/>
        <w:gridCol w:w="109"/>
        <w:gridCol w:w="109"/>
        <w:gridCol w:w="1309"/>
        <w:gridCol w:w="1309"/>
        <w:gridCol w:w="1866"/>
      </w:tblGrid>
      <w:tr>
        <w:trPr/>
        <w:tc>
          <w:tcPr>
            <w:tcW w:w="120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MICHAEL S. DELL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Dell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DAVID W. DORMAN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W. Dorman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EGON DURBAN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Egon Durban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DAVID GRAIN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Grain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WILLIAM D.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D.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ELLEN J. KULLMAN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Ellen J. Kullman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STEVE M. MOLLENKOPF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 M. Mollenkopf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LYNN VOJVODICH RADAKOVICH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Lynn Vojvodich Radakovich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DAVID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 RICHARD TROY SHARP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Finance and</w:t>
            </w:r>
          </w:p>
        </w:tc>
      </w:tr>
      <w:tr>
        <w:trPr/>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Richard Troy Sharp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4.29</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6415"/>
                <wp:effectExtent l="0" t="0" r="0" b="0"/>
                <wp:wrapNone/>
                <wp:docPr id="153" name="Frame15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Dell Technologies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Consent to the Extension of Registration Rights Under the</w:t>
        <w:br/>
        <w:t xml:space="preserve">Second Amended and Restated Registration Rights Agreement </w:t>
      </w:r>
    </w:p>
    <w:p>
      <w:pPr>
        <w:pStyle w:val="TextBody"/>
        <w:bidi w:val="0"/>
        <w:spacing w:lineRule="auto" w:line="288" w:before="0" w:after="240"/>
        <w:ind w:left="0" w:right="0" w:firstLine="1440"/>
        <w:jc w:val="left"/>
        <w:rPr/>
      </w:pPr>
      <w:r>
        <w:rPr>
          <w:rFonts w:ascii="Times New Roman;serif" w:hAnsi="Times New Roman;serif"/>
          <w:b w:val="false"/>
          <w:color w:val="000000"/>
          <w:sz w:val="22"/>
        </w:rPr>
        <w:t>Reference is made herein to the Second Amended and Restated Registration Rights Agreement, dated as of December 25, 2018, as amended by Amendment No. 1, dated as of May 27, 2019, Amendment No. 2, dated as of April 15, 2020, and Amendment No. 3, dated as of September 15, 2020 (as so amended, the “</w:t>
      </w:r>
      <w:r>
        <w:rPr>
          <w:rFonts w:ascii="Times New Roman;serif" w:hAnsi="Times New Roman;serif"/>
          <w:b w:val="false"/>
          <w:color w:val="000000"/>
          <w:sz w:val="22"/>
          <w:u w:val="single"/>
        </w:rPr>
        <w:t>Registration Rights Agreement</w:t>
      </w:r>
      <w:r>
        <w:rPr>
          <w:color w:val="000000"/>
        </w:rPr>
        <w:t>”</w:t>
      </w:r>
      <w:r>
        <w:rPr>
          <w:rFonts w:ascii="Times New Roman;serif" w:hAnsi="Times New Roman;serif"/>
          <w:b w:val="false"/>
          <w:color w:val="000000"/>
          <w:sz w:val="22"/>
        </w:rPr>
        <w:t>), by and among Dell Technologies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 Delaware corporation, and each of (a) Michael S. Dell and Susan Lieberman Dell Separate Property Trust, (b) SL SPV-2, L.P., a Delaware limited partnership, Silver Lake Partners IV, L.P., a Delaware limited partnership, Silver Lake Technology Investors IV, L.P., a Delaware limited partnership, Silver Lake Partners V DE (AIV), L.P., a Delaware limited partnership, and Silver Lake Technology Investors V, L.P., a Delaware limited partnership (collectively, the “</w:t>
      </w:r>
      <w:r>
        <w:rPr>
          <w:rFonts w:ascii="Times New Roman;serif" w:hAnsi="Times New Roman;serif"/>
          <w:b w:val="false"/>
          <w:color w:val="000000"/>
          <w:sz w:val="22"/>
          <w:u w:val="single"/>
        </w:rPr>
        <w:t>SLP Stockholders</w:t>
      </w:r>
      <w:r>
        <w:rPr>
          <w:color w:val="000000"/>
        </w:rPr>
        <w:t>”</w:t>
      </w:r>
      <w:r>
        <w:rPr>
          <w:rFonts w:ascii="Times New Roman;serif" w:hAnsi="Times New Roman;serif"/>
          <w:b w:val="false"/>
          <w:color w:val="000000"/>
          <w:sz w:val="22"/>
        </w:rPr>
        <w:t>), and (c) Venezio Investments Pte. Ltd., a Singapore corporation. Capitalized terms used but not defined in this Consent shall have the meanings ascribed to such terms in the Registration Rights Agreement. Capitalized terms defined in this Consent shall have the meanings ascribed to such terms herein for purposes of this Consent and the Registration Rights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WHEREAS, pursuant to Section 2.1(a) of the Registration Rights Agreement, the Company is required to use its reasonable best efforts to file a Shelf Registration Statement for a public offering of the Registrable Securities no later than the first day on which such filing can be made with the SEC on or after December 31, 2020 (such date, the “</w:t>
      </w:r>
      <w:r>
        <w:rPr>
          <w:rFonts w:ascii="Times New Roman;serif" w:hAnsi="Times New Roman;serif"/>
          <w:b w:val="false"/>
          <w:color w:val="000000"/>
          <w:sz w:val="22"/>
          <w:u w:val="single"/>
        </w:rPr>
        <w:t>Shelf Registration Filing Deadline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WHEREAS, in accordance with Section 2.1(a) of the Registration Rights Agreement, the Shelf Registration Filing Deadline may be extended for one or more periods of up to three months each upon the express written consent of the Company and the SLP Stockholders;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WHEREAS, the Company and the SLP Stockholders wish to consent to an extension of the Shelf Registration Filing Deadline for a period of three months to March 31, 2026; </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NOW, THEREFORE, the Company and the SLP Stockholders hereby consent and agree that, for all purposes under the Registration Rights Agreement, the Shelf Registration Filing Deadline shall be extended to no later than the first day on which such filing can be made with the SEC on or after March 31, 2026.</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Except as expressly set forth in this Consent, no other terms and conditions of the Registration Rights Agreement are hereby amended, modified, supplemented or waived. </w:t>
      </w:r>
    </w:p>
    <w:p>
      <w:pPr>
        <w:pStyle w:val="TextBody"/>
        <w:bidi w:val="0"/>
        <w:spacing w:lineRule="auto" w:line="288" w:before="0" w:after="240"/>
        <w:ind w:left="0" w:right="0" w:firstLine="1440"/>
        <w:jc w:val="left"/>
        <w:rPr/>
      </w:pP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Consent</w:t>
      </w:r>
      <w:r>
        <w:rPr>
          <w:color w:val="000000"/>
        </w:rPr>
        <w:t xml:space="preserve"> </w:t>
      </w:r>
      <w:r>
        <w:rPr>
          <w:rFonts w:ascii="Times New Roman;serif" w:hAnsi="Times New Roman;serif"/>
          <w:b w:val="false"/>
          <w:color w:val="000000"/>
          <w:sz w:val="22"/>
        </w:rPr>
        <w:t>and all claims or causes of action (whether in tort, contract or otherwise) that may be based upon, arise out of or relate to this Consent or the negotiation, execution, interpretation or performance of this Consent (including any claim or cause of action based upon, arising out of or related to any representation or warranty made in or in connection with this Consent) shall be governed by and construed in accordance with the laws of the State of Delaware, regardless of the laws that might otherwise govern under applicable rules or principles of conflicts of laws.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erif" w:hAnsi="Times New Roman;serif"/>
          <w:b w:val="false"/>
          <w:color w:val="000000"/>
          <w:sz w:val="22"/>
        </w:rPr>
        <w:t xml:space="preserve">IN WITNESS WHEREOF, the undersigned have executed and delivered this Consent this December </w:t>
      </w:r>
      <w:r>
        <w:rPr>
          <w:rFonts w:ascii="Times New Roman;serif" w:hAnsi="Times New Roman;serif"/>
          <w:b w:val="false"/>
          <w:color w:val="000000"/>
          <w:sz w:val="22"/>
          <w:u w:val="single"/>
        </w:rPr>
        <w:t>16</w:t>
      </w:r>
      <w:r>
        <w:rPr>
          <w:rFonts w:ascii="Times New Roman;serif" w:hAnsi="Times New Roman;serif"/>
          <w:b w:val="false"/>
          <w:color w:val="000000"/>
          <w:sz w:val="22"/>
        </w:rPr>
        <w:t>,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DELL TECHNOLOGIES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Christopher A. Garcia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Christopher A. Garcia</w:t>
      </w:r>
    </w:p>
    <w:p>
      <w:pPr>
        <w:pStyle w:val="TextBody"/>
        <w:bidi w:val="0"/>
        <w:spacing w:lineRule="auto" w:line="288"/>
        <w:jc w:val="left"/>
        <w:rPr>
          <w:color w:val="000000"/>
        </w:rPr>
      </w:pPr>
      <w:r>
        <w:rPr>
          <w:color w:val="000000"/>
        </w:rPr>
        <w:t>    </w:t>
      </w:r>
      <w:r>
        <w:rPr>
          <w:rFonts w:ascii="Times New Roman;serif" w:hAnsi="Times New Roman;serif"/>
          <w:b w:val="false"/>
          <w:color w:val="000000"/>
          <w:sz w:val="22"/>
        </w:rPr>
        <w:t>Title:     Senior Vice President and Assistant 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color w:val="000000"/>
          <w:sz w:val="22"/>
        </w:rPr>
        <w:t>SLP STOCKHOLDERS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 SPV-2,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SLTA SPV-2, L.P.,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SLTA SPV-2 (GP), L.L.C.,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Group, L.L.C., its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Justin Hamill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Justin Hamill</w:t>
      </w:r>
    </w:p>
    <w:p>
      <w:pPr>
        <w:pStyle w:val="TextBody"/>
        <w:bidi w:val="0"/>
        <w:spacing w:lineRule="auto" w:line="288"/>
        <w:jc w:val="left"/>
        <w:rPr>
          <w:color w:val="000000"/>
        </w:rPr>
      </w:pPr>
      <w:r>
        <w:rPr>
          <w:color w:val="000000"/>
        </w:rPr>
        <w:t>    </w:t>
      </w:r>
      <w:r>
        <w:rPr>
          <w:rFonts w:ascii="Times New Roman;serif" w:hAnsi="Times New Roman;serif"/>
          <w:b w:val="false"/>
          <w:color w:val="000000"/>
          <w:sz w:val="22"/>
        </w:rPr>
        <w:t>Title:     Managing Director and Chief Legal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SILVER LAKE PARTNERS IV,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Technology Associates IV, L.P.,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SLTA IV (GP), L.L.C.,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Group, L.L.C., its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Justin Hamill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Justin Hamill</w:t>
      </w:r>
    </w:p>
    <w:p>
      <w:pPr>
        <w:pStyle w:val="TextBody"/>
        <w:bidi w:val="0"/>
        <w:spacing w:lineRule="auto" w:line="288"/>
        <w:jc w:val="left"/>
        <w:rPr>
          <w:color w:val="000000"/>
        </w:rPr>
      </w:pPr>
      <w:r>
        <w:rPr>
          <w:color w:val="000000"/>
        </w:rPr>
        <w:t>    </w:t>
      </w:r>
      <w:r>
        <w:rPr>
          <w:rFonts w:ascii="Times New Roman;serif" w:hAnsi="Times New Roman;serif"/>
          <w:b w:val="false"/>
          <w:color w:val="000000"/>
          <w:sz w:val="22"/>
        </w:rPr>
        <w:t>Title:     Managing Director and Chief Legal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SILVER LAKE TECHNOLOGY INVESTORS IV,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Technology Associates IV, L.P.,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SLTA IV (GP), L.L.C.,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Group, L.L.C., its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Justin Hamill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Justin Hamill</w:t>
      </w:r>
    </w:p>
    <w:p>
      <w:pPr>
        <w:pStyle w:val="TextBody"/>
        <w:bidi w:val="0"/>
        <w:spacing w:lineRule="auto" w:line="288"/>
        <w:jc w:val="left"/>
        <w:rPr>
          <w:color w:val="000000"/>
        </w:rPr>
      </w:pPr>
      <w:r>
        <w:rPr>
          <w:color w:val="000000"/>
        </w:rPr>
        <w:t>    </w:t>
      </w:r>
      <w:r>
        <w:rPr>
          <w:rFonts w:ascii="Times New Roman;serif" w:hAnsi="Times New Roman;serif"/>
          <w:b w:val="false"/>
          <w:color w:val="000000"/>
          <w:sz w:val="22"/>
        </w:rPr>
        <w:t>Title:     Managing Director and Chief Legal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SILVER LAKE PARTNERS V DE (AIV),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Technology Associates V, L.P.,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SLTA V (GP), L.L.C.,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Group, L.L.C., its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Justin Hamill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Justin Hamill</w:t>
      </w:r>
    </w:p>
    <w:p>
      <w:pPr>
        <w:pStyle w:val="TextBody"/>
        <w:bidi w:val="0"/>
        <w:spacing w:lineRule="auto" w:line="288"/>
        <w:jc w:val="left"/>
        <w:rPr>
          <w:color w:val="000000"/>
        </w:rPr>
      </w:pPr>
      <w:r>
        <w:rPr>
          <w:color w:val="000000"/>
        </w:rPr>
        <w:t>    </w:t>
      </w:r>
      <w:r>
        <w:rPr>
          <w:rFonts w:ascii="Times New Roman;serif" w:hAnsi="Times New Roman;serif"/>
          <w:b w:val="false"/>
          <w:color w:val="000000"/>
          <w:sz w:val="22"/>
        </w:rPr>
        <w:t>Title:     Managing Director and Chief Legal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SILVER LAKE TECHNOLOGY INVESTORS V,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Technology Associates V, L.P.,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SLTA V (GP), L.L.C.,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Silver Lake Group, L.L.C., its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Justin Hamill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Justin Hamill</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 and Chief Legal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1" w:after="283"/>
        <w:jc w:val="right"/>
        <w:rPr>
          <w:rFonts w:ascii="Times New Roman;serif" w:hAnsi="Times New Roman;serif"/>
          <w:b/>
          <w:color w:val="000000"/>
          <w:sz w:val="20"/>
        </w:rPr>
      </w:pPr>
      <w:r>
        <w:rPr>
          <w:rFonts w:ascii="Times New Roman;serif" w:hAnsi="Times New Roman;serif"/>
          <w:b/>
          <w:color w:val="000000"/>
          <w:sz w:val="20"/>
        </w:rPr>
        <w:t>Exhibit 10.26</w:t>
      </w:r>
    </w:p>
    <w:p>
      <w:pPr>
        <w:pStyle w:val="TextBody"/>
        <w:bidi w:val="0"/>
        <w:spacing w:lineRule="auto" w:line="288" w:before="81" w:after="283"/>
        <w:jc w:val="center"/>
        <w:rPr/>
      </w:pPr>
      <w:r>
        <w:rPr>
          <w:rFonts w:ascii="Times New Roman;serif" w:hAnsi="Times New Roman;serif"/>
          <w:b/>
          <w:color w:val="000000"/>
          <w:sz w:val="20"/>
        </w:rPr>
        <w:t>DELL</w:t>
      </w:r>
      <w:r>
        <w:rPr>
          <w:color w:val="000000"/>
        </w:rPr>
        <w:t xml:space="preserve"> </w:t>
      </w:r>
      <w:r>
        <w:rPr>
          <w:rFonts w:ascii="Times New Roman;serif" w:hAnsi="Times New Roman;serif"/>
          <w:b/>
          <w:color w:val="000000"/>
          <w:sz w:val="20"/>
        </w:rPr>
        <w:t>TECHNOLOGIES</w:t>
      </w:r>
      <w:r>
        <w:rPr>
          <w:color w:val="000000"/>
        </w:rPr>
        <w:t xml:space="preserve"> </w:t>
      </w:r>
      <w:r>
        <w:rPr>
          <w:rFonts w:ascii="Times New Roman;serif" w:hAnsi="Times New Roman;serif"/>
          <w:b/>
          <w:color w:val="000000"/>
          <w:sz w:val="20"/>
        </w:rPr>
        <w:t>INC.</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u w:val="single"/>
        </w:rPr>
        <w:t>Amended</w:t>
      </w:r>
      <w:r>
        <w:rPr>
          <w:color w:val="000000"/>
          <w:u w:val="single"/>
        </w:rPr>
        <w:t xml:space="preserve"> </w:t>
      </w:r>
      <w:r>
        <w:rPr>
          <w:rFonts w:ascii="Times New Roman;serif" w:hAnsi="Times New Roman;serif"/>
          <w:b/>
          <w:color w:val="000000"/>
          <w:sz w:val="20"/>
          <w:u w:val="single"/>
        </w:rPr>
        <w:t>and</w:t>
      </w:r>
      <w:r>
        <w:rPr>
          <w:color w:val="000000"/>
          <w:u w:val="single"/>
        </w:rPr>
        <w:t xml:space="preserve"> </w:t>
      </w:r>
      <w:r>
        <w:rPr>
          <w:rFonts w:ascii="Times New Roman;serif" w:hAnsi="Times New Roman;serif"/>
          <w:b/>
          <w:color w:val="000000"/>
          <w:sz w:val="20"/>
          <w:u w:val="single"/>
        </w:rPr>
        <w:t>Restated</w:t>
      </w:r>
    </w:p>
    <w:p>
      <w:pPr>
        <w:pStyle w:val="TextBody"/>
        <w:bidi w:val="0"/>
        <w:spacing w:lineRule="auto" w:line="288" w:before="1" w:after="283"/>
        <w:jc w:val="center"/>
        <w:rPr/>
      </w:pPr>
      <w:r>
        <w:rPr>
          <w:rFonts w:ascii="Times New Roman;serif" w:hAnsi="Times New Roman;serif"/>
          <w:b/>
          <w:color w:val="000000"/>
          <w:sz w:val="20"/>
          <w:u w:val="single"/>
        </w:rPr>
        <w:t>Compensation</w:t>
      </w:r>
      <w:r>
        <w:rPr>
          <w:color w:val="000000"/>
          <w:u w:val="single"/>
        </w:rPr>
        <w:t xml:space="preserve"> </w:t>
      </w:r>
      <w:r>
        <w:rPr>
          <w:rFonts w:ascii="Times New Roman;serif" w:hAnsi="Times New Roman;serif"/>
          <w:b/>
          <w:color w:val="000000"/>
          <w:sz w:val="20"/>
          <w:u w:val="single"/>
        </w:rPr>
        <w:t>Program</w:t>
      </w:r>
      <w:r>
        <w:rPr>
          <w:color w:val="000000"/>
          <w:u w:val="single"/>
        </w:rPr>
        <w:t xml:space="preserve"> </w:t>
      </w:r>
      <w:r>
        <w:rPr>
          <w:rFonts w:ascii="Times New Roman;serif" w:hAnsi="Times New Roman;serif"/>
          <w:b/>
          <w:color w:val="000000"/>
          <w:sz w:val="20"/>
          <w:u w:val="single"/>
        </w:rPr>
        <w:t>for</w:t>
      </w:r>
      <w:r>
        <w:rPr>
          <w:color w:val="000000"/>
          <w:u w:val="single"/>
        </w:rPr>
        <w:t xml:space="preserve"> </w:t>
      </w:r>
      <w:r>
        <w:rPr>
          <w:rFonts w:ascii="Times New Roman;serif" w:hAnsi="Times New Roman;serif"/>
          <w:b/>
          <w:color w:val="000000"/>
          <w:sz w:val="20"/>
          <w:u w:val="single"/>
        </w:rPr>
        <w:t>Independent</w:t>
      </w:r>
      <w:r>
        <w:rPr>
          <w:color w:val="000000"/>
          <w:u w:val="single"/>
        </w:rPr>
        <w:t xml:space="preserve"> </w:t>
      </w:r>
      <w:r>
        <w:rPr>
          <w:rFonts w:ascii="Times New Roman;serif" w:hAnsi="Times New Roman;serif"/>
          <w:b/>
          <w:color w:val="000000"/>
          <w:sz w:val="20"/>
          <w:u w:val="single"/>
        </w:rPr>
        <w:t>Non-Employee</w:t>
      </w:r>
      <w:r>
        <w:rPr>
          <w:color w:val="000000"/>
          <w:u w:val="single"/>
        </w:rPr>
        <w:t xml:space="preserve"> </w:t>
      </w:r>
      <w:r>
        <w:rPr>
          <w:rFonts w:ascii="Times New Roman;serif" w:hAnsi="Times New Roman;serif"/>
          <w:b/>
          <w:color w:val="000000"/>
          <w:sz w:val="20"/>
          <w:u w:val="single"/>
        </w:rPr>
        <w:t>Directors</w:t>
      </w:r>
    </w:p>
    <w:p>
      <w:pPr>
        <w:pStyle w:val="TextBody"/>
        <w:bidi w:val="0"/>
        <w:spacing w:before="135" w:after="283"/>
        <w:jc w:val="left"/>
        <w:rPr/>
      </w:pPr>
      <w:r>
        <w:rPr/>
      </w:r>
    </w:p>
    <w:p>
      <w:pPr>
        <w:pStyle w:val="TextBody"/>
        <w:bidi w:val="0"/>
        <w:spacing w:lineRule="auto" w:line="288" w:before="1" w:after="283"/>
        <w:jc w:val="left"/>
        <w:rPr/>
      </w:pPr>
      <w:r>
        <w:rPr>
          <w:rFonts w:ascii="Times New Roman;serif" w:hAnsi="Times New Roman;serif"/>
          <w:b w:val="false"/>
          <w:color w:val="221F1F"/>
          <w:sz w:val="20"/>
        </w:rPr>
        <w:t>Each</w:t>
      </w:r>
      <w:r>
        <w:rPr>
          <w:color w:val="221F1F"/>
        </w:rPr>
        <w:t xml:space="preserve"> </w:t>
      </w:r>
      <w:r>
        <w:rPr>
          <w:rFonts w:ascii="Times New Roman;serif" w:hAnsi="Times New Roman;serif"/>
          <w:b w:val="false"/>
          <w:color w:val="221F1F"/>
          <w:sz w:val="20"/>
        </w:rPr>
        <w:t>independent non-employee</w:t>
      </w:r>
      <w:r>
        <w:rPr>
          <w:color w:val="221F1F"/>
        </w:rPr>
        <w:t xml:space="preserve"> </w:t>
      </w:r>
      <w:r>
        <w:rPr>
          <w:rFonts w:ascii="Times New Roman;serif" w:hAnsi="Times New Roman;serif"/>
          <w:b w:val="false"/>
          <w:color w:val="221F1F"/>
          <w:sz w:val="20"/>
        </w:rPr>
        <w:t>member</w:t>
      </w:r>
      <w:r>
        <w:rPr>
          <w:color w:val="221F1F"/>
        </w:rPr>
        <w:t xml:space="preserve"> </w:t>
      </w:r>
      <w:r>
        <w:rPr>
          <w:rFonts w:ascii="Times New Roman;serif" w:hAnsi="Times New Roman;serif"/>
          <w:b w:val="false"/>
          <w:color w:val="221F1F"/>
          <w:sz w:val="20"/>
        </w:rPr>
        <w:t>(a</w:t>
      </w:r>
      <w:r>
        <w:rPr>
          <w:color w:val="221F1F"/>
        </w:rPr>
        <w:t xml:space="preserve"> “</w:t>
      </w:r>
      <w:r>
        <w:rPr>
          <w:rFonts w:ascii="Times New Roman;serif" w:hAnsi="Times New Roman;serif"/>
          <w:b w:val="false"/>
          <w:color w:val="221F1F"/>
          <w:sz w:val="20"/>
          <w:u w:val="single"/>
        </w:rPr>
        <w:t>director</w:t>
      </w:r>
      <w:r>
        <w:rPr>
          <w:color w:val="221F1F"/>
        </w:rPr>
        <w:t>”</w:t>
      </w:r>
      <w:r>
        <w:rPr>
          <w:rFonts w:ascii="Times New Roman;serif" w:hAnsi="Times New Roman;serif"/>
          <w:b w:val="false"/>
          <w:color w:val="221F1F"/>
          <w:sz w:val="20"/>
        </w:rPr>
        <w:t>)</w:t>
      </w:r>
      <w:r>
        <w:rPr>
          <w:color w:val="221F1F"/>
        </w:rPr>
        <w:t xml:space="preserve"> </w:t>
      </w:r>
      <w:r>
        <w:rPr>
          <w:rFonts w:ascii="Times New Roman;serif" w:hAnsi="Times New Roman;serif"/>
          <w:b w:val="false"/>
          <w:color w:val="221F1F"/>
          <w:sz w:val="20"/>
        </w:rPr>
        <w:t>of</w:t>
      </w:r>
      <w:r>
        <w:rPr>
          <w:color w:val="221F1F"/>
        </w:rPr>
        <w:t xml:space="preserve"> </w:t>
      </w:r>
      <w:r>
        <w:rPr>
          <w:rFonts w:ascii="Times New Roman;serif" w:hAnsi="Times New Roman;serif"/>
          <w:b w:val="false"/>
          <w:color w:val="221F1F"/>
          <w:sz w:val="20"/>
        </w:rPr>
        <w:t>the Board</w:t>
      </w:r>
      <w:r>
        <w:rPr>
          <w:color w:val="221F1F"/>
        </w:rPr>
        <w:t xml:space="preserve"> </w:t>
      </w:r>
      <w:r>
        <w:rPr>
          <w:rFonts w:ascii="Times New Roman;serif" w:hAnsi="Times New Roman;serif"/>
          <w:b w:val="false"/>
          <w:color w:val="221F1F"/>
          <w:sz w:val="20"/>
        </w:rPr>
        <w:t>of</w:t>
      </w:r>
      <w:r>
        <w:rPr>
          <w:color w:val="221F1F"/>
        </w:rPr>
        <w:t xml:space="preserve"> </w:t>
      </w:r>
      <w:r>
        <w:rPr>
          <w:rFonts w:ascii="Times New Roman;serif" w:hAnsi="Times New Roman;serif"/>
          <w:b w:val="false"/>
          <w:color w:val="221F1F"/>
          <w:sz w:val="20"/>
        </w:rPr>
        <w:t>Directors</w:t>
      </w:r>
      <w:r>
        <w:rPr>
          <w:color w:val="221F1F"/>
        </w:rPr>
        <w:t xml:space="preserve"> </w:t>
      </w:r>
      <w:r>
        <w:rPr>
          <w:rFonts w:ascii="Times New Roman;serif" w:hAnsi="Times New Roman;serif"/>
          <w:b w:val="false"/>
          <w:color w:val="221F1F"/>
          <w:sz w:val="20"/>
        </w:rPr>
        <w:t>(“</w:t>
      </w:r>
      <w:r>
        <w:rPr>
          <w:rFonts w:ascii="Times New Roman;serif" w:hAnsi="Times New Roman;serif"/>
          <w:b w:val="false"/>
          <w:color w:val="221F1F"/>
          <w:sz w:val="20"/>
          <w:u w:val="single"/>
        </w:rPr>
        <w:t>Board</w:t>
      </w:r>
      <w:r>
        <w:rPr>
          <w:color w:val="221F1F"/>
        </w:rPr>
        <w:t>”</w:t>
      </w:r>
      <w:r>
        <w:rPr>
          <w:rFonts w:ascii="Times New Roman;serif" w:hAnsi="Times New Roman;serif"/>
          <w:b w:val="false"/>
          <w:color w:val="221F1F"/>
          <w:sz w:val="20"/>
        </w:rPr>
        <w:t>)</w:t>
      </w:r>
      <w:r>
        <w:rPr>
          <w:color w:val="221F1F"/>
        </w:rPr>
        <w:t xml:space="preserve"> </w:t>
      </w:r>
      <w:r>
        <w:rPr>
          <w:rFonts w:ascii="Times New Roman;serif" w:hAnsi="Times New Roman;serif"/>
          <w:b w:val="false"/>
          <w:color w:val="221F1F"/>
          <w:sz w:val="20"/>
        </w:rPr>
        <w:t>of</w:t>
      </w:r>
      <w:r>
        <w:rPr>
          <w:color w:val="221F1F"/>
        </w:rPr>
        <w:t xml:space="preserve"> </w:t>
      </w:r>
      <w:r>
        <w:rPr>
          <w:rFonts w:ascii="Times New Roman;serif" w:hAnsi="Times New Roman;serif"/>
          <w:b w:val="false"/>
          <w:color w:val="221F1F"/>
          <w:sz w:val="20"/>
        </w:rPr>
        <w:t>Dell</w:t>
      </w:r>
      <w:r>
        <w:rPr>
          <w:color w:val="221F1F"/>
        </w:rPr>
        <w:t xml:space="preserve"> </w:t>
      </w:r>
      <w:r>
        <w:rPr>
          <w:rFonts w:ascii="Times New Roman;serif" w:hAnsi="Times New Roman;serif"/>
          <w:b w:val="false"/>
          <w:color w:val="221F1F"/>
          <w:sz w:val="20"/>
        </w:rPr>
        <w:t>Technologies Inc. (the “</w:t>
      </w:r>
      <w:r>
        <w:rPr>
          <w:rFonts w:ascii="Times New Roman;serif" w:hAnsi="Times New Roman;serif"/>
          <w:b w:val="false"/>
          <w:color w:val="221F1F"/>
          <w:sz w:val="20"/>
          <w:u w:val="single"/>
        </w:rPr>
        <w:t>Company</w:t>
      </w:r>
      <w:r>
        <w:rPr>
          <w:color w:val="221F1F"/>
        </w:rPr>
        <w:t>”</w:t>
      </w:r>
      <w:r>
        <w:rPr>
          <w:rFonts w:ascii="Times New Roman;serif" w:hAnsi="Times New Roman;serif"/>
          <w:b w:val="false"/>
          <w:color w:val="221F1F"/>
          <w:sz w:val="20"/>
        </w:rPr>
        <w:t>)</w:t>
      </w:r>
      <w:r>
        <w:rPr>
          <w:color w:val="221F1F"/>
        </w:rPr>
        <w:t xml:space="preserve"> </w:t>
      </w:r>
      <w:r>
        <w:rPr>
          <w:rFonts w:ascii="Times New Roman;serif" w:hAnsi="Times New Roman;serif"/>
          <w:b w:val="false"/>
          <w:color w:val="221F1F"/>
          <w:sz w:val="20"/>
        </w:rPr>
        <w:t>shall be entitled</w:t>
      </w:r>
      <w:r>
        <w:rPr>
          <w:color w:val="221F1F"/>
        </w:rPr>
        <w:t xml:space="preserve"> </w:t>
      </w:r>
      <w:r>
        <w:rPr>
          <w:rFonts w:ascii="Times New Roman;serif" w:hAnsi="Times New Roman;serif"/>
          <w:b w:val="false"/>
          <w:color w:val="221F1F"/>
          <w:sz w:val="20"/>
        </w:rPr>
        <w:t>to</w:t>
      </w:r>
      <w:r>
        <w:rPr>
          <w:color w:val="221F1F"/>
        </w:rPr>
        <w:t xml:space="preserve"> </w:t>
      </w:r>
      <w:r>
        <w:rPr>
          <w:rFonts w:ascii="Times New Roman;serif" w:hAnsi="Times New Roman;serif"/>
          <w:b w:val="false"/>
          <w:color w:val="221F1F"/>
          <w:sz w:val="20"/>
        </w:rPr>
        <w:t>the payments described</w:t>
      </w:r>
      <w:r>
        <w:rPr>
          <w:color w:val="221F1F"/>
        </w:rPr>
        <w:t xml:space="preserve"> </w:t>
      </w:r>
      <w:r>
        <w:rPr>
          <w:rFonts w:ascii="Times New Roman;serif" w:hAnsi="Times New Roman;serif"/>
          <w:b w:val="false"/>
          <w:color w:val="221F1F"/>
          <w:sz w:val="20"/>
        </w:rPr>
        <w:t>below while serving</w:t>
      </w:r>
      <w:r>
        <w:rPr>
          <w:color w:val="221F1F"/>
        </w:rPr>
        <w:t xml:space="preserve"> </w:t>
      </w:r>
      <w:r>
        <w:rPr>
          <w:rFonts w:ascii="Times New Roman;serif" w:hAnsi="Times New Roman;serif"/>
          <w:b w:val="false"/>
          <w:color w:val="221F1F"/>
          <w:sz w:val="20"/>
        </w:rPr>
        <w:t>as</w:t>
      </w:r>
      <w:r>
        <w:rPr>
          <w:color w:val="221F1F"/>
        </w:rPr>
        <w:t xml:space="preserve"> </w:t>
      </w:r>
      <w:r>
        <w:rPr>
          <w:rFonts w:ascii="Times New Roman;serif" w:hAnsi="Times New Roman;serif"/>
          <w:b w:val="false"/>
          <w:color w:val="221F1F"/>
          <w:sz w:val="20"/>
        </w:rPr>
        <w:t>a director on</w:t>
      </w:r>
      <w:r>
        <w:rPr>
          <w:color w:val="221F1F"/>
        </w:rPr>
        <w:t xml:space="preserve"> </w:t>
      </w:r>
      <w:r>
        <w:rPr>
          <w:rFonts w:ascii="Times New Roman;serif" w:hAnsi="Times New Roman;serif"/>
          <w:b w:val="false"/>
          <w:color w:val="221F1F"/>
          <w:sz w:val="20"/>
        </w:rPr>
        <w:t>the Board.</w:t>
      </w:r>
    </w:p>
    <w:p>
      <w:pPr>
        <w:pStyle w:val="TextBody"/>
        <w:bidi w:val="0"/>
        <w:spacing w:lineRule="auto" w:line="288" w:before="1" w:after="283"/>
        <w:jc w:val="left"/>
        <w:rPr/>
      </w:pPr>
      <w:r>
        <w:rPr>
          <w:rFonts w:ascii="Times New Roman;serif" w:hAnsi="Times New Roman;serif"/>
          <w:b w:val="false"/>
          <w:color w:val="221F1F"/>
          <w:sz w:val="20"/>
        </w:rPr>
        <w:t>Other directors of the Board shall receive no compensation for their Board service.</w:t>
      </w:r>
      <w:r>
        <w:rPr>
          <w:color w:val="221F1F"/>
        </w:rPr>
        <w:t xml:space="preserve"> </w:t>
      </w:r>
      <w:r>
        <w:rPr>
          <w:rFonts w:ascii="Times New Roman;serif" w:hAnsi="Times New Roman;serif"/>
          <w:b w:val="false"/>
          <w:color w:val="221F1F"/>
          <w:sz w:val="20"/>
        </w:rPr>
        <w:t>Any director compensation policies</w:t>
      </w:r>
      <w:r>
        <w:rPr>
          <w:color w:val="221F1F"/>
        </w:rPr>
        <w:t xml:space="preserve"> </w:t>
      </w:r>
      <w:r>
        <w:rPr>
          <w:rFonts w:ascii="Times New Roman;serif" w:hAnsi="Times New Roman;serif"/>
          <w:b w:val="false"/>
          <w:color w:val="221F1F"/>
          <w:sz w:val="20"/>
        </w:rPr>
        <w:t>enacted</w:t>
      </w:r>
      <w:r>
        <w:rPr>
          <w:color w:val="221F1F"/>
        </w:rPr>
        <w:t xml:space="preserve"> </w:t>
      </w:r>
      <w:r>
        <w:rPr>
          <w:rFonts w:ascii="Times New Roman;serif" w:hAnsi="Times New Roman;serif"/>
          <w:b w:val="false"/>
          <w:color w:val="221F1F"/>
          <w:sz w:val="20"/>
        </w:rPr>
        <w:t>from</w:t>
      </w:r>
      <w:r>
        <w:rPr>
          <w:color w:val="221F1F"/>
        </w:rPr>
        <w:t xml:space="preserve"> </w:t>
      </w:r>
      <w:r>
        <w:rPr>
          <w:rFonts w:ascii="Times New Roman;serif" w:hAnsi="Times New Roman;serif"/>
          <w:b w:val="false"/>
          <w:color w:val="221F1F"/>
          <w:sz w:val="20"/>
        </w:rPr>
        <w:t>time</w:t>
      </w:r>
      <w:r>
        <w:rPr>
          <w:color w:val="221F1F"/>
        </w:rPr>
        <w:t xml:space="preserve"> </w:t>
      </w:r>
      <w:r>
        <w:rPr>
          <w:rFonts w:ascii="Times New Roman;serif" w:hAnsi="Times New Roman;serif"/>
          <w:b w:val="false"/>
          <w:color w:val="221F1F"/>
          <w:sz w:val="20"/>
        </w:rPr>
        <w:t>to</w:t>
      </w:r>
      <w:r>
        <w:rPr>
          <w:color w:val="221F1F"/>
        </w:rPr>
        <w:t xml:space="preserve"> </w:t>
      </w:r>
      <w:r>
        <w:rPr>
          <w:rFonts w:ascii="Times New Roman;serif" w:hAnsi="Times New Roman;serif"/>
          <w:b w:val="false"/>
          <w:color w:val="221F1F"/>
          <w:sz w:val="20"/>
        </w:rPr>
        <w:t>time hereafter</w:t>
      </w:r>
      <w:r>
        <w:rPr>
          <w:color w:val="221F1F"/>
        </w:rPr>
        <w:t xml:space="preserve"> </w:t>
      </w:r>
      <w:r>
        <w:rPr>
          <w:rFonts w:ascii="Times New Roman;serif" w:hAnsi="Times New Roman;serif"/>
          <w:b w:val="false"/>
          <w:color w:val="221F1F"/>
          <w:sz w:val="20"/>
        </w:rPr>
        <w:t>are</w:t>
      </w:r>
      <w:r>
        <w:rPr>
          <w:color w:val="221F1F"/>
        </w:rPr>
        <w:t xml:space="preserve"> </w:t>
      </w:r>
      <w:r>
        <w:rPr>
          <w:rFonts w:ascii="Times New Roman;serif" w:hAnsi="Times New Roman;serif"/>
          <w:b w:val="false"/>
          <w:color w:val="221F1F"/>
          <w:sz w:val="20"/>
        </w:rPr>
        <w:t>deemed</w:t>
      </w:r>
      <w:r>
        <w:rPr>
          <w:color w:val="221F1F"/>
        </w:rPr>
        <w:t xml:space="preserve"> </w:t>
      </w:r>
      <w:r>
        <w:rPr>
          <w:rFonts w:ascii="Times New Roman;serif" w:hAnsi="Times New Roman;serif"/>
          <w:b w:val="false"/>
          <w:color w:val="221F1F"/>
          <w:sz w:val="20"/>
        </w:rPr>
        <w:t>to</w:t>
      </w:r>
      <w:r>
        <w:rPr>
          <w:color w:val="221F1F"/>
        </w:rPr>
        <w:t xml:space="preserve"> </w:t>
      </w:r>
      <w:r>
        <w:rPr>
          <w:rFonts w:ascii="Times New Roman;serif" w:hAnsi="Times New Roman;serif"/>
          <w:b w:val="false"/>
          <w:color w:val="221F1F"/>
          <w:sz w:val="20"/>
        </w:rPr>
        <w:t>be</w:t>
      </w:r>
      <w:r>
        <w:rPr>
          <w:color w:val="221F1F"/>
        </w:rPr>
        <w:t xml:space="preserve"> </w:t>
      </w:r>
      <w:r>
        <w:rPr>
          <w:rFonts w:ascii="Times New Roman;serif" w:hAnsi="Times New Roman;serif"/>
          <w:b w:val="false"/>
          <w:color w:val="221F1F"/>
          <w:sz w:val="20"/>
        </w:rPr>
        <w:t>incorporated</w:t>
      </w:r>
      <w:r>
        <w:rPr>
          <w:color w:val="221F1F"/>
        </w:rPr>
        <w:t xml:space="preserve"> </w:t>
      </w:r>
      <w:r>
        <w:rPr>
          <w:rFonts w:ascii="Times New Roman;serif" w:hAnsi="Times New Roman;serif"/>
          <w:b w:val="false"/>
          <w:color w:val="221F1F"/>
          <w:sz w:val="20"/>
        </w:rPr>
        <w:t>herein upon</w:t>
      </w:r>
      <w:r>
        <w:rPr>
          <w:color w:val="221F1F"/>
        </w:rPr>
        <w:t xml:space="preserve"> </w:t>
      </w:r>
      <w:r>
        <w:rPr>
          <w:rFonts w:ascii="Times New Roman;serif" w:hAnsi="Times New Roman;serif"/>
          <w:b w:val="false"/>
          <w:color w:val="221F1F"/>
          <w:sz w:val="20"/>
        </w:rPr>
        <w:t>their</w:t>
      </w:r>
      <w:r>
        <w:rPr>
          <w:color w:val="221F1F"/>
        </w:rPr>
        <w:t xml:space="preserve"> </w:t>
      </w:r>
      <w:r>
        <w:rPr>
          <w:rFonts w:ascii="Times New Roman;serif" w:hAnsi="Times New Roman;serif"/>
          <w:b w:val="false"/>
          <w:color w:val="221F1F"/>
          <w:sz w:val="20"/>
        </w:rPr>
        <w:t>effective</w:t>
      </w:r>
      <w:r>
        <w:rPr>
          <w:color w:val="221F1F"/>
        </w:rPr>
        <w:t xml:space="preserve"> </w:t>
      </w:r>
      <w:r>
        <w:rPr>
          <w:rFonts w:ascii="Times New Roman;serif" w:hAnsi="Times New Roman;serif"/>
          <w:b w:val="false"/>
          <w:color w:val="221F1F"/>
          <w:sz w:val="20"/>
        </w:rPr>
        <w:t>date,</w:t>
      </w:r>
      <w:r>
        <w:rPr>
          <w:color w:val="221F1F"/>
        </w:rPr>
        <w:t xml:space="preserve"> </w:t>
      </w:r>
      <w:r>
        <w:rPr>
          <w:rFonts w:ascii="Times New Roman;serif" w:hAnsi="Times New Roman;serif"/>
          <w:b w:val="false"/>
          <w:color w:val="221F1F"/>
          <w:sz w:val="20"/>
        </w:rPr>
        <w:t>except</w:t>
      </w:r>
      <w:r>
        <w:rPr>
          <w:color w:val="221F1F"/>
        </w:rPr>
        <w:t xml:space="preserve"> </w:t>
      </w:r>
      <w:r>
        <w:rPr>
          <w:rFonts w:ascii="Times New Roman;serif" w:hAnsi="Times New Roman;serif"/>
          <w:b w:val="false"/>
          <w:color w:val="221F1F"/>
          <w:sz w:val="20"/>
        </w:rPr>
        <w:t>as otherwise provided therein.</w:t>
      </w:r>
    </w:p>
    <w:p>
      <w:pPr>
        <w:pStyle w:val="TextBody"/>
        <w:bidi w:val="0"/>
        <w:spacing w:before="1" w:after="283"/>
        <w:jc w:val="left"/>
        <w:rPr/>
      </w:pPr>
      <w:r>
        <w:rPr/>
      </w:r>
    </w:p>
    <w:p>
      <w:pPr>
        <w:pStyle w:val="TextBody"/>
        <w:bidi w:val="0"/>
        <w:spacing w:lineRule="auto" w:line="288" w:before="1" w:after="283"/>
        <w:jc w:val="left"/>
        <w:rPr/>
      </w:pPr>
      <w:r>
        <w:rPr>
          <w:rFonts w:ascii="Times New Roman;serif" w:hAnsi="Times New Roman;serif"/>
          <w:b/>
          <w:color w:val="000000"/>
          <w:sz w:val="20"/>
          <w:u w:val="single"/>
        </w:rPr>
        <w:t>EFFECTIVE</w:t>
      </w:r>
      <w:r>
        <w:rPr>
          <w:color w:val="000000"/>
          <w:u w:val="single"/>
        </w:rPr>
        <w:t xml:space="preserve"> </w:t>
      </w:r>
      <w:r>
        <w:rPr>
          <w:rFonts w:ascii="Times New Roman;serif" w:hAnsi="Times New Roman;serif"/>
          <w:b/>
          <w:color w:val="000000"/>
          <w:sz w:val="20"/>
          <w:u w:val="single"/>
        </w:rPr>
        <w:t>DATE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September 30,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ANNUAL</w:t>
      </w:r>
      <w:r>
        <w:rPr>
          <w:color w:val="000000"/>
          <w:u w:val="single"/>
        </w:rPr>
        <w:t xml:space="preserve"> </w:t>
      </w:r>
      <w:r>
        <w:rPr>
          <w:rFonts w:ascii="Times New Roman;serif" w:hAnsi="Times New Roman;serif"/>
          <w:b/>
          <w:color w:val="000000"/>
          <w:sz w:val="20"/>
          <w:u w:val="single"/>
        </w:rPr>
        <w:t>COMPENSATION</w:t>
      </w:r>
      <w:r>
        <w:rPr>
          <w:rFonts w:ascii="Times New Roman;serif" w:hAnsi="Times New Roman;serif"/>
          <w:b/>
          <w:color w:val="000000"/>
          <w:sz w:val="20"/>
        </w:rPr>
        <w:t>:</w:t>
      </w:r>
    </w:p>
    <w:p>
      <w:pPr>
        <w:pStyle w:val="TextBody"/>
        <w:bidi w:val="0"/>
        <w:spacing w:lineRule="auto" w:line="288" w:before="226" w:after="283"/>
        <w:ind w:left="0" w:right="0" w:hanging="720"/>
        <w:jc w:val="both"/>
        <w:rPr/>
      </w:pPr>
      <w:r>
        <w:rPr>
          <w:color w:val="000000"/>
        </w:rPr>
        <w:t>•</w:t>
      </w:r>
      <w:r>
        <w:rPr>
          <w:rFonts w:ascii="Times New Roman;serif" w:hAnsi="Times New Roman;serif"/>
          <w:b w:val="false"/>
          <w:color w:val="000000"/>
          <w:sz w:val="20"/>
          <w:u w:val="single"/>
        </w:rPr>
        <w:t>Annual</w:t>
      </w:r>
      <w:r>
        <w:rPr>
          <w:color w:val="000000"/>
          <w:u w:val="single"/>
        </w:rPr>
        <w:t xml:space="preserve"> </w:t>
      </w:r>
      <w:r>
        <w:rPr>
          <w:rFonts w:ascii="Times New Roman;serif" w:hAnsi="Times New Roman;serif"/>
          <w:b w:val="false"/>
          <w:color w:val="000000"/>
          <w:sz w:val="20"/>
          <w:u w:val="single"/>
        </w:rPr>
        <w:t>Board</w:t>
      </w:r>
      <w:r>
        <w:rPr>
          <w:color w:val="000000"/>
          <w:u w:val="single"/>
        </w:rPr>
        <w:t xml:space="preserve"> </w:t>
      </w:r>
      <w:r>
        <w:rPr>
          <w:rFonts w:ascii="Times New Roman;serif" w:hAnsi="Times New Roman;serif"/>
          <w:b w:val="false"/>
          <w:color w:val="000000"/>
          <w:sz w:val="20"/>
          <w:u w:val="single"/>
        </w:rPr>
        <w:t>Retainer</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$340,000,</w:t>
      </w:r>
      <w:r>
        <w:rPr>
          <w:color w:val="000000"/>
        </w:rPr>
        <w:t xml:space="preserve"> </w:t>
      </w:r>
      <w:r>
        <w:rPr>
          <w:rFonts w:ascii="Times New Roman;serif" w:hAnsi="Times New Roman;serif"/>
          <w:b w:val="false"/>
          <w:color w:val="000000"/>
          <w:sz w:val="20"/>
        </w:rPr>
        <w:t>payable</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follows:</w:t>
      </w:r>
    </w:p>
    <w:p>
      <w:pPr>
        <w:pStyle w:val="TextBody"/>
        <w:bidi w:val="0"/>
        <w:spacing w:lineRule="auto" w:line="288" w:before="121" w:after="283"/>
        <w:ind w:left="0" w:right="0" w:hanging="720"/>
        <w:jc w:val="both"/>
        <w:rPr/>
      </w:pPr>
      <w:r>
        <w:rPr>
          <w:rFonts w:ascii="Times New Roman;serif" w:hAnsi="Times New Roman;serif"/>
          <w:b w:val="false"/>
          <w:color w:val="000000"/>
          <w:sz w:val="20"/>
        </w:rPr>
        <w:t>$115,000</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cash</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u w:val="single"/>
        </w:rPr>
        <w:t>Annual</w:t>
      </w:r>
      <w:r>
        <w:rPr>
          <w:color w:val="000000"/>
          <w:u w:val="single"/>
        </w:rPr>
        <w:t xml:space="preserve"> </w:t>
      </w:r>
      <w:r>
        <w:rPr>
          <w:rFonts w:ascii="Times New Roman;serif" w:hAnsi="Times New Roman;serif"/>
          <w:b w:val="false"/>
          <w:color w:val="000000"/>
          <w:sz w:val="20"/>
          <w:u w:val="single"/>
        </w:rPr>
        <w:t>Cash</w:t>
      </w:r>
      <w:r>
        <w:rPr>
          <w:color w:val="000000"/>
          <w:u w:val="single"/>
        </w:rPr>
        <w:t xml:space="preserve"> </w:t>
      </w:r>
      <w:r>
        <w:rPr>
          <w:rFonts w:ascii="Times New Roman;serif" w:hAnsi="Times New Roman;serif"/>
          <w:b w:val="false"/>
          <w:color w:val="000000"/>
          <w:sz w:val="20"/>
          <w:u w:val="single"/>
        </w:rPr>
        <w:t>Retainer</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unless</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independent</w:t>
      </w:r>
      <w:r>
        <w:rPr>
          <w:color w:val="000000"/>
        </w:rPr>
        <w:t xml:space="preserve"> </w:t>
      </w:r>
      <w:r>
        <w:rPr>
          <w:rFonts w:ascii="Times New Roman;serif" w:hAnsi="Times New Roman;serif"/>
          <w:b w:val="false"/>
          <w:color w:val="000000"/>
          <w:sz w:val="20"/>
        </w:rPr>
        <w:t>non-employee</w:t>
      </w:r>
      <w:r>
        <w:rPr>
          <w:color w:val="000000"/>
        </w:rPr>
        <w:t xml:space="preserve"> </w:t>
      </w:r>
      <w:r>
        <w:rPr>
          <w:rFonts w:ascii="Times New Roman;serif" w:hAnsi="Times New Roman;serif"/>
          <w:b w:val="false"/>
          <w:color w:val="000000"/>
          <w:sz w:val="20"/>
        </w:rPr>
        <w:t>director (hereafter, a “</w:t>
      </w:r>
      <w:r>
        <w:rPr>
          <w:rFonts w:ascii="Times New Roman;serif" w:hAnsi="Times New Roman;serif"/>
          <w:b w:val="false"/>
          <w:color w:val="000000"/>
          <w:sz w:val="20"/>
          <w:u w:val="single"/>
        </w:rPr>
        <w:t>director</w:t>
      </w:r>
      <w:r>
        <w:rPr>
          <w:color w:val="000000"/>
        </w:rPr>
        <w:t>”</w:t>
      </w:r>
      <w:r>
        <w:rPr>
          <w:rFonts w:ascii="Times New Roman;serif" w:hAnsi="Times New Roman;serif"/>
          <w:b w:val="false"/>
          <w:color w:val="000000"/>
          <w:sz w:val="20"/>
        </w:rPr>
        <w:t>) makes a timely election to receive all or a portion of the Annual Cash</w:t>
      </w:r>
    </w:p>
    <w:p>
      <w:pPr>
        <w:pStyle w:val="TextBody"/>
        <w:bidi w:val="0"/>
        <w:spacing w:lineRule="auto" w:line="288" w:before="0" w:after="0"/>
        <w:jc w:val="both"/>
        <w:rPr/>
      </w:pPr>
      <w:r>
        <w:rPr>
          <w:rFonts w:ascii="Times New Roman;serif" w:hAnsi="Times New Roman;serif"/>
          <w:b w:val="false"/>
          <w:color w:val="000000"/>
          <w:sz w:val="20"/>
        </w:rPr>
        <w:t>Retainer</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 form</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deferred</w:t>
      </w:r>
      <w:r>
        <w:rPr>
          <w:color w:val="000000"/>
        </w:rPr>
        <w:t xml:space="preserve"> </w:t>
      </w:r>
      <w:r>
        <w:rPr>
          <w:rFonts w:ascii="Times New Roman;serif" w:hAnsi="Times New Roman;serif"/>
          <w:b w:val="false"/>
          <w:color w:val="000000"/>
          <w:sz w:val="20"/>
        </w:rPr>
        <w:t>stock units</w:t>
      </w:r>
      <w:r>
        <w:rPr>
          <w:color w:val="000000"/>
        </w:rPr>
        <w:t xml:space="preserve"> </w:t>
      </w:r>
      <w:r>
        <w:rPr>
          <w:rFonts w:ascii="Times New Roman;serif" w:hAnsi="Times New Roman;serif"/>
          <w:b w:val="false"/>
          <w:color w:val="000000"/>
          <w:sz w:val="20"/>
        </w:rPr>
        <w:t>over</w:t>
      </w:r>
      <w:r>
        <w:rPr>
          <w:color w:val="000000"/>
        </w:rPr>
        <w:t xml:space="preserve"> </w:t>
      </w:r>
      <w:r>
        <w:rPr>
          <w:rFonts w:ascii="Times New Roman;serif" w:hAnsi="Times New Roman;serif"/>
          <w:b w:val="false"/>
          <w:color w:val="000000"/>
          <w:sz w:val="20"/>
        </w:rPr>
        <w:t>Class C</w:t>
      </w:r>
      <w:r>
        <w:rPr>
          <w:color w:val="000000"/>
        </w:rPr>
        <w:t xml:space="preserve"> </w:t>
      </w:r>
      <w:r>
        <w:rPr>
          <w:rFonts w:ascii="Times New Roman;serif" w:hAnsi="Times New Roman;serif"/>
          <w:b w:val="false"/>
          <w:color w:val="000000"/>
          <w:sz w:val="20"/>
        </w:rPr>
        <w:t>common stock</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Company</w:t>
      </w:r>
      <w:r>
        <w:rPr>
          <w:color w:val="000000"/>
        </w:rPr>
        <w:t xml:space="preserve"> </w:t>
      </w:r>
      <w:r>
        <w:rPr>
          <w:rFonts w:ascii="Times New Roman;serif" w:hAnsi="Times New Roman;serif"/>
          <w:b w:val="false"/>
          <w:color w:val="000000"/>
          <w:sz w:val="20"/>
        </w:rPr>
        <w:t>(“</w:t>
      </w:r>
      <w:r>
        <w:rPr>
          <w:rFonts w:ascii="Times New Roman;serif" w:hAnsi="Times New Roman;serif"/>
          <w:b w:val="false"/>
          <w:color w:val="000000"/>
          <w:sz w:val="20"/>
          <w:u w:val="single"/>
        </w:rPr>
        <w:t>Class C</w:t>
      </w:r>
      <w:r>
        <w:rPr>
          <w:color w:val="000000"/>
        </w:rPr>
        <w:t xml:space="preserve"> </w:t>
      </w:r>
      <w:r>
        <w:rPr>
          <w:rFonts w:ascii="Times New Roman;serif" w:hAnsi="Times New Roman;serif"/>
          <w:b w:val="false"/>
          <w:color w:val="000000"/>
          <w:sz w:val="20"/>
          <w:u w:val="single"/>
        </w:rPr>
        <w:t>Shares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such units,</w:t>
      </w:r>
      <w:r>
        <w:rPr>
          <w:color w:val="000000"/>
        </w:rPr>
        <w:t xml:space="preserve"> “</w:t>
      </w:r>
      <w:r>
        <w:rPr>
          <w:rFonts w:ascii="Times New Roman;serif" w:hAnsi="Times New Roman;serif"/>
          <w:b w:val="false"/>
          <w:color w:val="000000"/>
          <w:sz w:val="20"/>
          <w:u w:val="single"/>
        </w:rPr>
        <w:t>DSUs</w:t>
      </w:r>
      <w:r>
        <w:rPr>
          <w:color w:val="000000"/>
        </w:rPr>
        <w:t>”</w:t>
      </w:r>
      <w:r>
        <w:rPr>
          <w:rFonts w:ascii="Times New Roman;serif" w:hAnsi="Times New Roman;serif"/>
          <w:b w:val="false"/>
          <w:color w:val="000000"/>
          <w:sz w:val="20"/>
        </w:rPr>
        <w:t>), Class</w:t>
      </w:r>
      <w:r>
        <w:rPr>
          <w:color w:val="000000"/>
        </w:rPr>
        <w:t xml:space="preserve"> </w:t>
      </w:r>
      <w:r>
        <w:rPr>
          <w:rFonts w:ascii="Times New Roman;serif" w:hAnsi="Times New Roman;serif"/>
          <w:b w:val="false"/>
          <w:color w:val="000000"/>
          <w:sz w:val="20"/>
        </w:rPr>
        <w:t>C Shares</w:t>
      </w:r>
      <w:r>
        <w:rPr>
          <w:color w:val="000000"/>
        </w:rPr>
        <w:t xml:space="preserve"> </w:t>
      </w:r>
      <w:r>
        <w:rPr>
          <w:rFonts w:ascii="Times New Roman;serif" w:hAnsi="Times New Roman;serif"/>
          <w:b w:val="false"/>
          <w:color w:val="000000"/>
          <w:sz w:val="20"/>
        </w:rPr>
        <w:t>(“</w:t>
      </w:r>
      <w:r>
        <w:rPr>
          <w:rFonts w:ascii="Times New Roman;serif" w:hAnsi="Times New Roman;serif"/>
          <w:b w:val="false"/>
          <w:color w:val="000000"/>
          <w:sz w:val="20"/>
          <w:u w:val="single"/>
        </w:rPr>
        <w:t>Stock</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or a</w:t>
      </w:r>
      <w:r>
        <w:rPr>
          <w:color w:val="000000"/>
        </w:rPr>
        <w:t xml:space="preserve"> </w:t>
      </w:r>
      <w:r>
        <w:rPr>
          <w:rFonts w:ascii="Times New Roman;serif" w:hAnsi="Times New Roman;serif"/>
          <w:b w:val="false"/>
          <w:color w:val="000000"/>
          <w:sz w:val="20"/>
        </w:rPr>
        <w:t>combination</w:t>
      </w:r>
      <w:r>
        <w:rPr>
          <w:color w:val="000000"/>
        </w:rPr>
        <w:t xml:space="preserve"> </w:t>
      </w:r>
      <w:r>
        <w:rPr>
          <w:rFonts w:ascii="Times New Roman;serif" w:hAnsi="Times New Roman;serif"/>
          <w:b w:val="false"/>
          <w:color w:val="000000"/>
          <w:sz w:val="20"/>
        </w:rPr>
        <w:t>thereof</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each</w:t>
      </w:r>
      <w:r>
        <w:rPr>
          <w:color w:val="000000"/>
        </w:rPr>
        <w:t xml:space="preserve"> </w:t>
      </w:r>
      <w:r>
        <w:rPr>
          <w:rFonts w:ascii="Times New Roman;serif" w:hAnsi="Times New Roman;serif"/>
          <w:b w:val="false"/>
          <w:color w:val="000000"/>
          <w:sz w:val="20"/>
        </w:rPr>
        <w:t>case subject to the limitations described below), and</w:t>
      </w:r>
    </w:p>
    <w:p>
      <w:pPr>
        <w:pStyle w:val="TextBody"/>
        <w:bidi w:val="0"/>
        <w:spacing w:lineRule="auto" w:line="288" w:before="121" w:after="283"/>
        <w:ind w:left="0" w:right="0" w:hanging="720"/>
        <w:jc w:val="both"/>
        <w:rPr/>
      </w:pPr>
      <w:r>
        <w:rPr>
          <w:rFonts w:ascii="Times New Roman;serif" w:hAnsi="Times New Roman;serif"/>
          <w:b w:val="false"/>
          <w:color w:val="000000"/>
          <w:sz w:val="20"/>
        </w:rPr>
        <w:t>$225,000 (the “</w:t>
      </w:r>
      <w:r>
        <w:rPr>
          <w:rFonts w:ascii="Times New Roman;serif" w:hAnsi="Times New Roman;serif"/>
          <w:b w:val="false"/>
          <w:color w:val="000000"/>
          <w:sz w:val="20"/>
          <w:u w:val="single"/>
        </w:rPr>
        <w:t>Annual Equity Retainer</w:t>
      </w:r>
      <w:r>
        <w:rPr>
          <w:color w:val="000000"/>
        </w:rPr>
        <w:t>”</w:t>
      </w:r>
      <w:r>
        <w:rPr>
          <w:rFonts w:ascii="Times New Roman;serif" w:hAnsi="Times New Roman;serif"/>
          <w:b w:val="false"/>
          <w:color w:val="000000"/>
          <w:sz w:val="20"/>
        </w:rPr>
        <w:t>) in restricted stock units that settle in Class C Shares (“</w:t>
      </w:r>
      <w:r>
        <w:rPr>
          <w:rFonts w:ascii="Times New Roman;serif" w:hAnsi="Times New Roman;serif"/>
          <w:b w:val="false"/>
          <w:color w:val="000000"/>
          <w:sz w:val="20"/>
          <w:u w:val="single"/>
        </w:rPr>
        <w:t>DTAs</w:t>
      </w:r>
      <w:r>
        <w:rPr>
          <w:color w:val="000000"/>
        </w:rPr>
        <w:t>”</w:t>
      </w:r>
      <w:r>
        <w:rPr>
          <w:rFonts w:ascii="Times New Roman;serif" w:hAnsi="Times New Roman;serif"/>
          <w:b w:val="false"/>
          <w:color w:val="000000"/>
          <w:sz w:val="20"/>
        </w:rPr>
        <w:t>), unless the director makes a timely election to receive all or a portion of the DTAs as DSUs (subject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limitations</w:t>
      </w:r>
      <w:r>
        <w:rPr>
          <w:color w:val="000000"/>
        </w:rPr>
        <w:t xml:space="preserve"> </w:t>
      </w:r>
      <w:r>
        <w:rPr>
          <w:rFonts w:ascii="Times New Roman;serif" w:hAnsi="Times New Roman;serif"/>
          <w:b w:val="false"/>
          <w:color w:val="000000"/>
          <w:sz w:val="20"/>
        </w:rPr>
        <w:t>described</w:t>
      </w:r>
      <w:r>
        <w:rPr>
          <w:color w:val="000000"/>
        </w:rPr>
        <w:t xml:space="preserve"> </w:t>
      </w:r>
      <w:r>
        <w:rPr>
          <w:rFonts w:ascii="Times New Roman;serif" w:hAnsi="Times New Roman;serif"/>
          <w:b w:val="false"/>
          <w:color w:val="000000"/>
          <w:sz w:val="20"/>
        </w:rPr>
        <w:t>below),</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which</w:t>
      </w:r>
      <w:r>
        <w:rPr>
          <w:color w:val="000000"/>
        </w:rPr>
        <w:t xml:space="preserve"> </w:t>
      </w:r>
      <w:r>
        <w:rPr>
          <w:rFonts w:ascii="Times New Roman;serif" w:hAnsi="Times New Roman;serif"/>
          <w:b w:val="false"/>
          <w:color w:val="000000"/>
          <w:sz w:val="20"/>
        </w:rPr>
        <w:t>case</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director</w:t>
      </w:r>
      <w:r>
        <w:rPr>
          <w:color w:val="000000"/>
        </w:rPr>
        <w:t xml:space="preserve"> </w:t>
      </w:r>
      <w:r>
        <w:rPr>
          <w:rFonts w:ascii="Times New Roman;serif" w:hAnsi="Times New Roman;serif"/>
          <w:b w:val="false"/>
          <w:color w:val="000000"/>
          <w:sz w:val="20"/>
        </w:rPr>
        <w:t>shall</w:t>
      </w:r>
      <w:r>
        <w:rPr>
          <w:color w:val="000000"/>
        </w:rPr>
        <w:t xml:space="preserve"> </w:t>
      </w:r>
      <w:r>
        <w:rPr>
          <w:rFonts w:ascii="Times New Roman;serif" w:hAnsi="Times New Roman;serif"/>
          <w:b w:val="false"/>
          <w:color w:val="000000"/>
          <w:sz w:val="20"/>
        </w:rPr>
        <w:t>receive</w:t>
      </w:r>
      <w:r>
        <w:rPr>
          <w:color w:val="000000"/>
        </w:rPr>
        <w:t xml:space="preserve"> </w:t>
      </w:r>
      <w:r>
        <w:rPr>
          <w:rFonts w:ascii="Times New Roman;serif" w:hAnsi="Times New Roman;serif"/>
          <w:b w:val="false"/>
          <w:color w:val="000000"/>
          <w:sz w:val="20"/>
        </w:rPr>
        <w:t>DSUs in lieu of such DTAs (in whole or in part).</w:t>
      </w:r>
    </w:p>
    <w:p>
      <w:pPr>
        <w:pStyle w:val="TextBody"/>
        <w:bidi w:val="0"/>
        <w:spacing w:lineRule="auto" w:line="288" w:before="117" w:after="283"/>
        <w:ind w:left="0" w:right="0" w:hanging="721"/>
        <w:jc w:val="left"/>
        <w:rPr/>
      </w:pPr>
      <w:r>
        <w:rPr>
          <w:color w:val="000000"/>
        </w:rPr>
        <w:t>•</w:t>
      </w:r>
      <w:r>
        <w:rPr>
          <w:rFonts w:ascii="Times New Roman;serif" w:hAnsi="Times New Roman;serif"/>
          <w:b w:val="false"/>
          <w:color w:val="000000"/>
          <w:sz w:val="20"/>
          <w:u w:val="single"/>
        </w:rPr>
        <w:t>Committee Chair Retainers</w:t>
      </w:r>
      <w:r>
        <w:rPr>
          <w:rFonts w:ascii="Times New Roman;serif" w:hAnsi="Times New Roman;serif"/>
          <w:b w:val="false"/>
          <w:color w:val="000000"/>
          <w:sz w:val="20"/>
        </w:rPr>
        <w:t xml:space="preserve">: $25,000, all payable in cash </w:t>
      </w:r>
      <w:r>
        <w:rPr>
          <w:rFonts w:ascii="Times New Roman;serif" w:hAnsi="Times New Roman;serif"/>
          <w:b w:val="false"/>
          <w:color w:val="000000"/>
          <w:sz w:val="20"/>
          <w:u w:val="single"/>
        </w:rPr>
        <w:t>unless</w:t>
      </w:r>
      <w:r>
        <w:rPr>
          <w:color w:val="000000"/>
        </w:rPr>
        <w:t xml:space="preserve"> </w:t>
      </w:r>
      <w:r>
        <w:rPr>
          <w:rFonts w:ascii="Times New Roman;serif" w:hAnsi="Times New Roman;serif"/>
          <w:b w:val="false"/>
          <w:color w:val="000000"/>
          <w:sz w:val="20"/>
        </w:rPr>
        <w:t>the director makes a timely election to receive</w:t>
      </w:r>
      <w:r>
        <w:rPr>
          <w:color w:val="000000"/>
        </w:rPr>
        <w:t xml:space="preserve"> </w:t>
      </w:r>
      <w:r>
        <w:rPr>
          <w:rFonts w:ascii="Times New Roman;serif" w:hAnsi="Times New Roman;serif"/>
          <w:b w:val="false"/>
          <w:color w:val="000000"/>
          <w:sz w:val="20"/>
        </w:rPr>
        <w:t>all or</w:t>
      </w:r>
      <w:r>
        <w:rPr>
          <w:color w:val="000000"/>
        </w:rPr>
        <w:t xml:space="preserve"> </w:t>
      </w:r>
      <w:r>
        <w:rPr>
          <w:rFonts w:ascii="Times New Roman;serif" w:hAnsi="Times New Roman;serif"/>
          <w:b w:val="false"/>
          <w:color w:val="000000"/>
          <w:sz w:val="20"/>
        </w:rPr>
        <w:t>a portion</w:t>
      </w:r>
      <w:r>
        <w:rPr>
          <w:color w:val="000000"/>
        </w:rPr>
        <w:t xml:space="preserve"> </w:t>
      </w:r>
      <w:r>
        <w:rPr>
          <w:rFonts w:ascii="Times New Roman;serif" w:hAnsi="Times New Roman;serif"/>
          <w:b w:val="false"/>
          <w:color w:val="000000"/>
          <w:sz w:val="20"/>
        </w:rPr>
        <w:t>of such</w:t>
      </w:r>
      <w:r>
        <w:rPr>
          <w:color w:val="000000"/>
        </w:rPr>
        <w:t xml:space="preserve"> </w:t>
      </w:r>
      <w:r>
        <w:rPr>
          <w:rFonts w:ascii="Times New Roman;serif" w:hAnsi="Times New Roman;serif"/>
          <w:b w:val="false"/>
          <w:color w:val="000000"/>
          <w:sz w:val="20"/>
        </w:rPr>
        <w:t>payment</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DSUs,</w:t>
      </w:r>
      <w:r>
        <w:rPr>
          <w:color w:val="000000"/>
        </w:rPr>
        <w:t xml:space="preserve"> </w:t>
      </w:r>
      <w:r>
        <w:rPr>
          <w:rFonts w:ascii="Times New Roman;serif" w:hAnsi="Times New Roman;serif"/>
          <w:b w:val="false"/>
          <w:color w:val="000000"/>
          <w:sz w:val="20"/>
        </w:rPr>
        <w:t>Stock or</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combination</w:t>
      </w:r>
      <w:r>
        <w:rPr>
          <w:color w:val="000000"/>
        </w:rPr>
        <w:t xml:space="preserve"> </w:t>
      </w:r>
      <w:r>
        <w:rPr>
          <w:rFonts w:ascii="Times New Roman;serif" w:hAnsi="Times New Roman;serif"/>
          <w:b w:val="false"/>
          <w:color w:val="000000"/>
          <w:sz w:val="20"/>
        </w:rPr>
        <w:t>thereof</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each</w:t>
      </w:r>
      <w:r>
        <w:rPr>
          <w:color w:val="000000"/>
        </w:rPr>
        <w:t xml:space="preserve"> </w:t>
      </w:r>
      <w:r>
        <w:rPr>
          <w:rFonts w:ascii="Times New Roman;serif" w:hAnsi="Times New Roman;serif"/>
          <w:b w:val="false"/>
          <w:color w:val="000000"/>
          <w:sz w:val="20"/>
        </w:rPr>
        <w:t>case subject</w:t>
      </w:r>
      <w:r>
        <w:rPr>
          <w:color w:val="000000"/>
        </w:rPr>
        <w:t xml:space="preserve"> </w:t>
      </w:r>
      <w:r>
        <w:rPr>
          <w:rFonts w:ascii="Times New Roman;serif" w:hAnsi="Times New Roman;serif"/>
          <w:b w:val="false"/>
          <w:color w:val="000000"/>
          <w:sz w:val="20"/>
        </w:rPr>
        <w:t>to the limitations described below), in which case the director shall receive the form or forms of award elected, in lieu of such cash payment (in whole or in part).</w:t>
      </w:r>
    </w:p>
    <w:p>
      <w:pPr>
        <w:pStyle w:val="TextBody"/>
        <w:bidi w:val="0"/>
        <w:spacing w:lineRule="auto" w:line="288" w:before="121" w:after="283"/>
        <w:ind w:left="0" w:right="0" w:hanging="721"/>
        <w:jc w:val="left"/>
        <w:rPr/>
      </w:pPr>
      <w:r>
        <w:rPr>
          <w:color w:val="000000"/>
        </w:rPr>
        <w:t>•</w:t>
      </w:r>
      <w:r>
        <w:rPr>
          <w:rFonts w:ascii="Times New Roman;serif" w:hAnsi="Times New Roman;serif"/>
          <w:b w:val="false"/>
          <w:color w:val="000000"/>
          <w:sz w:val="20"/>
          <w:u w:val="single"/>
        </w:rPr>
        <w:t>Lead Independent Director Retainer</w:t>
      </w:r>
      <w:r>
        <w:rPr>
          <w:rFonts w:ascii="Times New Roman;serif" w:hAnsi="Times New Roman;serif"/>
          <w:b w:val="false"/>
          <w:color w:val="000000"/>
          <w:sz w:val="20"/>
        </w:rPr>
        <w:t xml:space="preserve">: $40,000, all payable in cash </w:t>
      </w:r>
      <w:r>
        <w:rPr>
          <w:rFonts w:ascii="Times New Roman;serif" w:hAnsi="Times New Roman;serif"/>
          <w:b w:val="false"/>
          <w:color w:val="000000"/>
          <w:sz w:val="20"/>
          <w:u w:val="single"/>
        </w:rPr>
        <w:t>unless</w:t>
      </w:r>
      <w:r>
        <w:rPr>
          <w:color w:val="000000"/>
        </w:rPr>
        <w:t xml:space="preserve"> </w:t>
      </w:r>
      <w:r>
        <w:rPr>
          <w:rFonts w:ascii="Times New Roman;serif" w:hAnsi="Times New Roman;serif"/>
          <w:b w:val="false"/>
          <w:color w:val="000000"/>
          <w:sz w:val="20"/>
        </w:rPr>
        <w:t>the director makes a timely election</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receive</w:t>
      </w:r>
      <w:r>
        <w:rPr>
          <w:color w:val="000000"/>
        </w:rPr>
        <w:t xml:space="preserve"> </w:t>
      </w:r>
      <w:r>
        <w:rPr>
          <w:rFonts w:ascii="Times New Roman;serif" w:hAnsi="Times New Roman;serif"/>
          <w:b w:val="false"/>
          <w:color w:val="000000"/>
          <w:sz w:val="20"/>
        </w:rPr>
        <w:t>all or</w:t>
      </w:r>
      <w:r>
        <w:rPr>
          <w:color w:val="000000"/>
        </w:rPr>
        <w:t xml:space="preserve"> </w:t>
      </w:r>
      <w:r>
        <w:rPr>
          <w:rFonts w:ascii="Times New Roman;serif" w:hAnsi="Times New Roman;serif"/>
          <w:b w:val="false"/>
          <w:color w:val="000000"/>
          <w:sz w:val="20"/>
        </w:rPr>
        <w:t>a portion</w:t>
      </w:r>
      <w:r>
        <w:rPr>
          <w:color w:val="000000"/>
        </w:rPr>
        <w:t xml:space="preserve"> </w:t>
      </w:r>
      <w:r>
        <w:rPr>
          <w:rFonts w:ascii="Times New Roman;serif" w:hAnsi="Times New Roman;serif"/>
          <w:b w:val="false"/>
          <w:color w:val="000000"/>
          <w:sz w:val="20"/>
        </w:rPr>
        <w:t>of such</w:t>
      </w:r>
      <w:r>
        <w:rPr>
          <w:color w:val="000000"/>
        </w:rPr>
        <w:t xml:space="preserve"> </w:t>
      </w:r>
      <w:r>
        <w:rPr>
          <w:rFonts w:ascii="Times New Roman;serif" w:hAnsi="Times New Roman;serif"/>
          <w:b w:val="false"/>
          <w:color w:val="000000"/>
          <w:sz w:val="20"/>
        </w:rPr>
        <w:t>payment</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Stock (subject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limitations</w:t>
      </w:r>
      <w:r>
        <w:rPr>
          <w:color w:val="000000"/>
        </w:rPr>
        <w:t xml:space="preserve"> </w:t>
      </w:r>
      <w:r>
        <w:rPr>
          <w:rFonts w:ascii="Times New Roman;serif" w:hAnsi="Times New Roman;serif"/>
          <w:b w:val="false"/>
          <w:color w:val="000000"/>
          <w:sz w:val="20"/>
        </w:rPr>
        <w:t>described</w:t>
      </w:r>
      <w:r>
        <w:rPr>
          <w:color w:val="000000"/>
        </w:rPr>
        <w:t xml:space="preserve"> </w:t>
      </w:r>
      <w:r>
        <w:rPr>
          <w:rFonts w:ascii="Times New Roman;serif" w:hAnsi="Times New Roman;serif"/>
          <w:b w:val="false"/>
          <w:color w:val="000000"/>
          <w:sz w:val="20"/>
        </w:rPr>
        <w:t>below),</w:t>
      </w:r>
      <w:r>
        <w:rPr>
          <w:color w:val="000000"/>
        </w:rPr>
        <w:t xml:space="preserve"> </w:t>
      </w:r>
      <w:r>
        <w:rPr>
          <w:rFonts w:ascii="Times New Roman;serif" w:hAnsi="Times New Roman;serif"/>
          <w:b w:val="false"/>
          <w:color w:val="000000"/>
          <w:sz w:val="20"/>
        </w:rPr>
        <w:t>in which case the director shall receive the Stock in lieu of such cash payment (in whole or in part).</w:t>
      </w:r>
    </w:p>
    <w:p>
      <w:pPr>
        <w:pStyle w:val="TextBody"/>
        <w:bidi w:val="0"/>
        <w:spacing w:lineRule="auto" w:line="288" w:before="121" w:after="283"/>
        <w:ind w:left="0" w:right="0" w:hanging="721"/>
        <w:jc w:val="both"/>
        <w:rPr/>
      </w:pPr>
      <w:r>
        <w:rPr>
          <w:color w:val="000000"/>
        </w:rPr>
        <w:t>•</w:t>
      </w:r>
      <w:r>
        <w:rPr>
          <w:rFonts w:ascii="Times New Roman;serif" w:hAnsi="Times New Roman;serif"/>
          <w:b w:val="false"/>
          <w:color w:val="000000"/>
          <w:sz w:val="20"/>
        </w:rPr>
        <w:t>All</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foregoing</w:t>
      </w:r>
      <w:r>
        <w:rPr>
          <w:color w:val="000000"/>
        </w:rPr>
        <w:t xml:space="preserve"> </w:t>
      </w:r>
      <w:r>
        <w:rPr>
          <w:rFonts w:ascii="Times New Roman;serif" w:hAnsi="Times New Roman;serif"/>
          <w:b w:val="false"/>
          <w:color w:val="000000"/>
          <w:sz w:val="20"/>
        </w:rPr>
        <w:t>equity-based</w:t>
      </w:r>
      <w:r>
        <w:rPr>
          <w:color w:val="000000"/>
        </w:rPr>
        <w:t xml:space="preserve"> </w:t>
      </w:r>
      <w:r>
        <w:rPr>
          <w:rFonts w:ascii="Times New Roman;serif" w:hAnsi="Times New Roman;serif"/>
          <w:b w:val="false"/>
          <w:color w:val="000000"/>
          <w:sz w:val="20"/>
        </w:rPr>
        <w:t>awards</w:t>
      </w:r>
      <w:r>
        <w:rPr>
          <w:color w:val="000000"/>
        </w:rPr>
        <w:t xml:space="preserve"> </w:t>
      </w:r>
      <w:r>
        <w:rPr>
          <w:rFonts w:ascii="Times New Roman;serif" w:hAnsi="Times New Roman;serif"/>
          <w:b w:val="false"/>
          <w:color w:val="000000"/>
          <w:sz w:val="20"/>
        </w:rPr>
        <w:t>will</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Dell</w:t>
      </w:r>
      <w:r>
        <w:rPr>
          <w:color w:val="000000"/>
        </w:rPr>
        <w:t xml:space="preserve"> </w:t>
      </w:r>
      <w:r>
        <w:rPr>
          <w:rFonts w:ascii="Times New Roman;serif" w:hAnsi="Times New Roman;serif"/>
          <w:b w:val="false"/>
          <w:color w:val="000000"/>
          <w:sz w:val="20"/>
        </w:rPr>
        <w:t>Technologies</w:t>
      </w:r>
      <w:r>
        <w:rPr>
          <w:color w:val="000000"/>
        </w:rPr>
        <w:t xml:space="preserve"> </w:t>
      </w:r>
      <w:r>
        <w:rPr>
          <w:rFonts w:ascii="Times New Roman;serif" w:hAnsi="Times New Roman;serif"/>
          <w:b w:val="false"/>
          <w:color w:val="000000"/>
          <w:sz w:val="20"/>
        </w:rPr>
        <w:t>Inc.</w:t>
      </w:r>
      <w:r>
        <w:rPr>
          <w:color w:val="000000"/>
        </w:rPr>
        <w:t xml:space="preserve"> </w:t>
      </w:r>
      <w:r>
        <w:rPr>
          <w:rFonts w:ascii="Times New Roman;serif" w:hAnsi="Times New Roman;serif"/>
          <w:b w:val="false"/>
          <w:color w:val="000000"/>
          <w:sz w:val="20"/>
        </w:rPr>
        <w:t>2023 Stock Incentive Plan, as</w:t>
      </w:r>
      <w:r>
        <w:rPr>
          <w:color w:val="000000"/>
        </w:rPr>
        <w:t xml:space="preserve"> </w:t>
      </w:r>
      <w:r>
        <w:rPr>
          <w:rFonts w:ascii="Times New Roman;serif" w:hAnsi="Times New Roman;serif"/>
          <w:b w:val="false"/>
          <w:color w:val="000000"/>
          <w:sz w:val="20"/>
        </w:rPr>
        <w:t>amended</w:t>
      </w:r>
      <w:r>
        <w:rPr>
          <w:color w:val="000000"/>
        </w:rPr>
        <w:t xml:space="preserve"> </w:t>
      </w:r>
      <w:r>
        <w:rPr>
          <w:rFonts w:ascii="Times New Roman;serif" w:hAnsi="Times New Roman;serif"/>
          <w:b w:val="false"/>
          <w:color w:val="000000"/>
          <w:sz w:val="20"/>
        </w:rPr>
        <w:t>and restated from time to</w:t>
      </w:r>
      <w:r>
        <w:rPr>
          <w:color w:val="000000"/>
        </w:rPr>
        <w:t xml:space="preserve"> </w:t>
      </w:r>
      <w:r>
        <w:rPr>
          <w:rFonts w:ascii="Times New Roman;serif" w:hAnsi="Times New Roman;serif"/>
          <w:b w:val="false"/>
          <w:color w:val="000000"/>
          <w:sz w:val="20"/>
        </w:rPr>
        <w:t>time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with</w:t>
      </w:r>
      <w:r>
        <w:rPr>
          <w:color w:val="000000"/>
        </w:rPr>
        <w:t xml:space="preserve"> </w:t>
      </w:r>
      <w:r>
        <w:rPr>
          <w:rFonts w:ascii="Times New Roman;serif" w:hAnsi="Times New Roman;serif"/>
          <w:b w:val="false"/>
          <w:color w:val="000000"/>
          <w:sz w:val="20"/>
        </w:rPr>
        <w:t>all awards</w:t>
      </w:r>
      <w:r>
        <w:rPr>
          <w:color w:val="000000"/>
        </w:rPr>
        <w:t xml:space="preserve"> </w:t>
      </w:r>
      <w:r>
        <w:rPr>
          <w:rFonts w:ascii="Times New Roman;serif" w:hAnsi="Times New Roman;serif"/>
          <w:b w:val="false"/>
          <w:color w:val="000000"/>
          <w:sz w:val="20"/>
        </w:rPr>
        <w:t>being</w:t>
      </w:r>
      <w:r>
        <w:rPr>
          <w:color w:val="000000"/>
        </w:rPr>
        <w:t xml:space="preserve"> </w:t>
      </w:r>
      <w:r>
        <w:rPr>
          <w:rFonts w:ascii="Times New Roman;serif" w:hAnsi="Times New Roman;serif"/>
          <w:b w:val="false"/>
          <w:color w:val="000000"/>
          <w:sz w:val="20"/>
        </w:rPr>
        <w:t>granted annually.</w:t>
      </w:r>
      <w:r>
        <w:rPr>
          <w:color w:val="000000"/>
        </w:rPr>
        <w:t xml:space="preserve"> </w:t>
      </w:r>
      <w:r>
        <w:rPr>
          <w:rFonts w:ascii="Times New Roman;serif" w:hAnsi="Times New Roman;serif"/>
          <w:b w:val="false"/>
          <w:color w:val="000000"/>
          <w:sz w:val="20"/>
        </w:rPr>
        <w:t>The equity awards are subject to vesting as described below, to the extent applicable.</w:t>
      </w:r>
    </w:p>
    <w:p>
      <w:pPr>
        <w:pStyle w:val="TextBody"/>
        <w:bidi w:val="0"/>
        <w:spacing w:lineRule="auto" w:line="288" w:before="227" w:after="283"/>
        <w:jc w:val="left"/>
        <w:rPr/>
      </w:pPr>
      <w:r>
        <w:rPr>
          <w:rFonts w:ascii="Times New Roman;serif" w:hAnsi="Times New Roman;serif"/>
          <w:b/>
          <w:color w:val="000000"/>
          <w:sz w:val="20"/>
          <w:u w:val="single"/>
        </w:rPr>
        <w:t>TIMING</w:t>
      </w:r>
      <w:r>
        <w:rPr>
          <w:color w:val="000000"/>
          <w:u w:val="single"/>
        </w:rPr>
        <w:t xml:space="preserve"> </w:t>
      </w:r>
      <w:r>
        <w:rPr>
          <w:rFonts w:ascii="Times New Roman;serif" w:hAnsi="Times New Roman;serif"/>
          <w:b/>
          <w:color w:val="000000"/>
          <w:sz w:val="20"/>
          <w:u w:val="single"/>
        </w:rPr>
        <w:t>OF</w:t>
      </w:r>
      <w:r>
        <w:rPr>
          <w:color w:val="000000"/>
          <w:u w:val="single"/>
        </w:rPr>
        <w:t xml:space="preserve"> </w:t>
      </w:r>
      <w:r>
        <w:rPr>
          <w:rFonts w:ascii="Times New Roman;serif" w:hAnsi="Times New Roman;serif"/>
          <w:b/>
          <w:color w:val="000000"/>
          <w:sz w:val="20"/>
          <w:u w:val="single"/>
        </w:rPr>
        <w:t>ELECTIONS</w:t>
      </w:r>
      <w:r>
        <w:rPr>
          <w:rFonts w:ascii="Times New Roman;serif" w:hAnsi="Times New Roman;serif"/>
          <w:b/>
          <w:color w:val="000000"/>
          <w:sz w:val="20"/>
        </w:rPr>
        <w:t>:</w:t>
      </w:r>
    </w:p>
    <w:p>
      <w:pPr>
        <w:pStyle w:val="TextBody"/>
        <w:bidi w:val="0"/>
        <w:spacing w:before="1" w:after="283"/>
        <w:jc w:val="left"/>
        <w:rPr/>
      </w:pPr>
      <w:r>
        <w:rPr/>
      </w:r>
    </w:p>
    <w:p>
      <w:pPr>
        <w:pStyle w:val="TextBody"/>
        <w:bidi w:val="0"/>
        <w:spacing w:lineRule="auto" w:line="288" w:before="0" w:after="0"/>
        <w:ind w:left="0" w:right="0" w:hanging="721"/>
        <w:jc w:val="left"/>
        <w:rPr/>
      </w:pPr>
      <w:r>
        <w:rPr>
          <w:color w:val="000000"/>
        </w:rPr>
        <w:t>•</w:t>
      </w:r>
      <w:r>
        <w:rPr>
          <w:rFonts w:ascii="Times New Roman;serif" w:hAnsi="Times New Roman;serif"/>
          <w:b w:val="false"/>
          <w:color w:val="000000"/>
          <w:sz w:val="20"/>
          <w:u w:val="single"/>
        </w:rPr>
        <w:t>Generally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Elections to receive DSUs (alone or in combination with other applicable forms of payment) must be made prior to the beginning of the calendar year to which they relate. Elections to receive Stock (alone</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combination</w:t>
      </w:r>
      <w:r>
        <w:rPr>
          <w:color w:val="000000"/>
        </w:rPr>
        <w:t xml:space="preserve"> </w:t>
      </w:r>
      <w:r>
        <w:rPr>
          <w:rFonts w:ascii="Times New Roman;serif" w:hAnsi="Times New Roman;serif"/>
          <w:b w:val="false"/>
          <w:color w:val="000000"/>
          <w:sz w:val="20"/>
        </w:rPr>
        <w:t>with</w:t>
      </w:r>
      <w:r>
        <w:rPr>
          <w:color w:val="000000"/>
        </w:rPr>
        <w:t xml:space="preserve"> </w:t>
      </w:r>
      <w:r>
        <w:rPr>
          <w:rFonts w:ascii="Times New Roman;serif" w:hAnsi="Times New Roman;serif"/>
          <w:b w:val="false"/>
          <w:color w:val="000000"/>
          <w:sz w:val="20"/>
        </w:rPr>
        <w:t>other applicable forms of</w:t>
      </w:r>
      <w:r>
        <w:rPr>
          <w:color w:val="000000"/>
        </w:rPr>
        <w:t xml:space="preserve"> </w:t>
      </w:r>
      <w:r>
        <w:rPr>
          <w:rFonts w:ascii="Times New Roman;serif" w:hAnsi="Times New Roman;serif"/>
          <w:b w:val="false"/>
          <w:color w:val="000000"/>
          <w:sz w:val="20"/>
        </w:rPr>
        <w:t>payment)</w:t>
      </w:r>
      <w:r>
        <w:rPr>
          <w:color w:val="000000"/>
        </w:rPr>
        <w:t xml:space="preserve"> </w:t>
      </w:r>
      <w:r>
        <w:rPr>
          <w:rFonts w:ascii="Times New Roman;serif" w:hAnsi="Times New Roman;serif"/>
          <w:b w:val="false"/>
          <w:color w:val="000000"/>
          <w:sz w:val="20"/>
        </w:rPr>
        <w:t>may be</w:t>
      </w:r>
      <w:r>
        <w:rPr>
          <w:color w:val="000000"/>
        </w:rPr>
        <w:t xml:space="preserve"> </w:t>
      </w:r>
      <w:r>
        <w:rPr>
          <w:rFonts w:ascii="Times New Roman;serif" w:hAnsi="Times New Roman;serif"/>
          <w:b w:val="false"/>
          <w:color w:val="000000"/>
          <w:sz w:val="20"/>
        </w:rPr>
        <w:t>made</w:t>
      </w:r>
      <w:r>
        <w:rPr>
          <w:color w:val="000000"/>
        </w:rPr>
        <w:t xml:space="preserve"> </w:t>
      </w:r>
      <w:r>
        <w:rPr>
          <w:rFonts w:ascii="Times New Roman;serif" w:hAnsi="Times New Roman;serif"/>
          <w:b w:val="false"/>
          <w:color w:val="000000"/>
          <w:sz w:val="20"/>
        </w:rPr>
        <w:t>at any</w:t>
      </w:r>
      <w:r>
        <w:rPr>
          <w:color w:val="000000"/>
        </w:rPr>
        <w:t xml:space="preserve"> </w:t>
      </w:r>
      <w:r>
        <w:rPr>
          <w:rFonts w:ascii="Times New Roman;serif" w:hAnsi="Times New Roman;serif"/>
          <w:b w:val="false"/>
          <w:color w:val="000000"/>
          <w:sz w:val="20"/>
        </w:rPr>
        <w:t>time with</w:t>
      </w:r>
      <w:r>
        <w:rPr>
          <w:color w:val="000000"/>
        </w:rPr>
        <w:t xml:space="preserve"> </w:t>
      </w:r>
      <w:r>
        <w:rPr>
          <w:rFonts w:ascii="Times New Roman;serif" w:hAnsi="Times New Roman;serif"/>
          <w:b w:val="false"/>
          <w:color w:val="000000"/>
          <w:sz w:val="20"/>
        </w:rPr>
        <w:t>respect to amounts</w:t>
      </w:r>
      <w:r>
        <w:rPr>
          <w:color w:val="000000"/>
        </w:rPr>
        <w:t xml:space="preserve"> </w:t>
      </w:r>
      <w:r>
        <w:rPr>
          <w:rFonts w:ascii="Times New Roman;serif" w:hAnsi="Times New Roman;serif"/>
          <w:b w:val="false"/>
          <w:color w:val="000000"/>
          <w:sz w:val="20"/>
        </w:rPr>
        <w:t>that have not yet been paid out as</w:t>
      </w:r>
      <w:r>
        <w:rPr>
          <w:color w:val="000000"/>
        </w:rPr>
        <w:t xml:space="preserve"> </w:t>
      </w:r>
      <w:r>
        <w:rPr>
          <w:rFonts w:ascii="Times New Roman;serif" w:hAnsi="Times New Roman;serif"/>
          <w:b w:val="false"/>
          <w:color w:val="000000"/>
          <w:sz w:val="20"/>
        </w:rPr>
        <w:t>to the relevant year and</w:t>
      </w:r>
      <w:r>
        <w:rPr>
          <w:color w:val="000000"/>
        </w:rPr>
        <w:t xml:space="preserve"> </w:t>
      </w:r>
      <w:r>
        <w:rPr>
          <w:rFonts w:ascii="Times New Roman;serif" w:hAnsi="Times New Roman;serif"/>
          <w:b w:val="false"/>
          <w:color w:val="000000"/>
          <w:sz w:val="20"/>
        </w:rPr>
        <w:t>for which the director has not made an effective DSU election.</w:t>
      </w:r>
    </w:p>
    <w:p>
      <w:pPr>
        <w:pStyle w:val="TextBody"/>
        <w:bidi w:val="0"/>
        <w:spacing w:lineRule="auto" w:line="288" w:before="122" w:after="283"/>
        <w:ind w:left="0" w:right="0" w:hanging="721"/>
        <w:jc w:val="left"/>
        <w:rPr/>
      </w:pPr>
      <w:r>
        <w:rPr>
          <w:color w:val="000000"/>
        </w:rPr>
        <w:t>•</w:t>
      </w:r>
      <w:r>
        <w:rPr>
          <w:rFonts w:ascii="Times New Roman;serif" w:hAnsi="Times New Roman;serif"/>
          <w:b w:val="false"/>
          <w:color w:val="000000"/>
          <w:sz w:val="20"/>
          <w:u w:val="single"/>
        </w:rPr>
        <w:t>New</w:t>
      </w:r>
      <w:r>
        <w:rPr>
          <w:color w:val="000000"/>
          <w:u w:val="single"/>
        </w:rPr>
        <w:t xml:space="preserve"> </w:t>
      </w:r>
      <w:r>
        <w:rPr>
          <w:rFonts w:ascii="Times New Roman;serif" w:hAnsi="Times New Roman;serif"/>
          <w:b w:val="false"/>
          <w:color w:val="000000"/>
          <w:sz w:val="20"/>
          <w:u w:val="single"/>
        </w:rPr>
        <w:t>directors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Each new</w:t>
      </w:r>
      <w:r>
        <w:rPr>
          <w:color w:val="000000"/>
        </w:rPr>
        <w:t xml:space="preserve"> </w:t>
      </w:r>
      <w:r>
        <w:rPr>
          <w:rFonts w:ascii="Times New Roman;serif" w:hAnsi="Times New Roman;serif"/>
          <w:b w:val="false"/>
          <w:color w:val="000000"/>
          <w:sz w:val="20"/>
        </w:rPr>
        <w:t>director</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make</w:t>
      </w:r>
      <w:r>
        <w:rPr>
          <w:color w:val="000000"/>
        </w:rPr>
        <w:t xml:space="preserve"> </w:t>
      </w:r>
      <w:r>
        <w:rPr>
          <w:rFonts w:ascii="Times New Roman;serif" w:hAnsi="Times New Roman;serif"/>
          <w:b w:val="false"/>
          <w:color w:val="000000"/>
          <w:sz w:val="20"/>
        </w:rPr>
        <w:t>an</w:t>
      </w:r>
      <w:r>
        <w:rPr>
          <w:color w:val="000000"/>
        </w:rPr>
        <w:t xml:space="preserve"> </w:t>
      </w:r>
      <w:r>
        <w:rPr>
          <w:rFonts w:ascii="Times New Roman;serif" w:hAnsi="Times New Roman;serif"/>
          <w:b w:val="false"/>
          <w:color w:val="000000"/>
          <w:sz w:val="20"/>
        </w:rPr>
        <w:t>election to</w:t>
      </w:r>
      <w:r>
        <w:rPr>
          <w:color w:val="000000"/>
        </w:rPr>
        <w:t xml:space="preserve"> </w:t>
      </w:r>
      <w:r>
        <w:rPr>
          <w:rFonts w:ascii="Times New Roman;serif" w:hAnsi="Times New Roman;serif"/>
          <w:b w:val="false"/>
          <w:color w:val="000000"/>
          <w:sz w:val="20"/>
        </w:rPr>
        <w:t>receive DSUs,</w:t>
      </w:r>
      <w:r>
        <w:rPr>
          <w:color w:val="000000"/>
        </w:rPr>
        <w:t xml:space="preserve"> </w:t>
      </w:r>
      <w:r>
        <w:rPr>
          <w:rFonts w:ascii="Times New Roman;serif" w:hAnsi="Times New Roman;serif"/>
          <w:b w:val="false"/>
          <w:color w:val="000000"/>
          <w:sz w:val="20"/>
        </w:rPr>
        <w:t>Stock</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combination</w:t>
      </w:r>
      <w:r>
        <w:rPr>
          <w:color w:val="000000"/>
        </w:rPr>
        <w:t xml:space="preserve"> </w:t>
      </w:r>
      <w:r>
        <w:rPr>
          <w:rFonts w:ascii="Times New Roman;serif" w:hAnsi="Times New Roman;serif"/>
          <w:b w:val="false"/>
          <w:color w:val="000000"/>
          <w:sz w:val="20"/>
        </w:rPr>
        <w:t>thereof within 30 days after becoming a director, but this election will only apply to the portion of the Annual Board Retainer or Committee Chair Retainer (if applicable) earned after the date of the election.</w:t>
      </w:r>
    </w:p>
    <w:p>
      <w:pPr>
        <w:pStyle w:val="TextBody"/>
        <w:bidi w:val="0"/>
        <w:spacing w:lineRule="auto" w:line="276" w:before="121" w:after="283"/>
        <w:ind w:left="0" w:right="0" w:hanging="720"/>
        <w:jc w:val="left"/>
        <w:rPr/>
      </w:pPr>
      <w:r>
        <w:rPr>
          <w:rFonts w:ascii="Times New Roman;serif" w:hAnsi="Times New Roman;serif"/>
          <w:b w:val="false"/>
          <w:color w:val="000000"/>
          <w:sz w:val="20"/>
          <w:u w:val="single"/>
        </w:rPr>
        <w:t>Irrevocability of DSU Elections</w:t>
      </w:r>
      <w:r>
        <w:rPr>
          <w:rFonts w:ascii="Times New Roman;serif" w:hAnsi="Times New Roman;serif"/>
          <w:b w:val="false"/>
          <w:color w:val="000000"/>
          <w:sz w:val="20"/>
        </w:rPr>
        <w:t xml:space="preserve">. Once the calendar year to which a director’s DSU elections relate commences, all elections to receive DSUs are </w:t>
      </w:r>
      <w:r>
        <w:rPr>
          <w:rFonts w:ascii="Times New Roman;serif" w:hAnsi="Times New Roman;serif"/>
          <w:b w:val="false"/>
          <w:color w:val="000000"/>
          <w:sz w:val="20"/>
          <w:u w:val="single"/>
        </w:rPr>
        <w:t>irrevocable</w:t>
      </w:r>
      <w:r>
        <w:rPr>
          <w:color w:val="000000"/>
        </w:rPr>
        <w:t xml:space="preserve"> </w:t>
      </w:r>
      <w:r>
        <w:rPr>
          <w:rFonts w:ascii="Times New Roman;serif" w:hAnsi="Times New Roman;serif"/>
          <w:b w:val="false"/>
          <w:color w:val="000000"/>
          <w:sz w:val="20"/>
        </w:rPr>
        <w:t>with respect to that year, and no new DSU elections</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made</w:t>
      </w:r>
      <w:r>
        <w:rPr>
          <w:color w:val="000000"/>
        </w:rPr>
        <w:t xml:space="preserve"> </w:t>
      </w:r>
      <w:r>
        <w:rPr>
          <w:rFonts w:ascii="Times New Roman;serif" w:hAnsi="Times New Roman;serif"/>
          <w:b w:val="false"/>
          <w:color w:val="000000"/>
          <w:sz w:val="20"/>
        </w:rPr>
        <w:t>with</w:t>
      </w:r>
      <w:r>
        <w:rPr>
          <w:color w:val="000000"/>
        </w:rPr>
        <w:t xml:space="preserve"> </w:t>
      </w:r>
      <w:r>
        <w:rPr>
          <w:rFonts w:ascii="Times New Roman;serif" w:hAnsi="Times New Roman;serif"/>
          <w:b w:val="false"/>
          <w:color w:val="000000"/>
          <w:sz w:val="20"/>
        </w:rPr>
        <w:t>respect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that</w:t>
      </w:r>
      <w:r>
        <w:rPr>
          <w:color w:val="000000"/>
        </w:rPr>
        <w:t xml:space="preserve"> </w:t>
      </w:r>
      <w:r>
        <w:rPr>
          <w:rFonts w:ascii="Times New Roman;serif" w:hAnsi="Times New Roman;serif"/>
          <w:b w:val="false"/>
          <w:color w:val="000000"/>
          <w:sz w:val="20"/>
        </w:rPr>
        <w:t>year.</w:t>
      </w:r>
      <w:r>
        <w:rPr>
          <w:color w:val="000000"/>
        </w:rPr>
        <w:t xml:space="preserve"> </w:t>
      </w:r>
      <w:r>
        <w:rPr>
          <w:rFonts w:ascii="Times New Roman;serif" w:hAnsi="Times New Roman;serif"/>
          <w:b w:val="false"/>
          <w:color w:val="000000"/>
          <w:sz w:val="20"/>
        </w:rPr>
        <w:t>A director</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submit</w:t>
      </w:r>
      <w:r>
        <w:rPr>
          <w:color w:val="000000"/>
        </w:rPr>
        <w:t xml:space="preserve"> </w:t>
      </w:r>
      <w:r>
        <w:rPr>
          <w:rFonts w:ascii="Times New Roman;serif" w:hAnsi="Times New Roman;serif"/>
          <w:b w:val="false"/>
          <w:color w:val="000000"/>
          <w:sz w:val="20"/>
        </w:rPr>
        <w:t>a new</w:t>
      </w:r>
      <w:r>
        <w:rPr>
          <w:color w:val="000000"/>
        </w:rPr>
        <w:t xml:space="preserve"> </w:t>
      </w:r>
      <w:r>
        <w:rPr>
          <w:rFonts w:ascii="Times New Roman;serif" w:hAnsi="Times New Roman;serif"/>
          <w:b w:val="false"/>
          <w:color w:val="000000"/>
          <w:sz w:val="20"/>
        </w:rPr>
        <w:t>election to receive</w:t>
      </w:r>
      <w:r>
        <w:rPr>
          <w:color w:val="000000"/>
        </w:rPr>
        <w:t xml:space="preserve"> </w:t>
      </w:r>
      <w:r>
        <w:rPr>
          <w:rFonts w:ascii="Times New Roman;serif" w:hAnsi="Times New Roman;serif"/>
          <w:b w:val="false"/>
          <w:color w:val="000000"/>
          <w:sz w:val="20"/>
        </w:rPr>
        <w:t>DSUs for each subsequent calendar year prior to the beginning of that calendar year.</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p>
      <w:pPr>
        <w:pStyle w:val="TextBody"/>
        <w:bidi w:val="0"/>
        <w:spacing w:lineRule="auto" w:line="288" w:before="81" w:after="283"/>
        <w:ind w:left="0" w:right="0" w:hanging="721"/>
        <w:jc w:val="left"/>
        <w:rPr/>
      </w:pPr>
      <w:r>
        <w:rPr>
          <w:color w:val="000000"/>
        </w:rPr>
        <w:t>•</w:t>
      </w:r>
      <w:r>
        <w:rPr>
          <w:rFonts w:ascii="Times New Roman;serif" w:hAnsi="Times New Roman;serif"/>
          <w:b w:val="false"/>
          <w:color w:val="000000"/>
          <w:sz w:val="20"/>
          <w:u w:val="single"/>
        </w:rPr>
        <w:t>Carryover of Current Elections</w:t>
      </w:r>
      <w:r>
        <w:rPr>
          <w:rFonts w:ascii="Times New Roman;serif" w:hAnsi="Times New Roman;serif"/>
          <w:b w:val="false"/>
          <w:color w:val="000000"/>
          <w:sz w:val="20"/>
        </w:rPr>
        <w:t>. Each director’s elections will remain in effect for subsequent years as provided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director's</w:t>
      </w:r>
      <w:r>
        <w:rPr>
          <w:color w:val="000000"/>
        </w:rPr>
        <w:t xml:space="preserve"> </w:t>
      </w:r>
      <w:r>
        <w:rPr>
          <w:rFonts w:ascii="Times New Roman;serif" w:hAnsi="Times New Roman;serif"/>
          <w:b w:val="false"/>
          <w:color w:val="000000"/>
          <w:sz w:val="20"/>
        </w:rPr>
        <w:t>most recently</w:t>
      </w:r>
      <w:r>
        <w:rPr>
          <w:color w:val="000000"/>
        </w:rPr>
        <w:t xml:space="preserve"> </w:t>
      </w:r>
      <w:r>
        <w:rPr>
          <w:rFonts w:ascii="Times New Roman;serif" w:hAnsi="Times New Roman;serif"/>
          <w:b w:val="false"/>
          <w:color w:val="000000"/>
          <w:sz w:val="20"/>
        </w:rPr>
        <w:t>submitted</w:t>
      </w:r>
      <w:r>
        <w:rPr>
          <w:color w:val="000000"/>
        </w:rPr>
        <w:t xml:space="preserve"> </w:t>
      </w:r>
      <w:r>
        <w:rPr>
          <w:rFonts w:ascii="Times New Roman;serif" w:hAnsi="Times New Roman;serif"/>
          <w:b w:val="false"/>
          <w:color w:val="000000"/>
          <w:sz w:val="20"/>
        </w:rPr>
        <w:t>election</w:t>
      </w:r>
      <w:r>
        <w:rPr>
          <w:color w:val="000000"/>
        </w:rPr>
        <w:t xml:space="preserve"> </w:t>
      </w:r>
      <w:r>
        <w:rPr>
          <w:rFonts w:ascii="Times New Roman;serif" w:hAnsi="Times New Roman;serif"/>
          <w:b w:val="false"/>
          <w:color w:val="000000"/>
          <w:sz w:val="20"/>
        </w:rPr>
        <w:t>forms</w:t>
      </w:r>
      <w:r>
        <w:rPr>
          <w:color w:val="000000"/>
        </w:rPr>
        <w:t xml:space="preserve"> </w:t>
      </w:r>
      <w:r>
        <w:rPr>
          <w:rFonts w:ascii="Times New Roman;serif" w:hAnsi="Times New Roman;serif"/>
          <w:b w:val="false"/>
          <w:color w:val="000000"/>
          <w:sz w:val="20"/>
        </w:rPr>
        <w:t>if no new</w:t>
      </w:r>
      <w:r>
        <w:rPr>
          <w:color w:val="000000"/>
        </w:rPr>
        <w:t xml:space="preserve"> </w:t>
      </w:r>
      <w:r>
        <w:rPr>
          <w:rFonts w:ascii="Times New Roman;serif" w:hAnsi="Times New Roman;serif"/>
          <w:b w:val="false"/>
          <w:color w:val="000000"/>
          <w:sz w:val="20"/>
        </w:rPr>
        <w:t>elections</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timely</w:t>
      </w:r>
      <w:r>
        <w:rPr>
          <w:color w:val="000000"/>
        </w:rPr>
        <w:t xml:space="preserve"> </w:t>
      </w:r>
      <w:r>
        <w:rPr>
          <w:rFonts w:ascii="Times New Roman;serif" w:hAnsi="Times New Roman;serif"/>
          <w:b w:val="false"/>
          <w:color w:val="000000"/>
          <w:sz w:val="20"/>
        </w:rPr>
        <w:t>submitted.</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color w:val="000000"/>
          <w:sz w:val="20"/>
          <w:u w:val="single"/>
        </w:rPr>
        <w:t>INDIVIDUAL</w:t>
      </w:r>
      <w:r>
        <w:rPr>
          <w:color w:val="000000"/>
          <w:u w:val="single"/>
        </w:rPr>
        <w:t xml:space="preserve"> </w:t>
      </w:r>
      <w:r>
        <w:rPr>
          <w:rFonts w:ascii="Times New Roman;serif" w:hAnsi="Times New Roman;serif"/>
          <w:b/>
          <w:color w:val="000000"/>
          <w:sz w:val="20"/>
          <w:u w:val="single"/>
        </w:rPr>
        <w:t>COMPENSATION</w:t>
      </w:r>
      <w:r>
        <w:rPr>
          <w:color w:val="000000"/>
          <w:u w:val="single"/>
        </w:rPr>
        <w:t xml:space="preserve"> </w:t>
      </w:r>
      <w:r>
        <w:rPr>
          <w:rFonts w:ascii="Times New Roman;serif" w:hAnsi="Times New Roman;serif"/>
          <w:b/>
          <w:color w:val="000000"/>
          <w:sz w:val="20"/>
          <w:u w:val="single"/>
        </w:rPr>
        <w:t>ELECTIONS</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88" w:before="1" w:after="283"/>
        <w:ind w:left="0" w:right="0" w:hanging="720"/>
        <w:jc w:val="left"/>
        <w:rPr/>
      </w:pPr>
      <w:r>
        <w:rPr>
          <w:color w:val="000000"/>
        </w:rPr>
        <w:t>•</w:t>
      </w:r>
      <w:r>
        <w:rPr>
          <w:rFonts w:ascii="Times New Roman;serif" w:hAnsi="Times New Roman;serif"/>
          <w:b w:val="false"/>
          <w:color w:val="000000"/>
          <w:sz w:val="20"/>
        </w:rPr>
        <w:t>Directors</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elect</w:t>
      </w:r>
      <w:r>
        <w:rPr>
          <w:color w:val="000000"/>
        </w:rPr>
        <w:t xml:space="preserve"> </w:t>
      </w:r>
      <w:r>
        <w:rPr>
          <w:rFonts w:ascii="Times New Roman;serif" w:hAnsi="Times New Roman;serif"/>
          <w:b w:val="false"/>
          <w:color w:val="000000"/>
          <w:sz w:val="20"/>
        </w:rPr>
        <w:t>the forms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payment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their</w:t>
      </w:r>
      <w:r>
        <w:rPr>
          <w:color w:val="000000"/>
        </w:rPr>
        <w:t xml:space="preserve"> </w:t>
      </w:r>
      <w:r>
        <w:rPr>
          <w:rFonts w:ascii="Times New Roman;serif" w:hAnsi="Times New Roman;serif"/>
          <w:b w:val="false"/>
          <w:color w:val="000000"/>
          <w:sz w:val="20"/>
        </w:rPr>
        <w:t>compensation</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an</w:t>
      </w:r>
      <w:r>
        <w:rPr>
          <w:color w:val="000000"/>
        </w:rPr>
        <w:t xml:space="preserve"> </w:t>
      </w:r>
      <w:r>
        <w:rPr>
          <w:rFonts w:ascii="Times New Roman;serif" w:hAnsi="Times New Roman;serif"/>
          <w:b w:val="false"/>
          <w:color w:val="000000"/>
          <w:sz w:val="20"/>
        </w:rPr>
        <w:t>individual</w:t>
      </w:r>
      <w:r>
        <w:rPr>
          <w:color w:val="000000"/>
        </w:rPr>
        <w:t xml:space="preserve"> </w:t>
      </w:r>
      <w:r>
        <w:rPr>
          <w:rFonts w:ascii="Times New Roman;serif" w:hAnsi="Times New Roman;serif"/>
          <w:b w:val="false"/>
          <w:color w:val="000000"/>
          <w:sz w:val="20"/>
        </w:rPr>
        <w:t>basis.</w:t>
      </w:r>
    </w:p>
    <w:p>
      <w:pPr>
        <w:pStyle w:val="TextBody"/>
        <w:bidi w:val="0"/>
        <w:spacing w:lineRule="auto" w:line="288" w:before="115" w:after="283"/>
        <w:ind w:left="0" w:right="0" w:hanging="720"/>
        <w:jc w:val="left"/>
        <w:rPr/>
      </w:pPr>
      <w:r>
        <w:rPr>
          <w:color w:val="000000"/>
        </w:rPr>
        <w:t>•</w:t>
      </w:r>
      <w:r>
        <w:rPr>
          <w:rFonts w:ascii="Times New Roman;serif" w:hAnsi="Times New Roman;serif"/>
          <w:b w:val="false"/>
          <w:color w:val="000000"/>
          <w:sz w:val="20"/>
        </w:rPr>
        <w:t>Elections</w:t>
      </w:r>
      <w:r>
        <w:rPr>
          <w:color w:val="000000"/>
        </w:rPr>
        <w:t xml:space="preserve"> </w:t>
      </w:r>
      <w:r>
        <w:rPr>
          <w:rFonts w:ascii="Times New Roman;serif" w:hAnsi="Times New Roman;serif"/>
          <w:b w:val="false"/>
          <w:color w:val="000000"/>
          <w:sz w:val="20"/>
        </w:rPr>
        <w:t>must</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made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multiples</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follows:</w:t>
      </w:r>
    </w:p>
    <w:p>
      <w:pPr>
        <w:pStyle w:val="TextBody"/>
        <w:bidi w:val="0"/>
        <w:spacing w:lineRule="auto" w:line="288" w:before="119" w:after="283"/>
        <w:ind w:left="0" w:right="0" w:hanging="720"/>
        <w:jc w:val="left"/>
        <w:rPr/>
      </w:pPr>
      <w:r>
        <w:rPr>
          <w:rFonts w:ascii="Times New Roman;serif" w:hAnsi="Times New Roman;serif"/>
          <w:b w:val="false"/>
          <w:color w:val="000000"/>
          <w:sz w:val="20"/>
        </w:rPr>
        <w:t>Allocation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 Annual Cash</w:t>
      </w:r>
      <w:r>
        <w:rPr>
          <w:color w:val="000000"/>
        </w:rPr>
        <w:t xml:space="preserve"> </w:t>
      </w:r>
      <w:r>
        <w:rPr>
          <w:rFonts w:ascii="Times New Roman;serif" w:hAnsi="Times New Roman;serif"/>
          <w:b w:val="false"/>
          <w:color w:val="000000"/>
          <w:sz w:val="20"/>
        </w:rPr>
        <w:t>Retainer among DSUs,</w:t>
      </w:r>
      <w:r>
        <w:rPr>
          <w:color w:val="000000"/>
        </w:rPr>
        <w:t xml:space="preserve"> </w:t>
      </w:r>
      <w:r>
        <w:rPr>
          <w:rFonts w:ascii="Times New Roman;serif" w:hAnsi="Times New Roman;serif"/>
          <w:b w:val="false"/>
          <w:color w:val="000000"/>
          <w:sz w:val="20"/>
        </w:rPr>
        <w:t>Stock</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cash</w:t>
      </w:r>
      <w:r>
        <w:rPr>
          <w:color w:val="000000"/>
        </w:rPr>
        <w:t xml:space="preserve"> </w:t>
      </w:r>
      <w:r>
        <w:rPr>
          <w:rFonts w:ascii="Times New Roman;serif" w:hAnsi="Times New Roman;serif"/>
          <w:b w:val="false"/>
          <w:color w:val="000000"/>
          <w:sz w:val="20"/>
        </w:rPr>
        <w:t>(including</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combination thereof) must be made in each case in multiples of 25% (up to a maximum of 100%).</w:t>
      </w:r>
    </w:p>
    <w:p>
      <w:pPr>
        <w:pStyle w:val="TextBody"/>
        <w:bidi w:val="0"/>
        <w:spacing w:lineRule="auto" w:line="288" w:before="121" w:after="283"/>
        <w:ind w:left="0" w:right="0" w:hanging="720"/>
        <w:jc w:val="left"/>
        <w:rPr/>
      </w:pPr>
      <w:r>
        <w:rPr>
          <w:rFonts w:ascii="Times New Roman;serif" w:hAnsi="Times New Roman;serif"/>
          <w:b w:val="false"/>
          <w:color w:val="000000"/>
          <w:sz w:val="20"/>
        </w:rPr>
        <w:t>Allocation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 Annual Equity</w:t>
      </w:r>
      <w:r>
        <w:rPr>
          <w:color w:val="000000"/>
        </w:rPr>
        <w:t xml:space="preserve"> </w:t>
      </w:r>
      <w:r>
        <w:rPr>
          <w:rFonts w:ascii="Times New Roman;serif" w:hAnsi="Times New Roman;serif"/>
          <w:b w:val="false"/>
          <w:color w:val="000000"/>
          <w:sz w:val="20"/>
        </w:rPr>
        <w:t>Retainer</w:t>
      </w:r>
      <w:r>
        <w:rPr>
          <w:color w:val="000000"/>
        </w:rPr>
        <w:t xml:space="preserve"> </w:t>
      </w:r>
      <w:r>
        <w:rPr>
          <w:rFonts w:ascii="Times New Roman;serif" w:hAnsi="Times New Roman;serif"/>
          <w:b w:val="false"/>
          <w:color w:val="000000"/>
          <w:sz w:val="20"/>
        </w:rPr>
        <w:t>to DSUs</w:t>
      </w:r>
      <w:r>
        <w:rPr>
          <w:color w:val="000000"/>
        </w:rPr>
        <w:t xml:space="preserve"> </w:t>
      </w:r>
      <w:r>
        <w:rPr>
          <w:rFonts w:ascii="Times New Roman;serif" w:hAnsi="Times New Roman;serif"/>
          <w:b w:val="false"/>
          <w:color w:val="000000"/>
          <w:sz w:val="20"/>
        </w:rPr>
        <w:t>must</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made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multiples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25% (up</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a maximum of 100%).</w:t>
      </w:r>
    </w:p>
    <w:p>
      <w:pPr>
        <w:pStyle w:val="TextBody"/>
        <w:bidi w:val="0"/>
        <w:spacing w:lineRule="auto" w:line="288" w:before="120" w:after="283"/>
        <w:ind w:left="0" w:right="0" w:hanging="720"/>
        <w:jc w:val="left"/>
        <w:rPr/>
      </w:pPr>
      <w:r>
        <w:rPr>
          <w:rFonts w:ascii="Times New Roman;serif" w:hAnsi="Times New Roman;serif"/>
          <w:b w:val="false"/>
          <w:color w:val="000000"/>
          <w:sz w:val="20"/>
        </w:rPr>
        <w:t>Allocation of the Committee Chair Retainer among DSUs, Stock and cash (including a combination</w:t>
      </w:r>
      <w:r>
        <w:rPr>
          <w:color w:val="000000"/>
        </w:rPr>
        <w:t xml:space="preserve"> </w:t>
      </w:r>
      <w:r>
        <w:rPr>
          <w:rFonts w:ascii="Times New Roman;serif" w:hAnsi="Times New Roman;serif"/>
          <w:b w:val="false"/>
          <w:color w:val="000000"/>
          <w:sz w:val="20"/>
        </w:rPr>
        <w:t>thereof)</w:t>
      </w:r>
      <w:r>
        <w:rPr>
          <w:color w:val="000000"/>
        </w:rPr>
        <w:t xml:space="preserve"> </w:t>
      </w:r>
      <w:r>
        <w:rPr>
          <w:rFonts w:ascii="Times New Roman;serif" w:hAnsi="Times New Roman;serif"/>
          <w:b w:val="false"/>
          <w:color w:val="000000"/>
          <w:sz w:val="20"/>
        </w:rPr>
        <w:t>must</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made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each</w:t>
      </w:r>
      <w:r>
        <w:rPr>
          <w:color w:val="000000"/>
        </w:rPr>
        <w:t xml:space="preserve"> </w:t>
      </w:r>
      <w:r>
        <w:rPr>
          <w:rFonts w:ascii="Times New Roman;serif" w:hAnsi="Times New Roman;serif"/>
          <w:b w:val="false"/>
          <w:color w:val="000000"/>
          <w:sz w:val="20"/>
        </w:rPr>
        <w:t>case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multiples</w:t>
      </w:r>
      <w:r>
        <w:rPr>
          <w:color w:val="000000"/>
        </w:rPr>
        <w:t xml:space="preserve"> </w:t>
      </w:r>
      <w:r>
        <w:rPr>
          <w:rFonts w:ascii="Times New Roman;serif" w:hAnsi="Times New Roman;serif"/>
          <w:b w:val="false"/>
          <w:color w:val="000000"/>
          <w:sz w:val="20"/>
        </w:rPr>
        <w:t>of 25% (up</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maximum</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100%).</w:t>
      </w:r>
    </w:p>
    <w:p>
      <w:pPr>
        <w:pStyle w:val="TextBody"/>
        <w:bidi w:val="0"/>
        <w:spacing w:lineRule="auto" w:line="288" w:before="120" w:after="283"/>
        <w:ind w:left="0" w:right="0" w:hanging="720"/>
        <w:jc w:val="left"/>
        <w:rPr/>
      </w:pPr>
      <w:r>
        <w:rPr>
          <w:rFonts w:ascii="Times New Roman;serif" w:hAnsi="Times New Roman;serif"/>
          <w:b w:val="false"/>
          <w:color w:val="000000"/>
          <w:sz w:val="20"/>
        </w:rPr>
        <w:t>Allocation of the Lead Independent Director Retainer among Stock and cash (including a combination</w:t>
      </w:r>
      <w:r>
        <w:rPr>
          <w:color w:val="000000"/>
        </w:rPr>
        <w:t xml:space="preserve"> </w:t>
      </w:r>
      <w:r>
        <w:rPr>
          <w:rFonts w:ascii="Times New Roman;serif" w:hAnsi="Times New Roman;serif"/>
          <w:b w:val="false"/>
          <w:color w:val="000000"/>
          <w:sz w:val="20"/>
        </w:rPr>
        <w:t>thereof)</w:t>
      </w:r>
      <w:r>
        <w:rPr>
          <w:color w:val="000000"/>
        </w:rPr>
        <w:t xml:space="preserve"> </w:t>
      </w:r>
      <w:r>
        <w:rPr>
          <w:rFonts w:ascii="Times New Roman;serif" w:hAnsi="Times New Roman;serif"/>
          <w:b w:val="false"/>
          <w:color w:val="000000"/>
          <w:sz w:val="20"/>
        </w:rPr>
        <w:t>must</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made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each</w:t>
      </w:r>
      <w:r>
        <w:rPr>
          <w:color w:val="000000"/>
        </w:rPr>
        <w:t xml:space="preserve"> </w:t>
      </w:r>
      <w:r>
        <w:rPr>
          <w:rFonts w:ascii="Times New Roman;serif" w:hAnsi="Times New Roman;serif"/>
          <w:b w:val="false"/>
          <w:color w:val="000000"/>
          <w:sz w:val="20"/>
        </w:rPr>
        <w:t>case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multiples</w:t>
      </w:r>
      <w:r>
        <w:rPr>
          <w:color w:val="000000"/>
        </w:rPr>
        <w:t xml:space="preserve"> </w:t>
      </w:r>
      <w:r>
        <w:rPr>
          <w:rFonts w:ascii="Times New Roman;serif" w:hAnsi="Times New Roman;serif"/>
          <w:b w:val="false"/>
          <w:color w:val="000000"/>
          <w:sz w:val="20"/>
        </w:rPr>
        <w:t>of 25% (up</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maximum</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100%).</w:t>
      </w:r>
    </w:p>
    <w:p>
      <w:pPr>
        <w:pStyle w:val="TextBody"/>
        <w:bidi w:val="0"/>
        <w:spacing w:before="117" w:after="283"/>
        <w:jc w:val="left"/>
        <w:rPr/>
      </w:pPr>
      <w:r>
        <w:rPr/>
      </w:r>
    </w:p>
    <w:p>
      <w:pPr>
        <w:pStyle w:val="TextBody"/>
        <w:bidi w:val="0"/>
        <w:spacing w:lineRule="auto" w:line="288" w:before="0" w:after="0"/>
        <w:jc w:val="left"/>
        <w:rPr/>
      </w:pPr>
      <w:r>
        <w:rPr>
          <w:rFonts w:ascii="Times New Roman;serif" w:hAnsi="Times New Roman;serif"/>
          <w:b/>
          <w:color w:val="000000"/>
          <w:sz w:val="20"/>
          <w:u w:val="single"/>
        </w:rPr>
        <w:t>ANNUAL</w:t>
      </w:r>
      <w:r>
        <w:rPr>
          <w:color w:val="000000"/>
          <w:u w:val="single"/>
        </w:rPr>
        <w:t xml:space="preserve"> </w:t>
      </w:r>
      <w:r>
        <w:rPr>
          <w:rFonts w:ascii="Times New Roman;serif" w:hAnsi="Times New Roman;serif"/>
          <w:b/>
          <w:color w:val="000000"/>
          <w:sz w:val="20"/>
          <w:u w:val="single"/>
        </w:rPr>
        <w:t>BOARD</w:t>
      </w:r>
      <w:r>
        <w:rPr>
          <w:color w:val="000000"/>
          <w:u w:val="single"/>
        </w:rPr>
        <w:t xml:space="preserve"> </w:t>
      </w:r>
      <w:r>
        <w:rPr>
          <w:rFonts w:ascii="Times New Roman;serif" w:hAnsi="Times New Roman;serif"/>
          <w:b/>
          <w:color w:val="000000"/>
          <w:sz w:val="20"/>
          <w:u w:val="single"/>
        </w:rPr>
        <w:t>RETAINER</w:t>
      </w:r>
      <w:r>
        <w:rPr>
          <w:color w:val="000000"/>
          <w:u w:val="single"/>
        </w:rPr>
        <w:t xml:space="preserve"> </w:t>
      </w:r>
      <w:r>
        <w:rPr>
          <w:rFonts w:ascii="Times New Roman;serif" w:hAnsi="Times New Roman;serif"/>
          <w:b/>
          <w:color w:val="000000"/>
          <w:sz w:val="20"/>
          <w:u w:val="single"/>
        </w:rPr>
        <w:t>SUMMARY</w:t>
      </w:r>
    </w:p>
    <w:p>
      <w:pPr>
        <w:pStyle w:val="TextBody"/>
        <w:bidi w:val="0"/>
        <w:spacing w:before="139" w:after="283"/>
        <w:jc w:val="left"/>
        <w:rPr/>
      </w:pPr>
      <w:r>
        <w:rPr/>
      </w:r>
    </w:p>
    <w:tbl>
      <w:tblPr>
        <w:tblW w:w="10205" w:type="dxa"/>
        <w:jc w:val="left"/>
        <w:tblInd w:w="0" w:type="dxa"/>
        <w:tblLayout w:type="fixed"/>
        <w:tblCellMar>
          <w:top w:w="28" w:type="dxa"/>
          <w:left w:w="28" w:type="dxa"/>
          <w:bottom w:w="28" w:type="dxa"/>
          <w:right w:w="28" w:type="dxa"/>
        </w:tblCellMar>
      </w:tblPr>
      <w:tblGrid>
        <w:gridCol w:w="345"/>
        <w:gridCol w:w="304"/>
        <w:gridCol w:w="306"/>
        <w:gridCol w:w="380"/>
        <w:gridCol w:w="380"/>
        <w:gridCol w:w="381"/>
        <w:gridCol w:w="2001"/>
        <w:gridCol w:w="1775"/>
        <w:gridCol w:w="1779"/>
        <w:gridCol w:w="406"/>
        <w:gridCol w:w="406"/>
        <w:gridCol w:w="411"/>
        <w:gridCol w:w="406"/>
        <w:gridCol w:w="381"/>
        <w:gridCol w:w="544"/>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2" w:after="283"/>
              <w:jc w:val="left"/>
              <w:rPr>
                <w:rFonts w:ascii="Times New Roman;serif" w:hAnsi="Times New Roman;serif"/>
                <w:b/>
                <w:color w:val="000000"/>
                <w:sz w:val="20"/>
              </w:rPr>
            </w:pPr>
            <w:r>
              <w:rPr>
                <w:rFonts w:ascii="Times New Roman;serif" w:hAnsi="Times New Roman;serif"/>
                <w:b/>
                <w:color w:val="000000"/>
                <w:sz w:val="20"/>
              </w:rPr>
              <w:t>Payment Form</w:t>
            </w:r>
          </w:p>
        </w:tc>
        <w:tc>
          <w:tcPr>
            <w:tcW w:w="1141"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Maximum Allocation</w:t>
            </w:r>
          </w:p>
        </w:tc>
        <w:tc>
          <w:tcPr>
            <w:tcW w:w="5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2" w:after="283"/>
              <w:jc w:val="left"/>
              <w:rPr>
                <w:rFonts w:ascii="Times New Roman;serif" w:hAnsi="Times New Roman;serif"/>
                <w:b/>
                <w:color w:val="000000"/>
                <w:sz w:val="20"/>
              </w:rPr>
            </w:pPr>
            <w:r>
              <w:rPr>
                <w:rFonts w:ascii="Times New Roman;serif" w:hAnsi="Times New Roman;serif"/>
                <w:b/>
                <w:color w:val="000000"/>
                <w:sz w:val="20"/>
              </w:rPr>
              <w:t>Payment</w:t>
            </w:r>
          </w:p>
          <w:p>
            <w:pPr>
              <w:pStyle w:val="TableContents"/>
              <w:bidi w:val="0"/>
              <w:spacing w:lineRule="auto" w:line="288" w:before="1" w:after="283"/>
              <w:jc w:val="left"/>
              <w:rPr/>
            </w:pPr>
            <w:r>
              <w:rPr>
                <w:rFonts w:ascii="Times New Roman;serif" w:hAnsi="Times New Roman;serif"/>
                <w:b/>
                <w:color w:val="000000"/>
                <w:sz w:val="20"/>
              </w:rPr>
              <w:t>Timing</w:t>
            </w:r>
            <w:r>
              <w:rPr>
                <w:color w:val="000000"/>
              </w:rPr>
              <w:t xml:space="preserve"> </w:t>
            </w:r>
            <w:r>
              <w:rPr>
                <w:rFonts w:ascii="Times New Roman;serif" w:hAnsi="Times New Roman;serif"/>
                <w:b/>
                <w:color w:val="000000"/>
                <w:sz w:val="20"/>
              </w:rPr>
              <w:t>/Transfer</w:t>
            </w:r>
            <w:r>
              <w:rPr>
                <w:color w:val="000000"/>
              </w:rPr>
              <w:t xml:space="preserve"> </w:t>
            </w:r>
            <w:r>
              <w:rPr>
                <w:rFonts w:ascii="Times New Roman;serif" w:hAnsi="Times New Roman;serif"/>
                <w:b/>
                <w:color w:val="000000"/>
                <w:sz w:val="20"/>
              </w:rPr>
              <w:t>Restrictions</w:t>
            </w:r>
          </w:p>
        </w:tc>
        <w:tc>
          <w:tcPr>
            <w:tcW w:w="12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45" w:after="283"/>
              <w:jc w:val="left"/>
              <w:rPr/>
            </w:pPr>
            <w:r>
              <w:rPr/>
            </w:r>
          </w:p>
          <w:p>
            <w:pPr>
              <w:pStyle w:val="TableContents"/>
              <w:bidi w:val="0"/>
              <w:spacing w:lineRule="atLeast" w:line="210" w:before="0" w:after="0"/>
              <w:jc w:val="left"/>
              <w:rPr>
                <w:rFonts w:ascii="Times New Roman;serif" w:hAnsi="Times New Roman;serif"/>
                <w:b/>
                <w:color w:val="000000"/>
                <w:sz w:val="20"/>
              </w:rPr>
            </w:pPr>
            <w:r>
              <w:rPr>
                <w:rFonts w:ascii="Times New Roman;serif" w:hAnsi="Times New Roman;serif"/>
                <w:b/>
                <w:color w:val="000000"/>
                <w:sz w:val="20"/>
              </w:rPr>
              <w:t>Vesting+</w:t>
            </w:r>
          </w:p>
        </w:tc>
        <w:tc>
          <w:tcPr>
            <w:tcW w:w="1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Default</w:t>
            </w:r>
            <w:r>
              <w:rPr>
                <w:color w:val="000000"/>
              </w:rPr>
              <w:t xml:space="preserve"> </w:t>
            </w:r>
            <w:r>
              <w:rPr>
                <w:rFonts w:ascii="Times New Roman;serif" w:hAnsi="Times New Roman;serif"/>
                <w:b/>
                <w:color w:val="000000"/>
                <w:sz w:val="20"/>
              </w:rPr>
              <w:t>Form</w:t>
            </w:r>
            <w:r>
              <w:rPr>
                <w:color w:val="000000"/>
              </w:rPr>
              <w:t xml:space="preserve"> </w:t>
            </w:r>
            <w:r>
              <w:rPr>
                <w:rFonts w:ascii="Times New Roman;serif" w:hAnsi="Times New Roman;serif"/>
                <w:b/>
                <w:color w:val="000000"/>
                <w:sz w:val="20"/>
              </w:rPr>
              <w:t>of Payment?</w:t>
            </w:r>
          </w:p>
        </w:tc>
      </w:tr>
      <w:tr>
        <w:trPr/>
        <w:tc>
          <w:tcPr>
            <w:tcW w:w="955"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141" w:type="dxa"/>
            <w:gridSpan w:val="3"/>
            <w:tcBorders>
              <w:top w:val="single" w:sz="4" w:space="0" w:color="000000"/>
              <w:left w:val="single" w:sz="4" w:space="0" w:color="000000"/>
            </w:tcBorders>
            <w:tcMar>
              <w:top w:w="30" w:type="dxa"/>
              <w:left w:w="1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$115,000</w:t>
            </w:r>
          </w:p>
        </w:tc>
        <w:tc>
          <w:tcPr>
            <w:tcW w:w="55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Lump sum following annual shareholders meeting.</w:t>
            </w:r>
            <w:r>
              <w:rPr>
                <w:color w:val="000000"/>
              </w:rPr>
              <w:t xml:space="preserve"> </w:t>
            </w:r>
            <w:r>
              <w:rPr>
                <w:rFonts w:ascii="Times New Roman;serif" w:hAnsi="Times New Roman;serif"/>
                <w:b w:val="false"/>
                <w:color w:val="000000"/>
                <w:sz w:val="20"/>
              </w:rPr>
              <w:t>A director appointed</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than</w:t>
            </w:r>
            <w:r>
              <w:rPr>
                <w:color w:val="000000"/>
              </w:rPr>
              <w:t xml:space="preserve"> </w:t>
            </w:r>
            <w:r>
              <w:rPr>
                <w:rFonts w:ascii="Times New Roman;serif" w:hAnsi="Times New Roman;serif"/>
                <w:b w:val="false"/>
                <w:color w:val="000000"/>
                <w:sz w:val="20"/>
              </w:rPr>
              <w:t>pursuant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election at</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annual</w:t>
            </w:r>
            <w:r>
              <w:rPr>
                <w:color w:val="000000"/>
              </w:rPr>
              <w:t xml:space="preserve"> </w:t>
            </w:r>
            <w:r>
              <w:rPr>
                <w:rFonts w:ascii="Times New Roman;serif" w:hAnsi="Times New Roman;serif"/>
                <w:b w:val="false"/>
                <w:color w:val="000000"/>
                <w:sz w:val="20"/>
              </w:rPr>
              <w:t>meeting shall</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entitled</w:t>
            </w:r>
            <w:r>
              <w:rPr>
                <w:color w:val="000000"/>
              </w:rPr>
              <w:t xml:space="preserve"> </w:t>
            </w:r>
            <w:r>
              <w:rPr>
                <w:rFonts w:ascii="Times New Roman;serif" w:hAnsi="Times New Roman;serif"/>
                <w:b w:val="false"/>
                <w:color w:val="000000"/>
                <w:sz w:val="20"/>
              </w:rPr>
              <w:t>to pro-rated</w:t>
            </w:r>
            <w:r>
              <w:rPr>
                <w:color w:val="000000"/>
              </w:rPr>
              <w:t xml:space="preserve"> </w:t>
            </w:r>
            <w:r>
              <w:rPr>
                <w:rFonts w:ascii="Times New Roman;serif" w:hAnsi="Times New Roman;serif"/>
                <w:b w:val="false"/>
                <w:color w:val="000000"/>
                <w:sz w:val="20"/>
              </w:rPr>
              <w:t>payment of</w:t>
            </w:r>
            <w:r>
              <w:rPr>
                <w:color w:val="000000"/>
              </w:rPr>
              <w:t xml:space="preserve"> </w:t>
            </w:r>
            <w:r>
              <w:rPr>
                <w:rFonts w:ascii="Times New Roman;serif" w:hAnsi="Times New Roman;serif"/>
                <w:b w:val="false"/>
                <w:color w:val="000000"/>
                <w:sz w:val="20"/>
              </w:rPr>
              <w:t>the annual retainer fee for the partial year of service, payable in a lump sum upon his or her commencement of</w:t>
            </w:r>
            <w:r>
              <w:rPr>
                <w:color w:val="000000"/>
              </w:rPr>
              <w:t xml:space="preserve"> </w:t>
            </w:r>
            <w:r>
              <w:rPr>
                <w:rFonts w:ascii="Times New Roman;serif" w:hAnsi="Times New Roman;serif"/>
                <w:b w:val="false"/>
                <w:color w:val="000000"/>
                <w:sz w:val="20"/>
              </w:rPr>
              <w:t>service on</w:t>
            </w:r>
            <w:r>
              <w:rPr>
                <w:color w:val="000000"/>
              </w:rPr>
              <w:t xml:space="preserve"> </w:t>
            </w:r>
            <w:r>
              <w:rPr>
                <w:rFonts w:ascii="Times New Roman;serif" w:hAnsi="Times New Roman;serif"/>
                <w:b w:val="false"/>
                <w:color w:val="000000"/>
                <w:sz w:val="20"/>
              </w:rPr>
              <w:t>the Board.</w:t>
            </w:r>
          </w:p>
        </w:tc>
        <w:tc>
          <w:tcPr>
            <w:tcW w:w="12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applicable.</w:t>
            </w:r>
          </w:p>
        </w:tc>
        <w:tc>
          <w:tcPr>
            <w:tcW w:w="1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Yes</w:t>
            </w:r>
          </w:p>
          <w:p>
            <w:pPr>
              <w:pStyle w:val="TableContents"/>
              <w:bidi w:val="0"/>
              <w:spacing w:lineRule="auto" w:line="288" w:before="0" w:after="0"/>
              <w:jc w:val="left"/>
              <w:rPr/>
            </w:pP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$115,000</w:t>
            </w:r>
            <w:r>
              <w:rPr>
                <w:color w:val="000000"/>
              </w:rPr>
              <w:t xml:space="preserve"> </w:t>
            </w:r>
            <w:r>
              <w:rPr>
                <w:rFonts w:ascii="Times New Roman;serif" w:hAnsi="Times New Roman;serif"/>
                <w:b w:val="false"/>
                <w:color w:val="000000"/>
                <w:sz w:val="20"/>
              </w:rPr>
              <w:t>of the $340,000 retainer)</w:t>
            </w:r>
          </w:p>
        </w:tc>
      </w:tr>
      <w:tr>
        <w:trPr/>
        <w:tc>
          <w:tcPr>
            <w:tcW w:w="955"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DTAs</w:t>
            </w:r>
          </w:p>
        </w:tc>
        <w:tc>
          <w:tcPr>
            <w:tcW w:w="1141"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$225,000*</w:t>
            </w:r>
          </w:p>
        </w:tc>
        <w:tc>
          <w:tcPr>
            <w:tcW w:w="55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after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date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p>
          <w:p>
            <w:pPr>
              <w:pStyle w:val="TableContents"/>
              <w:bidi w:val="0"/>
              <w:spacing w:lineRule="auto" w:line="288" w:before="0" w:after="0"/>
              <w:jc w:val="left"/>
              <w:rPr/>
            </w:pPr>
            <w:r>
              <w:rPr>
                <w:rFonts w:ascii="Times New Roman;serif" w:hAnsi="Times New Roman;serif"/>
                <w:b w:val="false"/>
                <w:color w:val="000000"/>
                <w:sz w:val="20"/>
              </w:rPr>
              <w:t>Company’s annual shareholders meeting and settling in Class C Shares following vesting.</w:t>
            </w:r>
            <w:r>
              <w:rPr>
                <w:color w:val="000000"/>
              </w:rPr>
              <w:t xml:space="preserve"> </w:t>
            </w:r>
            <w:r>
              <w:rPr>
                <w:rFonts w:ascii="Times New Roman;serif" w:hAnsi="Times New Roman;serif"/>
                <w:b w:val="false"/>
                <w:color w:val="000000"/>
                <w:sz w:val="20"/>
              </w:rPr>
              <w:t>A director appointed other than pursuant to election at the annual</w:t>
            </w:r>
            <w:r>
              <w:rPr>
                <w:color w:val="000000"/>
              </w:rPr>
              <w:t xml:space="preserve"> </w:t>
            </w:r>
            <w:r>
              <w:rPr>
                <w:rFonts w:ascii="Times New Roman;serif" w:hAnsi="Times New Roman;serif"/>
                <w:b w:val="false"/>
                <w:color w:val="000000"/>
                <w:sz w:val="20"/>
              </w:rPr>
              <w:t>meeting shall be entitled to the pro-rated portion of the annual DTA grant for the partial year of service, payable on or</w:t>
            </w:r>
            <w:r>
              <w:rPr>
                <w:color w:val="000000"/>
              </w:rPr>
              <w:t xml:space="preserve"> </w:t>
            </w:r>
            <w:r>
              <w:rPr>
                <w:rFonts w:ascii="Times New Roman;serif" w:hAnsi="Times New Roman;serif"/>
                <w:b w:val="false"/>
                <w:color w:val="000000"/>
                <w:sz w:val="20"/>
              </w:rPr>
              <w:t>after</w:t>
            </w:r>
            <w:r>
              <w:rPr>
                <w:color w:val="000000"/>
              </w:rPr>
              <w:t xml:space="preserve"> </w:t>
            </w:r>
            <w:r>
              <w:rPr>
                <w:rFonts w:ascii="Times New Roman;serif" w:hAnsi="Times New Roman;serif"/>
                <w:b w:val="false"/>
                <w:color w:val="000000"/>
                <w:sz w:val="20"/>
              </w:rPr>
              <w:t>his</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her</w:t>
            </w:r>
            <w:r>
              <w:rPr>
                <w:color w:val="000000"/>
              </w:rPr>
              <w:t xml:space="preserve"> </w:t>
            </w:r>
            <w:r>
              <w:rPr>
                <w:rFonts w:ascii="Times New Roman;serif" w:hAnsi="Times New Roman;serif"/>
                <w:b w:val="false"/>
                <w:color w:val="000000"/>
                <w:sz w:val="20"/>
              </w:rPr>
              <w:t>commencement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service on the Board.</w:t>
            </w:r>
          </w:p>
          <w:p>
            <w:pPr>
              <w:pStyle w:val="TableContents"/>
              <w:bidi w:val="0"/>
              <w:spacing w:before="1" w:after="283"/>
              <w:jc w:val="left"/>
              <w:rPr/>
            </w:pPr>
            <w:r>
              <w:rPr/>
            </w:r>
          </w:p>
          <w:p>
            <w:pPr>
              <w:pStyle w:val="TableContents"/>
              <w:bidi w:val="0"/>
              <w:spacing w:lineRule="auto" w:line="288" w:before="0" w:after="0"/>
              <w:jc w:val="both"/>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Class</w:t>
            </w:r>
            <w:r>
              <w:rPr>
                <w:color w:val="000000"/>
              </w:rPr>
              <w:t xml:space="preserve"> </w:t>
            </w: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Shares</w:t>
            </w:r>
            <w:r>
              <w:rPr>
                <w:color w:val="000000"/>
              </w:rPr>
              <w:t xml:space="preserve"> </w:t>
            </w:r>
            <w:r>
              <w:rPr>
                <w:rFonts w:ascii="Times New Roman;serif" w:hAnsi="Times New Roman;serif"/>
                <w:b w:val="false"/>
                <w:color w:val="000000"/>
                <w:sz w:val="20"/>
              </w:rPr>
              <w:t>previously</w:t>
            </w:r>
            <w:r>
              <w:rPr>
                <w:color w:val="000000"/>
              </w:rPr>
              <w:t xml:space="preserve"> </w:t>
            </w:r>
            <w:r>
              <w:rPr>
                <w:rFonts w:ascii="Times New Roman;serif" w:hAnsi="Times New Roman;serif"/>
                <w:b w:val="false"/>
                <w:color w:val="000000"/>
                <w:sz w:val="20"/>
              </w:rPr>
              <w:t>received in</w:t>
            </w:r>
            <w:r>
              <w:rPr>
                <w:color w:val="000000"/>
              </w:rPr>
              <w:t xml:space="preserve"> </w:t>
            </w:r>
            <w:r>
              <w:rPr>
                <w:rFonts w:ascii="Times New Roman;serif" w:hAnsi="Times New Roman;serif"/>
                <w:b w:val="false"/>
                <w:color w:val="000000"/>
                <w:sz w:val="20"/>
              </w:rPr>
              <w:t>settlement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DTAs</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subject</w:t>
            </w:r>
            <w:r>
              <w:rPr>
                <w:color w:val="000000"/>
              </w:rPr>
              <w:t xml:space="preserve"> </w:t>
            </w:r>
            <w:r>
              <w:rPr>
                <w:rFonts w:ascii="Times New Roman;serif" w:hAnsi="Times New Roman;serif"/>
                <w:b w:val="false"/>
                <w:color w:val="000000"/>
                <w:sz w:val="20"/>
              </w:rPr>
              <w:t>to certain restrictions as set forth in the</w:t>
            </w:r>
          </w:p>
          <w:p>
            <w:pPr>
              <w:pStyle w:val="TableContents"/>
              <w:bidi w:val="0"/>
              <w:spacing w:lineRule="auto" w:line="288" w:before="1" w:after="283"/>
              <w:jc w:val="left"/>
              <w:rPr/>
            </w:pPr>
            <w:r>
              <w:rPr>
                <w:rFonts w:ascii="Times New Roman;serif" w:hAnsi="Times New Roman;serif"/>
                <w:b w:val="false"/>
                <w:color w:val="000000"/>
                <w:sz w:val="20"/>
              </w:rPr>
              <w:t>Company’s Second Amended and Restated</w:t>
            </w:r>
            <w:r>
              <w:rPr>
                <w:color w:val="000000"/>
              </w:rPr>
              <w:t xml:space="preserve"> </w:t>
            </w:r>
            <w:r>
              <w:rPr>
                <w:rFonts w:ascii="Times New Roman;serif" w:hAnsi="Times New Roman;serif"/>
                <w:b w:val="false"/>
                <w:color w:val="000000"/>
                <w:sz w:val="20"/>
              </w:rPr>
              <w:t>Management</w:t>
            </w:r>
            <w:r>
              <w:rPr>
                <w:color w:val="000000"/>
              </w:rPr>
              <w:t xml:space="preserve"> </w:t>
            </w:r>
            <w:r>
              <w:rPr>
                <w:rFonts w:ascii="Times New Roman;serif" w:hAnsi="Times New Roman;serif"/>
                <w:b w:val="false"/>
                <w:color w:val="000000"/>
                <w:sz w:val="20"/>
              </w:rPr>
              <w:t>Stockholders Agreement.</w:t>
            </w:r>
          </w:p>
        </w:tc>
        <w:tc>
          <w:tcPr>
            <w:tcW w:w="122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Cliff vesting after</w:t>
            </w:r>
            <w:r>
              <w:rPr>
                <w:color w:val="000000"/>
              </w:rPr>
              <w:t xml:space="preserve"> </w:t>
            </w:r>
            <w:r>
              <w:rPr>
                <w:rFonts w:ascii="Times New Roman;serif" w:hAnsi="Times New Roman;serif"/>
                <w:b w:val="false"/>
                <w:color w:val="000000"/>
                <w:sz w:val="20"/>
              </w:rPr>
              <w:t>one</w:t>
            </w:r>
            <w:r>
              <w:rPr>
                <w:color w:val="000000"/>
              </w:rPr>
              <w:t xml:space="preserve"> </w:t>
            </w:r>
            <w:r>
              <w:rPr>
                <w:rFonts w:ascii="Times New Roman;serif" w:hAnsi="Times New Roman;serif"/>
                <w:b w:val="false"/>
                <w:color w:val="000000"/>
                <w:sz w:val="20"/>
              </w:rPr>
              <w:t>year.</w:t>
            </w:r>
          </w:p>
        </w:tc>
        <w:tc>
          <w:tcPr>
            <w:tcW w:w="133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Yes</w:t>
            </w:r>
          </w:p>
          <w:p>
            <w:pPr>
              <w:pStyle w:val="TableContents"/>
              <w:bidi w:val="0"/>
              <w:spacing w:lineRule="auto" w:line="288" w:before="0" w:after="0"/>
              <w:jc w:val="left"/>
              <w:rPr/>
            </w:pP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$225,000</w:t>
            </w:r>
            <w:r>
              <w:rPr>
                <w:color w:val="000000"/>
              </w:rPr>
              <w:t xml:space="preserve"> </w:t>
            </w:r>
            <w:r>
              <w:rPr>
                <w:rFonts w:ascii="Times New Roman;serif" w:hAnsi="Times New Roman;serif"/>
                <w:b w:val="false"/>
                <w:color w:val="000000"/>
                <w:sz w:val="20"/>
              </w:rPr>
              <w:t>of the $340,000 retainer)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6" w:after="283"/>
        <w:jc w:val="left"/>
        <w:rPr/>
      </w:pPr>
      <w:r>
        <w:rPr/>
      </w:r>
    </w:p>
    <w:p>
      <w:pPr>
        <w:pStyle w:val="TextBody"/>
        <w:bidi w:val="0"/>
        <w:spacing w:lineRule="auto" w:line="288" w:before="1" w:after="283"/>
        <w:jc w:val="center"/>
        <w:rPr/>
      </w:pP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5"/>
        <w:gridCol w:w="294"/>
        <w:gridCol w:w="296"/>
        <w:gridCol w:w="363"/>
        <w:gridCol w:w="363"/>
        <w:gridCol w:w="364"/>
        <w:gridCol w:w="1830"/>
        <w:gridCol w:w="1803"/>
        <w:gridCol w:w="1807"/>
        <w:gridCol w:w="396"/>
        <w:gridCol w:w="303"/>
        <w:gridCol w:w="304"/>
        <w:gridCol w:w="509"/>
        <w:gridCol w:w="509"/>
        <w:gridCol w:w="729"/>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9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2" w:after="283"/>
              <w:jc w:val="left"/>
              <w:rPr>
                <w:rFonts w:ascii="Times New Roman;serif" w:hAnsi="Times New Roman;serif"/>
                <w:b/>
                <w:color w:val="000000"/>
                <w:sz w:val="20"/>
              </w:rPr>
            </w:pPr>
            <w:r>
              <w:rPr>
                <w:rFonts w:ascii="Times New Roman;serif" w:hAnsi="Times New Roman;serif"/>
                <w:b/>
                <w:color w:val="000000"/>
                <w:sz w:val="20"/>
              </w:rPr>
              <w:t>Payment Form</w:t>
            </w:r>
          </w:p>
        </w:tc>
        <w:tc>
          <w:tcPr>
            <w:tcW w:w="1090"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Maximum Allocation</w:t>
            </w:r>
          </w:p>
        </w:tc>
        <w:tc>
          <w:tcPr>
            <w:tcW w:w="54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2" w:after="283"/>
              <w:jc w:val="left"/>
              <w:rPr>
                <w:rFonts w:ascii="Times New Roman;serif" w:hAnsi="Times New Roman;serif"/>
                <w:b/>
                <w:color w:val="000000"/>
                <w:sz w:val="20"/>
              </w:rPr>
            </w:pPr>
            <w:r>
              <w:rPr>
                <w:rFonts w:ascii="Times New Roman;serif" w:hAnsi="Times New Roman;serif"/>
                <w:b/>
                <w:color w:val="000000"/>
                <w:sz w:val="20"/>
              </w:rPr>
              <w:t>Payment</w:t>
            </w:r>
          </w:p>
          <w:p>
            <w:pPr>
              <w:pStyle w:val="TableContents"/>
              <w:bidi w:val="0"/>
              <w:spacing w:lineRule="auto" w:line="288" w:before="0" w:after="0"/>
              <w:jc w:val="left"/>
              <w:rPr/>
            </w:pPr>
            <w:r>
              <w:rPr>
                <w:rFonts w:ascii="Times New Roman;serif" w:hAnsi="Times New Roman;serif"/>
                <w:b/>
                <w:color w:val="000000"/>
                <w:sz w:val="20"/>
              </w:rPr>
              <w:t>Timing</w:t>
            </w:r>
            <w:r>
              <w:rPr>
                <w:color w:val="000000"/>
              </w:rPr>
              <w:t xml:space="preserve"> </w:t>
            </w:r>
            <w:r>
              <w:rPr>
                <w:rFonts w:ascii="Times New Roman;serif" w:hAnsi="Times New Roman;serif"/>
                <w:b/>
                <w:color w:val="000000"/>
                <w:sz w:val="20"/>
              </w:rPr>
              <w:t>/Transfer</w:t>
            </w:r>
            <w:r>
              <w:rPr>
                <w:color w:val="000000"/>
              </w:rPr>
              <w:t xml:space="preserve"> </w:t>
            </w:r>
            <w:r>
              <w:rPr>
                <w:rFonts w:ascii="Times New Roman;serif" w:hAnsi="Times New Roman;serif"/>
                <w:b/>
                <w:color w:val="000000"/>
                <w:sz w:val="20"/>
              </w:rPr>
              <w:t>Restrictions</w:t>
            </w:r>
          </w:p>
        </w:tc>
        <w:tc>
          <w:tcPr>
            <w:tcW w:w="10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44" w:after="283"/>
              <w:jc w:val="left"/>
              <w:rPr/>
            </w:pPr>
            <w:r>
              <w:rPr/>
            </w:r>
          </w:p>
          <w:p>
            <w:pPr>
              <w:pStyle w:val="TableContents"/>
              <w:bidi w:val="0"/>
              <w:spacing w:lineRule="atLeast" w:line="210" w:before="0" w:after="0"/>
              <w:jc w:val="left"/>
              <w:rPr>
                <w:rFonts w:ascii="Times New Roman;serif" w:hAnsi="Times New Roman;serif"/>
                <w:b/>
                <w:color w:val="000000"/>
                <w:sz w:val="20"/>
              </w:rPr>
            </w:pPr>
            <w:r>
              <w:rPr>
                <w:rFonts w:ascii="Times New Roman;serif" w:hAnsi="Times New Roman;serif"/>
                <w:b/>
                <w:color w:val="000000"/>
                <w:sz w:val="20"/>
              </w:rPr>
              <w:t>Vesting+</w:t>
            </w:r>
          </w:p>
        </w:tc>
        <w:tc>
          <w:tcPr>
            <w:tcW w:w="17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Default</w:t>
            </w:r>
            <w:r>
              <w:rPr>
                <w:color w:val="000000"/>
              </w:rPr>
              <w:t xml:space="preserve"> </w:t>
            </w:r>
            <w:r>
              <w:rPr>
                <w:rFonts w:ascii="Times New Roman;serif" w:hAnsi="Times New Roman;serif"/>
                <w:b/>
                <w:color w:val="000000"/>
                <w:sz w:val="20"/>
              </w:rPr>
              <w:t>Form</w:t>
            </w:r>
            <w:r>
              <w:rPr>
                <w:color w:val="000000"/>
              </w:rPr>
              <w:t xml:space="preserve"> </w:t>
            </w:r>
            <w:r>
              <w:rPr>
                <w:rFonts w:ascii="Times New Roman;serif" w:hAnsi="Times New Roman;serif"/>
                <w:b/>
                <w:color w:val="000000"/>
                <w:sz w:val="20"/>
              </w:rPr>
              <w:t>of Payment?</w:t>
            </w:r>
          </w:p>
        </w:tc>
      </w:tr>
      <w:tr>
        <w:trPr/>
        <w:tc>
          <w:tcPr>
            <w:tcW w:w="925"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DSUs</w:t>
            </w:r>
          </w:p>
        </w:tc>
        <w:tc>
          <w:tcPr>
            <w:tcW w:w="1090"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$340,000*</w:t>
            </w:r>
          </w:p>
        </w:tc>
        <w:tc>
          <w:tcPr>
            <w:tcW w:w="54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after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date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p>
          <w:p>
            <w:pPr>
              <w:pStyle w:val="TableContents"/>
              <w:bidi w:val="0"/>
              <w:spacing w:lineRule="auto" w:line="288" w:before="1" w:after="283"/>
              <w:jc w:val="left"/>
              <w:rPr/>
            </w:pPr>
            <w:r>
              <w:rPr>
                <w:rFonts w:ascii="Times New Roman;serif" w:hAnsi="Times New Roman;serif"/>
                <w:b w:val="false"/>
                <w:color w:val="000000"/>
                <w:sz w:val="20"/>
              </w:rPr>
              <w:t>Company’s</w:t>
            </w:r>
            <w:r>
              <w:rPr>
                <w:color w:val="000000"/>
              </w:rPr>
              <w:t xml:space="preserve"> </w:t>
            </w:r>
            <w:r>
              <w:rPr>
                <w:rFonts w:ascii="Times New Roman;serif" w:hAnsi="Times New Roman;serif"/>
                <w:b w:val="false"/>
                <w:color w:val="000000"/>
                <w:sz w:val="20"/>
              </w:rPr>
              <w:t>annual</w:t>
            </w:r>
            <w:r>
              <w:rPr>
                <w:color w:val="000000"/>
              </w:rPr>
              <w:t xml:space="preserve"> </w:t>
            </w:r>
            <w:r>
              <w:rPr>
                <w:rFonts w:ascii="Times New Roman;serif" w:hAnsi="Times New Roman;serif"/>
                <w:b w:val="false"/>
                <w:color w:val="000000"/>
                <w:sz w:val="20"/>
              </w:rPr>
              <w:t>shareholders</w:t>
            </w:r>
            <w:r>
              <w:rPr>
                <w:color w:val="000000"/>
              </w:rPr>
              <w:t xml:space="preserve"> </w:t>
            </w:r>
            <w:r>
              <w:rPr>
                <w:rFonts w:ascii="Times New Roman;serif" w:hAnsi="Times New Roman;serif"/>
                <w:b w:val="false"/>
                <w:color w:val="000000"/>
                <w:sz w:val="20"/>
              </w:rPr>
              <w:t>meeting (or, if a director is appointed other than pursuant to election at the annual meeting, at a time following such appointment determined by the Board that is compliant with Internal Revenue Code</w:t>
            </w:r>
            <w:r>
              <w:rPr>
                <w:color w:val="000000"/>
              </w:rPr>
              <w:t xml:space="preserve"> </w:t>
            </w:r>
            <w:r>
              <w:rPr>
                <w:rFonts w:ascii="Times New Roman;serif" w:hAnsi="Times New Roman;serif"/>
                <w:b w:val="false"/>
                <w:color w:val="000000"/>
                <w:sz w:val="20"/>
              </w:rPr>
              <w:t>Section 409A)</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settled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Class C Shares on the earlier of (i) the termination of service as a director for any reason and (ii) a Change in Control (as defined in the Plan) that also constitutes a “change in control event” under Internal Revenue Code Section 409A regulations.</w:t>
            </w:r>
          </w:p>
        </w:tc>
        <w:tc>
          <w:tcPr>
            <w:tcW w:w="10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Cliff vesting after</w:t>
            </w:r>
            <w:r>
              <w:rPr>
                <w:color w:val="000000"/>
              </w:rPr>
              <w:t xml:space="preserve"> </w:t>
            </w:r>
            <w:r>
              <w:rPr>
                <w:rFonts w:ascii="Times New Roman;serif" w:hAnsi="Times New Roman;serif"/>
                <w:b w:val="false"/>
                <w:color w:val="000000"/>
                <w:sz w:val="20"/>
              </w:rPr>
              <w:t>one</w:t>
            </w:r>
            <w:r>
              <w:rPr>
                <w:color w:val="000000"/>
              </w:rPr>
              <w:t xml:space="preserve"> </w:t>
            </w:r>
            <w:r>
              <w:rPr>
                <w:rFonts w:ascii="Times New Roman;serif" w:hAnsi="Times New Roman;serif"/>
                <w:b w:val="false"/>
                <w:color w:val="000000"/>
                <w:sz w:val="20"/>
              </w:rPr>
              <w:t>year.</w:t>
            </w:r>
          </w:p>
        </w:tc>
        <w:tc>
          <w:tcPr>
            <w:tcW w:w="17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p>
            <w:pPr>
              <w:pStyle w:val="TableContents"/>
              <w:bidi w:val="0"/>
              <w:spacing w:lineRule="auto" w:line="288" w:before="1" w:after="283"/>
              <w:jc w:val="left"/>
              <w:rPr/>
            </w:pPr>
            <w:r>
              <w:rPr>
                <w:rFonts w:ascii="Times New Roman;serif" w:hAnsi="Times New Roman;serif"/>
                <w:b w:val="false"/>
                <w:color w:val="000000"/>
                <w:sz w:val="20"/>
              </w:rPr>
              <w:t>(Director</w:t>
            </w:r>
            <w:r>
              <w:rPr>
                <w:color w:val="000000"/>
              </w:rPr>
              <w:t xml:space="preserve"> </w:t>
            </w:r>
            <w:r>
              <w:rPr>
                <w:rFonts w:ascii="Times New Roman;serif" w:hAnsi="Times New Roman;serif"/>
                <w:b w:val="false"/>
                <w:color w:val="000000"/>
                <w:sz w:val="20"/>
              </w:rPr>
              <w:t>may elect to receive all</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portion</w:t>
            </w:r>
            <w:r>
              <w:rPr>
                <w:color w:val="000000"/>
              </w:rPr>
              <w:t xml:space="preserve"> </w:t>
            </w:r>
            <w:r>
              <w:rPr>
                <w:rFonts w:ascii="Times New Roman;serif" w:hAnsi="Times New Roman;serif"/>
                <w:b w:val="false"/>
                <w:color w:val="000000"/>
                <w:sz w:val="20"/>
              </w:rPr>
              <w:t>of each of the Annual Cash Retainer and the DTAs as DSUs)</w:t>
            </w:r>
          </w:p>
        </w:tc>
      </w:tr>
      <w:tr>
        <w:trPr/>
        <w:tc>
          <w:tcPr>
            <w:tcW w:w="925"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w:t>
            </w:r>
          </w:p>
        </w:tc>
        <w:tc>
          <w:tcPr>
            <w:tcW w:w="1090"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$115,000*</w:t>
            </w:r>
          </w:p>
        </w:tc>
        <w:tc>
          <w:tcPr>
            <w:tcW w:w="54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after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date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p>
          <w:p>
            <w:pPr>
              <w:pStyle w:val="TableContents"/>
              <w:bidi w:val="0"/>
              <w:spacing w:lineRule="auto" w:line="288" w:before="0" w:after="0"/>
              <w:jc w:val="left"/>
              <w:rPr/>
            </w:pPr>
            <w:r>
              <w:rPr>
                <w:rFonts w:ascii="Times New Roman;serif" w:hAnsi="Times New Roman;serif"/>
                <w:b w:val="false"/>
                <w:color w:val="000000"/>
                <w:sz w:val="20"/>
              </w:rPr>
              <w:t>Company’s</w:t>
            </w:r>
            <w:r>
              <w:rPr>
                <w:color w:val="000000"/>
              </w:rPr>
              <w:t xml:space="preserve"> </w:t>
            </w:r>
            <w:r>
              <w:rPr>
                <w:rFonts w:ascii="Times New Roman;serif" w:hAnsi="Times New Roman;serif"/>
                <w:b w:val="false"/>
                <w:color w:val="000000"/>
                <w:sz w:val="20"/>
              </w:rPr>
              <w:t>annual</w:t>
            </w:r>
            <w:r>
              <w:rPr>
                <w:color w:val="000000"/>
              </w:rPr>
              <w:t xml:space="preserve"> </w:t>
            </w:r>
            <w:r>
              <w:rPr>
                <w:rFonts w:ascii="Times New Roman;serif" w:hAnsi="Times New Roman;serif"/>
                <w:b w:val="false"/>
                <w:color w:val="000000"/>
                <w:sz w:val="20"/>
              </w:rPr>
              <w:t>shareholders</w:t>
            </w:r>
            <w:r>
              <w:rPr>
                <w:color w:val="000000"/>
              </w:rPr>
              <w:t xml:space="preserve"> </w:t>
            </w:r>
            <w:r>
              <w:rPr>
                <w:rFonts w:ascii="Times New Roman;serif" w:hAnsi="Times New Roman;serif"/>
                <w:b w:val="false"/>
                <w:color w:val="000000"/>
                <w:sz w:val="20"/>
              </w:rPr>
              <w:t>meeting (or, if a director is appointed other than pursuant to election at the annual meeting, at a time following such appointment determined by the Board that is compliant with Internal Revenue Code Section 409A).</w:t>
            </w:r>
          </w:p>
        </w:tc>
        <w:tc>
          <w:tcPr>
            <w:tcW w:w="100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Fully vested upon</w:t>
            </w:r>
            <w:r>
              <w:rPr>
                <w:color w:val="000000"/>
              </w:rPr>
              <w:t xml:space="preserve"> </w:t>
            </w:r>
            <w:r>
              <w:rPr>
                <w:rFonts w:ascii="Times New Roman;serif" w:hAnsi="Times New Roman;serif"/>
                <w:b w:val="false"/>
                <w:color w:val="000000"/>
                <w:sz w:val="20"/>
              </w:rPr>
              <w:t>issuance.</w:t>
            </w:r>
          </w:p>
        </w:tc>
        <w:tc>
          <w:tcPr>
            <w:tcW w:w="174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p>
            <w:pPr>
              <w:pStyle w:val="TableContents"/>
              <w:bidi w:val="0"/>
              <w:spacing w:lineRule="auto" w:line="288" w:before="0" w:after="0"/>
              <w:jc w:val="left"/>
              <w:rPr/>
            </w:pPr>
            <w:r>
              <w:rPr>
                <w:rFonts w:ascii="Times New Roman;serif" w:hAnsi="Times New Roman;serif"/>
                <w:b w:val="false"/>
                <w:color w:val="000000"/>
                <w:sz w:val="20"/>
              </w:rPr>
              <w:t>(Director</w:t>
            </w:r>
            <w:r>
              <w:rPr>
                <w:color w:val="000000"/>
              </w:rPr>
              <w:t xml:space="preserve"> </w:t>
            </w:r>
            <w:r>
              <w:rPr>
                <w:rFonts w:ascii="Times New Roman;serif" w:hAnsi="Times New Roman;serif"/>
                <w:b w:val="false"/>
                <w:color w:val="000000"/>
                <w:sz w:val="20"/>
              </w:rPr>
              <w:t>may elect to receive all</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portion</w:t>
            </w:r>
            <w:r>
              <w:rPr>
                <w:color w:val="000000"/>
              </w:rPr>
              <w:t xml:space="preserve"> </w:t>
            </w:r>
            <w:r>
              <w:rPr>
                <w:rFonts w:ascii="Times New Roman;serif" w:hAnsi="Times New Roman;serif"/>
                <w:b w:val="false"/>
                <w:color w:val="000000"/>
                <w:sz w:val="20"/>
              </w:rPr>
              <w:t>of the Annual Cash Retainer as Stock)</w:t>
            </w:r>
          </w:p>
        </w:tc>
      </w:tr>
    </w:tbl>
    <w:p>
      <w:pPr>
        <w:pStyle w:val="TextBody"/>
        <w:bidi w:val="0"/>
        <w:spacing w:before="21"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actual number</w:t>
      </w:r>
      <w:r>
        <w:rPr>
          <w:color w:val="000000"/>
        </w:rPr>
        <w:t xml:space="preserve"> </w:t>
      </w:r>
      <w:r>
        <w:rPr>
          <w:rFonts w:ascii="Times New Roman;serif" w:hAnsi="Times New Roman;serif"/>
          <w:b w:val="false"/>
          <w:color w:val="000000"/>
          <w:sz w:val="20"/>
        </w:rPr>
        <w:t>of DTAs,</w:t>
      </w:r>
      <w:r>
        <w:rPr>
          <w:color w:val="000000"/>
        </w:rPr>
        <w:t xml:space="preserve"> </w:t>
      </w:r>
      <w:r>
        <w:rPr>
          <w:rFonts w:ascii="Times New Roman;serif" w:hAnsi="Times New Roman;serif"/>
          <w:b w:val="false"/>
          <w:color w:val="000000"/>
          <w:sz w:val="20"/>
        </w:rPr>
        <w:t>DSUs</w:t>
      </w:r>
      <w:r>
        <w:rPr>
          <w:color w:val="000000"/>
        </w:rPr>
        <w:t xml:space="preserve"> </w:t>
      </w:r>
      <w:r>
        <w:rPr>
          <w:rFonts w:ascii="Times New Roman;serif" w:hAnsi="Times New Roman;serif"/>
          <w:b w:val="false"/>
          <w:color w:val="000000"/>
          <w:sz w:val="20"/>
        </w:rPr>
        <w:t>and/or</w:t>
      </w:r>
      <w:r>
        <w:rPr>
          <w:color w:val="000000"/>
        </w:rPr>
        <w:t xml:space="preserve"> </w:t>
      </w:r>
      <w:r>
        <w:rPr>
          <w:rFonts w:ascii="Times New Roman;serif" w:hAnsi="Times New Roman;serif"/>
          <w:b w:val="false"/>
          <w:color w:val="000000"/>
          <w:sz w:val="20"/>
        </w:rPr>
        <w:t>shares</w:t>
      </w:r>
      <w:r>
        <w:rPr>
          <w:color w:val="000000"/>
        </w:rPr>
        <w:t xml:space="preserve"> </w:t>
      </w:r>
      <w:r>
        <w:rPr>
          <w:rFonts w:ascii="Times New Roman;serif" w:hAnsi="Times New Roman;serif"/>
          <w:b w:val="false"/>
          <w:color w:val="000000"/>
          <w:sz w:val="20"/>
        </w:rPr>
        <w:t>of Stock</w:t>
      </w:r>
      <w:r>
        <w:rPr>
          <w:color w:val="000000"/>
        </w:rPr>
        <w:t xml:space="preserve"> </w:t>
      </w:r>
      <w:r>
        <w:rPr>
          <w:rFonts w:ascii="Times New Roman;serif" w:hAnsi="Times New Roman;serif"/>
          <w:b w:val="false"/>
          <w:color w:val="000000"/>
          <w:sz w:val="20"/>
        </w:rPr>
        <w:t>that</w:t>
      </w:r>
      <w:r>
        <w:rPr>
          <w:color w:val="000000"/>
        </w:rPr>
        <w:t xml:space="preserve"> </w:t>
      </w:r>
      <w:r>
        <w:rPr>
          <w:rFonts w:ascii="Times New Roman;serif" w:hAnsi="Times New Roman;serif"/>
          <w:b w:val="false"/>
          <w:color w:val="000000"/>
          <w:sz w:val="20"/>
        </w:rPr>
        <w:t>will</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granted will be</w:t>
      </w:r>
      <w:r>
        <w:rPr>
          <w:color w:val="000000"/>
        </w:rPr>
        <w:t xml:space="preserve"> </w:t>
      </w:r>
      <w:r>
        <w:rPr>
          <w:rFonts w:ascii="Times New Roman;serif" w:hAnsi="Times New Roman;serif"/>
          <w:b w:val="false"/>
          <w:color w:val="000000"/>
          <w:sz w:val="20"/>
        </w:rPr>
        <w:t>determined</w:t>
      </w:r>
      <w:r>
        <w:rPr>
          <w:color w:val="000000"/>
        </w:rPr>
        <w:t xml:space="preserve"> </w:t>
      </w:r>
      <w:r>
        <w:rPr>
          <w:rFonts w:ascii="Times New Roman;serif" w:hAnsi="Times New Roman;serif"/>
          <w:b w:val="false"/>
          <w:color w:val="000000"/>
          <w:sz w:val="20"/>
        </w:rPr>
        <w:t>by dividing</w:t>
      </w:r>
      <w:r>
        <w:rPr>
          <w:color w:val="000000"/>
        </w:rPr>
        <w:t xml:space="preserve"> </w:t>
      </w:r>
      <w:r>
        <w:rPr>
          <w:rFonts w:ascii="Times New Roman;serif" w:hAnsi="Times New Roman;serif"/>
          <w:b w:val="false"/>
          <w:color w:val="000000"/>
          <w:sz w:val="20"/>
        </w:rPr>
        <w:t>the portion of the Annual Board Retainer</w:t>
      </w:r>
      <w:r>
        <w:rPr>
          <w:color w:val="000000"/>
        </w:rPr>
        <w:t xml:space="preserve"> </w:t>
      </w:r>
      <w:r>
        <w:rPr>
          <w:rFonts w:ascii="Times New Roman;serif" w:hAnsi="Times New Roman;serif"/>
          <w:b w:val="false"/>
          <w:color w:val="000000"/>
          <w:sz w:val="20"/>
        </w:rPr>
        <w:t>allocated to such award by the fair market value of Class C Shares.</w:t>
      </w:r>
    </w:p>
    <w:p>
      <w:pPr>
        <w:pStyle w:val="TextBody"/>
        <w:bidi w:val="0"/>
        <w:spacing w:before="11" w:after="283"/>
        <w:jc w:val="left"/>
        <w:rPr/>
      </w:pPr>
      <w:r>
        <w:rPr/>
      </w:r>
    </w:p>
    <w:p>
      <w:pPr>
        <w:pStyle w:val="TextBody"/>
        <w:bidi w:val="0"/>
        <w:spacing w:lineRule="auto" w:line="288" w:before="1" w:after="283"/>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Upon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director’s</w:t>
      </w:r>
      <w:r>
        <w:rPr>
          <w:color w:val="000000"/>
        </w:rPr>
        <w:t xml:space="preserve"> </w:t>
      </w:r>
      <w:r>
        <w:rPr>
          <w:rFonts w:ascii="Times New Roman;serif" w:hAnsi="Times New Roman;serif"/>
          <w:b w:val="false"/>
          <w:color w:val="000000"/>
          <w:sz w:val="20"/>
        </w:rPr>
        <w:t>termination</w:t>
      </w:r>
      <w:r>
        <w:rPr>
          <w:color w:val="000000"/>
        </w:rPr>
        <w:t xml:space="preserve"> </w:t>
      </w:r>
      <w:r>
        <w:rPr>
          <w:rFonts w:ascii="Times New Roman;serif" w:hAnsi="Times New Roman;serif"/>
          <w:b w:val="false"/>
          <w:color w:val="000000"/>
          <w:sz w:val="20"/>
        </w:rPr>
        <w:t>from</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Board:</w:t>
      </w:r>
    </w:p>
    <w:p>
      <w:pPr>
        <w:pStyle w:val="TextBody"/>
        <w:bidi w:val="0"/>
        <w:spacing w:lineRule="auto" w:line="288" w:before="120" w:after="283"/>
        <w:ind w:left="0" w:right="0" w:hanging="720"/>
        <w:jc w:val="left"/>
        <w:rPr/>
      </w:pPr>
      <w:r>
        <w:rPr>
          <w:rFonts w:ascii="Times New Roman;serif" w:hAnsi="Times New Roman;serif"/>
          <w:b w:val="false"/>
          <w:color w:val="000000"/>
          <w:sz w:val="20"/>
        </w:rPr>
        <w:t>Vesting</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unvested</w:t>
      </w:r>
      <w:r>
        <w:rPr>
          <w:color w:val="000000"/>
        </w:rPr>
        <w:t xml:space="preserve"> </w:t>
      </w:r>
      <w:r>
        <w:rPr>
          <w:rFonts w:ascii="Times New Roman;serif" w:hAnsi="Times New Roman;serif"/>
          <w:b w:val="false"/>
          <w:color w:val="000000"/>
          <w:sz w:val="20"/>
        </w:rPr>
        <w:t>awards</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fully</w:t>
      </w:r>
      <w:r>
        <w:rPr>
          <w:color w:val="000000"/>
        </w:rPr>
        <w:t xml:space="preserve"> </w:t>
      </w:r>
      <w:r>
        <w:rPr>
          <w:rFonts w:ascii="Times New Roman;serif" w:hAnsi="Times New Roman;serif"/>
          <w:b w:val="false"/>
          <w:color w:val="000000"/>
          <w:sz w:val="20"/>
        </w:rPr>
        <w:t>accelerated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event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death,</w:t>
      </w:r>
      <w:r>
        <w:rPr>
          <w:color w:val="000000"/>
        </w:rPr>
        <w:t xml:space="preserve"> </w:t>
      </w:r>
      <w:r>
        <w:rPr>
          <w:rFonts w:ascii="Times New Roman;serif" w:hAnsi="Times New Roman;serif"/>
          <w:b w:val="false"/>
          <w:color w:val="000000"/>
          <w:sz w:val="20"/>
        </w:rPr>
        <w:t>permanent</w:t>
      </w:r>
      <w:r>
        <w:rPr>
          <w:color w:val="000000"/>
        </w:rPr>
        <w:t xml:space="preserve"> </w:t>
      </w:r>
      <w:r>
        <w:rPr>
          <w:rFonts w:ascii="Times New Roman;serif" w:hAnsi="Times New Roman;serif"/>
          <w:b w:val="false"/>
          <w:color w:val="000000"/>
          <w:sz w:val="20"/>
        </w:rPr>
        <w:t>disability</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 termination without Cause (as defined in the Plan).</w:t>
      </w:r>
    </w:p>
    <w:p>
      <w:pPr>
        <w:pStyle w:val="TextBody"/>
        <w:bidi w:val="0"/>
        <w:spacing w:lineRule="auto" w:line="288" w:before="120" w:after="283"/>
        <w:ind w:left="0" w:right="0" w:hanging="719"/>
        <w:jc w:val="left"/>
        <w:rPr/>
      </w:pPr>
      <w:r>
        <w:rPr>
          <w:rFonts w:ascii="Times New Roman;serif" w:hAnsi="Times New Roman;serif"/>
          <w:b w:val="false"/>
          <w:color w:val="000000"/>
          <w:sz w:val="20"/>
        </w:rPr>
        <w:t>All</w:t>
      </w:r>
      <w:r>
        <w:rPr>
          <w:color w:val="000000"/>
        </w:rPr>
        <w:t xml:space="preserve"> </w:t>
      </w:r>
      <w:r>
        <w:rPr>
          <w:rFonts w:ascii="Times New Roman;serif" w:hAnsi="Times New Roman;serif"/>
          <w:b w:val="false"/>
          <w:color w:val="000000"/>
          <w:sz w:val="20"/>
        </w:rPr>
        <w:t>unvested</w:t>
      </w:r>
      <w:r>
        <w:rPr>
          <w:color w:val="000000"/>
        </w:rPr>
        <w:t xml:space="preserve"> </w:t>
      </w:r>
      <w:r>
        <w:rPr>
          <w:rFonts w:ascii="Times New Roman;serif" w:hAnsi="Times New Roman;serif"/>
          <w:b w:val="false"/>
          <w:color w:val="000000"/>
          <w:sz w:val="20"/>
        </w:rPr>
        <w:t>equity</w:t>
      </w:r>
      <w:r>
        <w:rPr>
          <w:color w:val="000000"/>
        </w:rPr>
        <w:t xml:space="preserve"> </w:t>
      </w:r>
      <w:r>
        <w:rPr>
          <w:rFonts w:ascii="Times New Roman;serif" w:hAnsi="Times New Roman;serif"/>
          <w:b w:val="false"/>
          <w:color w:val="000000"/>
          <w:sz w:val="20"/>
        </w:rPr>
        <w:t>awards</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forfeited</w:t>
      </w:r>
      <w:r>
        <w:rPr>
          <w:color w:val="000000"/>
        </w:rPr>
        <w:t xml:space="preserve"> </w:t>
      </w:r>
      <w:r>
        <w:rPr>
          <w:rFonts w:ascii="Times New Roman;serif" w:hAnsi="Times New Roman;serif"/>
          <w:b w:val="false"/>
          <w:color w:val="000000"/>
          <w:sz w:val="20"/>
        </w:rPr>
        <w:t>upon</w:t>
      </w:r>
      <w:r>
        <w:rPr>
          <w:color w:val="000000"/>
        </w:rPr>
        <w:t xml:space="preserve"> </w:t>
      </w:r>
      <w:r>
        <w:rPr>
          <w:rFonts w:ascii="Times New Roman;serif" w:hAnsi="Times New Roman;serif"/>
          <w:b w:val="false"/>
          <w:color w:val="000000"/>
          <w:sz w:val="20"/>
        </w:rPr>
        <w:t>termination</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Cause</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defined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Plan).</w:t>
      </w:r>
    </w:p>
    <w:p>
      <w:pPr>
        <w:pStyle w:val="TextBody"/>
        <w:bidi w:val="0"/>
        <w:spacing w:lineRule="auto" w:line="276" w:before="123" w:after="283"/>
        <w:ind w:left="0" w:right="0" w:hanging="720"/>
        <w:jc w:val="left"/>
        <w:rPr/>
      </w:pPr>
      <w:r>
        <w:rPr>
          <w:rFonts w:ascii="Times New Roman;serif" w:hAnsi="Times New Roman;serif"/>
          <w:b w:val="false"/>
          <w:color w:val="000000"/>
          <w:sz w:val="20"/>
        </w:rPr>
        <w:t>Vested</w:t>
      </w:r>
      <w:r>
        <w:rPr>
          <w:color w:val="000000"/>
        </w:rPr>
        <w:t xml:space="preserve"> </w:t>
      </w:r>
      <w:r>
        <w:rPr>
          <w:rFonts w:ascii="Times New Roman;serif" w:hAnsi="Times New Roman;serif"/>
          <w:b w:val="false"/>
          <w:color w:val="000000"/>
          <w:sz w:val="20"/>
        </w:rPr>
        <w:t>Options</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defined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 Plan)</w:t>
      </w:r>
      <w:r>
        <w:rPr>
          <w:color w:val="000000"/>
        </w:rPr>
        <w:t xml:space="preserve"> </w:t>
      </w: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directors</w:t>
      </w:r>
      <w:r>
        <w:rPr>
          <w:color w:val="000000"/>
        </w:rPr>
        <w:t xml:space="preserve"> </w:t>
      </w: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prior</w:t>
      </w:r>
      <w:r>
        <w:rPr>
          <w:color w:val="000000"/>
        </w:rPr>
        <w:t xml:space="preserve"> </w:t>
      </w:r>
      <w:r>
        <w:rPr>
          <w:rFonts w:ascii="Times New Roman;serif" w:hAnsi="Times New Roman;serif"/>
          <w:b w:val="false"/>
          <w:color w:val="000000"/>
          <w:sz w:val="20"/>
        </w:rPr>
        <w:t>independent non-employee director compensation program will remain exercisable until the earliest of (i) the nine-month anniversary of the date of termination, (ii) the expiration of the Option’s 10-year term and (iii) the date on which the director is terminated for Cause (as defined in the Plan).</w:t>
      </w:r>
    </w:p>
    <w:p>
      <w:pPr>
        <w:pStyle w:val="TextBody"/>
        <w:bidi w:val="0"/>
        <w:spacing w:before="3" w:after="283"/>
        <w:jc w:val="left"/>
        <w:rPr/>
      </w:pPr>
      <w:r>
        <w:rPr/>
      </w:r>
    </w:p>
    <w:p>
      <w:pPr>
        <w:pStyle w:val="TextBody"/>
        <w:bidi w:val="0"/>
        <w:spacing w:lineRule="auto" w:line="288" w:before="1" w:after="283"/>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All</w:t>
      </w:r>
      <w:r>
        <w:rPr>
          <w:color w:val="000000"/>
        </w:rPr>
        <w:t xml:space="preserve"> </w:t>
      </w:r>
      <w:r>
        <w:rPr>
          <w:rFonts w:ascii="Times New Roman;serif" w:hAnsi="Times New Roman;serif"/>
          <w:b w:val="false"/>
          <w:color w:val="000000"/>
          <w:sz w:val="20"/>
        </w:rPr>
        <w:t>outstanding</w:t>
      </w:r>
      <w:r>
        <w:rPr>
          <w:color w:val="000000"/>
        </w:rPr>
        <w:t xml:space="preserve"> </w:t>
      </w:r>
      <w:r>
        <w:rPr>
          <w:rFonts w:ascii="Times New Roman;serif" w:hAnsi="Times New Roman;serif"/>
          <w:b w:val="false"/>
          <w:color w:val="000000"/>
          <w:sz w:val="20"/>
        </w:rPr>
        <w:t>DTAs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DSUs</w:t>
      </w:r>
      <w:r>
        <w:rPr>
          <w:color w:val="000000"/>
        </w:rPr>
        <w:t xml:space="preserve"> </w:t>
      </w:r>
      <w:r>
        <w:rPr>
          <w:rFonts w:ascii="Times New Roman;serif" w:hAnsi="Times New Roman;serif"/>
          <w:b w:val="false"/>
          <w:color w:val="000000"/>
          <w:sz w:val="20"/>
        </w:rPr>
        <w:t>will</w:t>
      </w:r>
      <w:r>
        <w:rPr>
          <w:color w:val="000000"/>
        </w:rPr>
        <w:t xml:space="preserve"> </w:t>
      </w:r>
      <w:r>
        <w:rPr>
          <w:rFonts w:ascii="Times New Roman;serif" w:hAnsi="Times New Roman;serif"/>
          <w:b w:val="false"/>
          <w:color w:val="000000"/>
          <w:sz w:val="20"/>
        </w:rPr>
        <w:t>vest on</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Change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Control (as</w:t>
      </w:r>
      <w:r>
        <w:rPr>
          <w:color w:val="000000"/>
        </w:rPr>
        <w:t xml:space="preserve"> </w:t>
      </w:r>
      <w:r>
        <w:rPr>
          <w:rFonts w:ascii="Times New Roman;serif" w:hAnsi="Times New Roman;serif"/>
          <w:b w:val="false"/>
          <w:color w:val="000000"/>
          <w:sz w:val="20"/>
        </w:rPr>
        <w:t>defined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Plan).</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color w:val="000000"/>
          <w:sz w:val="20"/>
          <w:u w:val="single"/>
        </w:rPr>
        <w:t>COMMITTEE</w:t>
      </w:r>
      <w:r>
        <w:rPr>
          <w:color w:val="000000"/>
          <w:u w:val="single"/>
        </w:rPr>
        <w:t xml:space="preserve"> </w:t>
      </w:r>
      <w:r>
        <w:rPr>
          <w:rFonts w:ascii="Times New Roman;serif" w:hAnsi="Times New Roman;serif"/>
          <w:b/>
          <w:color w:val="000000"/>
          <w:sz w:val="20"/>
          <w:u w:val="single"/>
        </w:rPr>
        <w:t>CHAIR</w:t>
      </w:r>
      <w:r>
        <w:rPr>
          <w:color w:val="000000"/>
          <w:u w:val="single"/>
        </w:rPr>
        <w:t xml:space="preserve"> </w:t>
      </w:r>
      <w:r>
        <w:rPr>
          <w:rFonts w:ascii="Times New Roman;serif" w:hAnsi="Times New Roman;serif"/>
          <w:b/>
          <w:color w:val="000000"/>
          <w:sz w:val="20"/>
          <w:u w:val="single"/>
        </w:rPr>
        <w:t>RETAINER</w:t>
      </w:r>
      <w:r>
        <w:rPr>
          <w:color w:val="000000"/>
          <w:u w:val="single"/>
        </w:rPr>
        <w:t xml:space="preserve"> </w:t>
      </w:r>
      <w:r>
        <w:rPr>
          <w:rFonts w:ascii="Times New Roman;serif" w:hAnsi="Times New Roman;serif"/>
          <w:b/>
          <w:color w:val="000000"/>
          <w:sz w:val="20"/>
          <w:u w:val="single"/>
        </w:rPr>
        <w:t>SUMMARY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0"/>
        <w:gridCol w:w="440"/>
        <w:gridCol w:w="444"/>
        <w:gridCol w:w="633"/>
        <w:gridCol w:w="633"/>
        <w:gridCol w:w="635"/>
        <w:gridCol w:w="1050"/>
        <w:gridCol w:w="1049"/>
        <w:gridCol w:w="1054"/>
        <w:gridCol w:w="450"/>
        <w:gridCol w:w="450"/>
        <w:gridCol w:w="455"/>
        <w:gridCol w:w="704"/>
        <w:gridCol w:w="704"/>
        <w:gridCol w:w="1004"/>
      </w:tblGrid>
      <w:tr>
        <w:trPr/>
        <w:tc>
          <w:tcPr>
            <w:tcW w:w="5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7" w:after="283"/>
              <w:jc w:val="left"/>
              <w:rPr>
                <w:rFonts w:ascii="Times New Roman;serif" w:hAnsi="Times New Roman;serif"/>
                <w:b/>
                <w:color w:val="000000"/>
                <w:sz w:val="20"/>
              </w:rPr>
            </w:pPr>
            <w:r>
              <w:rPr>
                <w:rFonts w:ascii="Times New Roman;serif" w:hAnsi="Times New Roman;serif"/>
                <w:b/>
                <w:color w:val="000000"/>
                <w:sz w:val="20"/>
              </w:rPr>
              <w:t>Payment Form</w:t>
            </w:r>
          </w:p>
        </w:tc>
        <w:tc>
          <w:tcPr>
            <w:tcW w:w="1901"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Maximum Allocation</w:t>
            </w:r>
          </w:p>
        </w:tc>
        <w:tc>
          <w:tcPr>
            <w:tcW w:w="3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92" w:after="283"/>
              <w:jc w:val="left"/>
              <w:rPr/>
            </w:pPr>
            <w:r>
              <w:rPr>
                <w:rFonts w:ascii="Times New Roman;serif" w:hAnsi="Times New Roman;serif"/>
                <w:b/>
                <w:color w:val="000000"/>
                <w:sz w:val="20"/>
              </w:rPr>
              <w:t>Payment</w:t>
            </w:r>
            <w:r>
              <w:rPr>
                <w:color w:val="000000"/>
              </w:rPr>
              <w:t xml:space="preserve"> </w:t>
            </w:r>
            <w:r>
              <w:rPr>
                <w:rFonts w:ascii="Times New Roman;serif" w:hAnsi="Times New Roman;serif"/>
                <w:b/>
                <w:color w:val="000000"/>
                <w:sz w:val="20"/>
              </w:rPr>
              <w:t>Timing</w:t>
            </w:r>
          </w:p>
        </w:tc>
        <w:tc>
          <w:tcPr>
            <w:tcW w:w="1355"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w:t>
            </w:r>
          </w:p>
        </w:tc>
        <w:tc>
          <w:tcPr>
            <w:tcW w:w="24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129" w:after="283"/>
              <w:jc w:val="left"/>
              <w:rPr/>
            </w:pPr>
            <w:r>
              <w:rPr>
                <w:rFonts w:ascii="Times New Roman;serif" w:hAnsi="Times New Roman;serif"/>
                <w:b/>
                <w:color w:val="000000"/>
                <w:sz w:val="20"/>
              </w:rPr>
              <w:t>Default</w:t>
            </w:r>
            <w:r>
              <w:rPr>
                <w:color w:val="000000"/>
              </w:rPr>
              <w:t xml:space="preserve"> </w:t>
            </w:r>
            <w:r>
              <w:rPr>
                <w:rFonts w:ascii="Times New Roman;serif" w:hAnsi="Times New Roman;serif"/>
                <w:b/>
                <w:color w:val="000000"/>
                <w:sz w:val="20"/>
              </w:rPr>
              <w:t>Form</w:t>
            </w:r>
            <w:r>
              <w:rPr>
                <w:color w:val="000000"/>
              </w:rPr>
              <w:t xml:space="preserve"> </w:t>
            </w:r>
            <w:r>
              <w:rPr>
                <w:rFonts w:ascii="Times New Roman;serif" w:hAnsi="Times New Roman;serif"/>
                <w:b/>
                <w:color w:val="000000"/>
                <w:sz w:val="20"/>
              </w:rPr>
              <w:t>of Payment?</w:t>
            </w:r>
          </w:p>
        </w:tc>
      </w:tr>
      <w:tr>
        <w:trPr/>
        <w:tc>
          <w:tcPr>
            <w:tcW w:w="1384"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901" w:type="dxa"/>
            <w:gridSpan w:val="3"/>
            <w:tcBorders>
              <w:top w:val="single" w:sz="4" w:space="0" w:color="000000"/>
              <w:left w:val="single" w:sz="4" w:space="0" w:color="000000"/>
              <w:bottom w:val="single" w:sz="4" w:space="0" w:color="000000"/>
            </w:tcBorders>
            <w:tcMar>
              <w:top w:w="30" w:type="dxa"/>
              <w:left w:w="1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31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Lump</w:t>
            </w:r>
            <w:r>
              <w:rPr>
                <w:color w:val="000000"/>
              </w:rPr>
              <w:t xml:space="preserve"> </w:t>
            </w:r>
            <w:r>
              <w:rPr>
                <w:rFonts w:ascii="Times New Roman;serif" w:hAnsi="Times New Roman;serif"/>
                <w:b w:val="false"/>
                <w:color w:val="000000"/>
                <w:sz w:val="20"/>
              </w:rPr>
              <w:t>sum</w:t>
            </w:r>
            <w:r>
              <w:rPr>
                <w:color w:val="000000"/>
              </w:rPr>
              <w:t xml:space="preserve"> </w:t>
            </w:r>
            <w:r>
              <w:rPr>
                <w:rFonts w:ascii="Times New Roman;serif" w:hAnsi="Times New Roman;serif"/>
                <w:b w:val="false"/>
                <w:color w:val="000000"/>
                <w:sz w:val="20"/>
              </w:rPr>
              <w:t>following</w:t>
            </w:r>
            <w:r>
              <w:rPr>
                <w:color w:val="000000"/>
              </w:rPr>
              <w:t xml:space="preserve"> </w:t>
            </w:r>
            <w:r>
              <w:rPr>
                <w:rFonts w:ascii="Times New Roman;serif" w:hAnsi="Times New Roman;serif"/>
                <w:b w:val="false"/>
                <w:color w:val="000000"/>
                <w:sz w:val="20"/>
              </w:rPr>
              <w:t>annual meeting.</w:t>
            </w:r>
          </w:p>
        </w:tc>
        <w:tc>
          <w:tcPr>
            <w:tcW w:w="13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applicable.</w:t>
            </w:r>
          </w:p>
        </w:tc>
        <w:tc>
          <w:tcPr>
            <w:tcW w:w="2412" w:type="dxa"/>
            <w:gridSpan w:val="3"/>
            <w:tcBorders>
              <w:top w:val="single" w:sz="4" w:space="0" w:color="000000"/>
              <w:left w:val="single" w:sz="4" w:space="0" w:color="000000"/>
              <w:bottom w:val="single" w:sz="4" w:space="0" w:color="000000"/>
              <w:right w:val="single" w:sz="4" w:space="0" w:color="000000"/>
            </w:tcBorders>
            <w:tcMar>
              <w:top w:w="30" w:type="dxa"/>
              <w:left w:w="7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8" w:after="283"/>
        <w:jc w:val="left"/>
        <w:rPr/>
      </w:pPr>
      <w:r>
        <w:rPr/>
      </w:r>
    </w:p>
    <w:p>
      <w:pPr>
        <w:pStyle w:val="TextBody"/>
        <w:bidi w:val="0"/>
        <w:spacing w:lineRule="auto" w:line="288"/>
        <w:jc w:val="center"/>
        <w:rPr/>
      </w:pP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3</w:t>
      </w:r>
      <w:r>
        <w:rPr>
          <w:color w:val="000000"/>
        </w:rPr>
        <w:t xml:space="preserve"> </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605" cy="14605"/>
                <wp:effectExtent l="0" t="0" r="0" b="0"/>
                <wp:wrapNone/>
                <wp:docPr id="163" name="Frame16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2"/>
        <w:gridCol w:w="185"/>
        <w:gridCol w:w="189"/>
        <w:gridCol w:w="158"/>
        <w:gridCol w:w="158"/>
        <w:gridCol w:w="159"/>
        <w:gridCol w:w="1917"/>
        <w:gridCol w:w="1857"/>
        <w:gridCol w:w="1863"/>
        <w:gridCol w:w="455"/>
        <w:gridCol w:w="348"/>
        <w:gridCol w:w="349"/>
        <w:gridCol w:w="686"/>
        <w:gridCol w:w="686"/>
        <w:gridCol w:w="983"/>
      </w:tblGrid>
      <w:tr>
        <w:trPr/>
        <w:tc>
          <w:tcPr>
            <w:tcW w:w="2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DSUs</w:t>
            </w:r>
          </w:p>
        </w:tc>
        <w:tc>
          <w:tcPr>
            <w:tcW w:w="475"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56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Settled in Class C Shares on the earlier of (i) the termination of service as a director for any reason and (ii) a Change in Control (as defined in the Plan) that</w:t>
            </w:r>
            <w:r>
              <w:rPr>
                <w:color w:val="000000"/>
              </w:rPr>
              <w:t xml:space="preserve"> </w:t>
            </w:r>
            <w:r>
              <w:rPr>
                <w:rFonts w:ascii="Times New Roman;serif" w:hAnsi="Times New Roman;serif"/>
                <w:b w:val="false"/>
                <w:color w:val="000000"/>
                <w:sz w:val="20"/>
              </w:rPr>
              <w:t>also</w:t>
            </w:r>
            <w:r>
              <w:rPr>
                <w:color w:val="000000"/>
              </w:rPr>
              <w:t xml:space="preserve"> </w:t>
            </w:r>
            <w:r>
              <w:rPr>
                <w:rFonts w:ascii="Times New Roman;serif" w:hAnsi="Times New Roman;serif"/>
                <w:b w:val="false"/>
                <w:color w:val="000000"/>
                <w:sz w:val="20"/>
              </w:rPr>
              <w:t>constitutes</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change</w:t>
            </w:r>
            <w:r>
              <w:rPr>
                <w:color w:val="000000"/>
              </w:rPr>
              <w:t xml:space="preserve"> </w:t>
            </w:r>
            <w:r>
              <w:rPr>
                <w:rFonts w:ascii="Times New Roman;serif" w:hAnsi="Times New Roman;serif"/>
                <w:b w:val="false"/>
                <w:color w:val="000000"/>
                <w:sz w:val="20"/>
              </w:rPr>
              <w:t>in control event” under Internal Revenue Code Section 409A regulations.</w:t>
            </w:r>
          </w:p>
        </w:tc>
        <w:tc>
          <w:tcPr>
            <w:tcW w:w="11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Cliff vesting after</w:t>
            </w:r>
            <w:r>
              <w:rPr>
                <w:color w:val="000000"/>
              </w:rPr>
              <w:t xml:space="preserve"> </w:t>
            </w:r>
            <w:r>
              <w:rPr>
                <w:rFonts w:ascii="Times New Roman;serif" w:hAnsi="Times New Roman;serif"/>
                <w:b w:val="false"/>
                <w:color w:val="000000"/>
                <w:sz w:val="20"/>
              </w:rPr>
              <w:t>one</w:t>
            </w:r>
            <w:r>
              <w:rPr>
                <w:color w:val="000000"/>
              </w:rPr>
              <w:t xml:space="preserve"> </w:t>
            </w:r>
            <w:r>
              <w:rPr>
                <w:rFonts w:ascii="Times New Roman;serif" w:hAnsi="Times New Roman;serif"/>
                <w:b w:val="false"/>
                <w:color w:val="000000"/>
                <w:sz w:val="20"/>
              </w:rPr>
              <w:t>year.</w:t>
            </w:r>
          </w:p>
        </w:tc>
        <w:tc>
          <w:tcPr>
            <w:tcW w:w="23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p>
            <w:pPr>
              <w:pStyle w:val="TableContents"/>
              <w:bidi w:val="0"/>
              <w:spacing w:lineRule="auto" w:line="288" w:before="0" w:after="0"/>
              <w:jc w:val="left"/>
              <w:rPr/>
            </w:pPr>
            <w:r>
              <w:rPr>
                <w:rFonts w:ascii="Times New Roman;serif" w:hAnsi="Times New Roman;serif"/>
                <w:b w:val="false"/>
                <w:color w:val="000000"/>
                <w:sz w:val="20"/>
              </w:rPr>
              <w:t>(Director</w:t>
            </w:r>
            <w:r>
              <w:rPr>
                <w:color w:val="000000"/>
              </w:rPr>
              <w:t xml:space="preserve"> </w:t>
            </w:r>
            <w:r>
              <w:rPr>
                <w:rFonts w:ascii="Times New Roman;serif" w:hAnsi="Times New Roman;serif"/>
                <w:b w:val="false"/>
                <w:color w:val="000000"/>
                <w:sz w:val="20"/>
              </w:rPr>
              <w:t>may elect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receive</w:t>
            </w:r>
            <w:r>
              <w:rPr>
                <w:color w:val="000000"/>
              </w:rPr>
              <w:t xml:space="preserve"> </w:t>
            </w:r>
            <w:r>
              <w:rPr>
                <w:rFonts w:ascii="Times New Roman;serif" w:hAnsi="Times New Roman;serif"/>
                <w:b w:val="false"/>
                <w:color w:val="000000"/>
                <w:sz w:val="20"/>
              </w:rPr>
              <w:t>all or a portion of</w:t>
            </w:r>
            <w:r>
              <w:rPr>
                <w:color w:val="000000"/>
              </w:rPr>
              <w:t xml:space="preserve"> </w:t>
            </w:r>
            <w:r>
              <w:rPr>
                <w:rFonts w:ascii="Times New Roman;serif" w:hAnsi="Times New Roman;serif"/>
                <w:b w:val="false"/>
                <w:color w:val="000000"/>
                <w:sz w:val="20"/>
              </w:rPr>
              <w:t>the Committee Chair Retainer</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DSUs)</w:t>
            </w:r>
          </w:p>
        </w:tc>
      </w:tr>
      <w:tr>
        <w:trPr/>
        <w:tc>
          <w:tcPr>
            <w:tcW w:w="586"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w:t>
            </w:r>
          </w:p>
        </w:tc>
        <w:tc>
          <w:tcPr>
            <w:tcW w:w="475"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563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after</w:t>
            </w:r>
            <w:r>
              <w:rPr>
                <w:color w:val="000000"/>
              </w:rPr>
              <w:t xml:space="preserve"> </w:t>
            </w:r>
            <w:r>
              <w:rPr>
                <w:rFonts w:ascii="Times New Roman;serif" w:hAnsi="Times New Roman;serif"/>
                <w:b w:val="false"/>
                <w:color w:val="000000"/>
                <w:sz w:val="20"/>
              </w:rPr>
              <w:t>the date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 Company’s annual shareholders meeting (or, if a director is appointed other than pursuant to election at the annual meeting, at a time following such appointment determined by the Board that is compliant with Internal Revenue Code Section 409A).</w:t>
            </w:r>
          </w:p>
        </w:tc>
        <w:tc>
          <w:tcPr>
            <w:tcW w:w="115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Fully vested upon</w:t>
            </w:r>
            <w:r>
              <w:rPr>
                <w:color w:val="000000"/>
              </w:rPr>
              <w:t xml:space="preserve"> </w:t>
            </w:r>
            <w:r>
              <w:rPr>
                <w:rFonts w:ascii="Times New Roman;serif" w:hAnsi="Times New Roman;serif"/>
                <w:b w:val="false"/>
                <w:color w:val="000000"/>
                <w:sz w:val="20"/>
              </w:rPr>
              <w:t>issuance.</w:t>
            </w:r>
          </w:p>
        </w:tc>
        <w:tc>
          <w:tcPr>
            <w:tcW w:w="23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p>
            <w:pPr>
              <w:pStyle w:val="TableContents"/>
              <w:bidi w:val="0"/>
              <w:spacing w:lineRule="auto" w:line="288" w:before="1" w:after="283"/>
              <w:jc w:val="left"/>
              <w:rPr/>
            </w:pPr>
            <w:r>
              <w:rPr>
                <w:rFonts w:ascii="Times New Roman;serif" w:hAnsi="Times New Roman;serif"/>
                <w:b w:val="false"/>
                <w:color w:val="000000"/>
                <w:sz w:val="20"/>
              </w:rPr>
              <w:t>(Director</w:t>
            </w:r>
            <w:r>
              <w:rPr>
                <w:color w:val="000000"/>
              </w:rPr>
              <w:t xml:space="preserve"> </w:t>
            </w:r>
            <w:r>
              <w:rPr>
                <w:rFonts w:ascii="Times New Roman;serif" w:hAnsi="Times New Roman;serif"/>
                <w:b w:val="false"/>
                <w:color w:val="000000"/>
                <w:sz w:val="20"/>
              </w:rPr>
              <w:t>may elect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receive</w:t>
            </w:r>
            <w:r>
              <w:rPr>
                <w:color w:val="000000"/>
              </w:rPr>
              <w:t xml:space="preserve"> </w:t>
            </w:r>
            <w:r>
              <w:rPr>
                <w:rFonts w:ascii="Times New Roman;serif" w:hAnsi="Times New Roman;serif"/>
                <w:b w:val="false"/>
                <w:color w:val="000000"/>
                <w:sz w:val="20"/>
              </w:rPr>
              <w:t>all or</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portion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 Committee Chair Retainer</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Stock)</w:t>
            </w:r>
          </w:p>
        </w:tc>
      </w:tr>
    </w:tbl>
    <w:p>
      <w:pPr>
        <w:pStyle w:val="TextBody"/>
        <w:bidi w:val="0"/>
        <w:spacing w:before="22"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See Annual</w:t>
      </w:r>
      <w:r>
        <w:rPr>
          <w:color w:val="000000"/>
        </w:rPr>
        <w:t xml:space="preserve"> </w:t>
      </w:r>
      <w:r>
        <w:rPr>
          <w:rFonts w:ascii="Times New Roman;serif" w:hAnsi="Times New Roman;serif"/>
          <w:b w:val="false"/>
          <w:color w:val="000000"/>
          <w:sz w:val="20"/>
        </w:rPr>
        <w:t>Board</w:t>
      </w:r>
      <w:r>
        <w:rPr>
          <w:color w:val="000000"/>
        </w:rPr>
        <w:t xml:space="preserve"> </w:t>
      </w:r>
      <w:r>
        <w:rPr>
          <w:rFonts w:ascii="Times New Roman;serif" w:hAnsi="Times New Roman;serif"/>
          <w:b w:val="false"/>
          <w:color w:val="000000"/>
          <w:sz w:val="20"/>
        </w:rPr>
        <w:t>Retainer</w:t>
      </w:r>
      <w:r>
        <w:rPr>
          <w:color w:val="000000"/>
        </w:rPr>
        <w:t xml:space="preserve"> </w:t>
      </w:r>
      <w:r>
        <w:rPr>
          <w:rFonts w:ascii="Times New Roman;serif" w:hAnsi="Times New Roman;serif"/>
          <w:b w:val="false"/>
          <w:color w:val="000000"/>
          <w:sz w:val="20"/>
        </w:rPr>
        <w:t>Summary</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how</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number</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DSUs</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shares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Stock</w:t>
      </w:r>
      <w:r>
        <w:rPr>
          <w:color w:val="000000"/>
        </w:rPr>
        <w:t xml:space="preserve"> </w:t>
      </w: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determined.</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See</w:t>
      </w:r>
      <w:r>
        <w:rPr>
          <w:color w:val="000000"/>
        </w:rPr>
        <w:t xml:space="preserve"> </w:t>
      </w:r>
      <w:r>
        <w:rPr>
          <w:rFonts w:ascii="Times New Roman;serif" w:hAnsi="Times New Roman;serif"/>
          <w:b w:val="false"/>
          <w:color w:val="000000"/>
          <w:sz w:val="20"/>
        </w:rPr>
        <w:t>Annual</w:t>
      </w:r>
      <w:r>
        <w:rPr>
          <w:color w:val="000000"/>
        </w:rPr>
        <w:t xml:space="preserve"> </w:t>
      </w:r>
      <w:r>
        <w:rPr>
          <w:rFonts w:ascii="Times New Roman;serif" w:hAnsi="Times New Roman;serif"/>
          <w:b w:val="false"/>
          <w:color w:val="000000"/>
          <w:sz w:val="20"/>
        </w:rPr>
        <w:t>Board Retainer</w:t>
      </w:r>
      <w:r>
        <w:rPr>
          <w:color w:val="000000"/>
        </w:rPr>
        <w:t xml:space="preserve"> </w:t>
      </w:r>
      <w:r>
        <w:rPr>
          <w:rFonts w:ascii="Times New Roman;serif" w:hAnsi="Times New Roman;serif"/>
          <w:b w:val="false"/>
          <w:color w:val="000000"/>
          <w:sz w:val="20"/>
        </w:rPr>
        <w:t>Summary for vesting</w:t>
      </w:r>
      <w:r>
        <w:rPr>
          <w:color w:val="000000"/>
        </w:rPr>
        <w:t xml:space="preserve"> </w:t>
      </w:r>
      <w:r>
        <w:rPr>
          <w:rFonts w:ascii="Times New Roman;serif" w:hAnsi="Times New Roman;serif"/>
          <w:b w:val="false"/>
          <w:color w:val="000000"/>
          <w:sz w:val="20"/>
        </w:rPr>
        <w:t>of DSUs</w:t>
      </w:r>
      <w:r>
        <w:rPr>
          <w:color w:val="000000"/>
        </w:rPr>
        <w:t xml:space="preserve"> </w:t>
      </w:r>
      <w:r>
        <w:rPr>
          <w:rFonts w:ascii="Times New Roman;serif" w:hAnsi="Times New Roman;serif"/>
          <w:b w:val="false"/>
          <w:color w:val="000000"/>
          <w:sz w:val="20"/>
        </w:rPr>
        <w:t>upon</w:t>
      </w:r>
      <w:r>
        <w:rPr>
          <w:color w:val="000000"/>
        </w:rPr>
        <w:t xml:space="preserve"> </w:t>
      </w:r>
      <w:r>
        <w:rPr>
          <w:rFonts w:ascii="Times New Roman;serif" w:hAnsi="Times New Roman;serif"/>
          <w:b w:val="false"/>
          <w:color w:val="000000"/>
          <w:sz w:val="20"/>
        </w:rPr>
        <w:t>termination</w:t>
      </w:r>
      <w:r>
        <w:rPr>
          <w:color w:val="000000"/>
        </w:rPr>
        <w:t xml:space="preserve"> </w:t>
      </w:r>
      <w:r>
        <w:rPr>
          <w:rFonts w:ascii="Times New Roman;serif" w:hAnsi="Times New Roman;serif"/>
          <w:b w:val="false"/>
          <w:color w:val="000000"/>
          <w:sz w:val="20"/>
        </w:rPr>
        <w:t>and Change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Control</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defined</w:t>
      </w:r>
      <w:r>
        <w:rPr>
          <w:color w:val="000000"/>
        </w:rPr>
        <w:t xml:space="preserve"> </w:t>
      </w:r>
      <w:r>
        <w:rPr>
          <w:rFonts w:ascii="Times New Roman;serif" w:hAnsi="Times New Roman;serif"/>
          <w:b w:val="false"/>
          <w:color w:val="000000"/>
          <w:sz w:val="20"/>
        </w:rPr>
        <w:t>in the Plan).</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color w:val="000000"/>
          <w:sz w:val="20"/>
          <w:u w:val="single"/>
        </w:rPr>
        <w:t>LEAD</w:t>
      </w:r>
      <w:r>
        <w:rPr>
          <w:color w:val="000000"/>
          <w:u w:val="single"/>
        </w:rPr>
        <w:t xml:space="preserve"> </w:t>
      </w:r>
      <w:r>
        <w:rPr>
          <w:rFonts w:ascii="Times New Roman;serif" w:hAnsi="Times New Roman;serif"/>
          <w:b/>
          <w:color w:val="000000"/>
          <w:sz w:val="20"/>
          <w:u w:val="single"/>
        </w:rPr>
        <w:t>INDEPENDENT</w:t>
      </w:r>
      <w:r>
        <w:rPr>
          <w:color w:val="000000"/>
          <w:u w:val="single"/>
        </w:rPr>
        <w:t xml:space="preserve"> </w:t>
      </w:r>
      <w:r>
        <w:rPr>
          <w:rFonts w:ascii="Times New Roman;serif" w:hAnsi="Times New Roman;serif"/>
          <w:b/>
          <w:color w:val="000000"/>
          <w:sz w:val="20"/>
          <w:u w:val="single"/>
        </w:rPr>
        <w:t>DIRECTOR</w:t>
      </w:r>
      <w:r>
        <w:rPr>
          <w:color w:val="000000"/>
          <w:u w:val="single"/>
        </w:rPr>
        <w:t xml:space="preserve"> </w:t>
      </w:r>
      <w:r>
        <w:rPr>
          <w:rFonts w:ascii="Times New Roman;serif" w:hAnsi="Times New Roman;serif"/>
          <w:b/>
          <w:color w:val="000000"/>
          <w:sz w:val="20"/>
          <w:u w:val="single"/>
        </w:rPr>
        <w:t>RETAINER</w:t>
      </w:r>
      <w:r>
        <w:rPr>
          <w:color w:val="000000"/>
          <w:u w:val="single"/>
        </w:rPr>
        <w:t xml:space="preserve"> </w:t>
      </w:r>
      <w:r>
        <w:rPr>
          <w:rFonts w:ascii="Times New Roman;serif" w:hAnsi="Times New Roman;serif"/>
          <w:b/>
          <w:color w:val="000000"/>
          <w:sz w:val="20"/>
          <w:u w:val="single"/>
        </w:rPr>
        <w:t>SUMMARY</w:t>
      </w:r>
    </w:p>
    <w:p>
      <w:pPr>
        <w:pStyle w:val="TextBody"/>
        <w:bidi w:val="0"/>
        <w:spacing w:before="0" w:after="1"/>
        <w:jc w:val="left"/>
        <w:rPr/>
      </w:pPr>
      <w:r>
        <w:rPr/>
      </w:r>
    </w:p>
    <w:tbl>
      <w:tblPr>
        <w:tblW w:w="10205" w:type="dxa"/>
        <w:jc w:val="left"/>
        <w:tblInd w:w="0" w:type="dxa"/>
        <w:tblLayout w:type="fixed"/>
        <w:tblCellMar>
          <w:top w:w="28" w:type="dxa"/>
          <w:left w:w="28" w:type="dxa"/>
          <w:bottom w:w="28" w:type="dxa"/>
          <w:right w:w="28" w:type="dxa"/>
        </w:tblCellMar>
      </w:tblPr>
      <w:tblGrid>
        <w:gridCol w:w="344"/>
        <w:gridCol w:w="303"/>
        <w:gridCol w:w="305"/>
        <w:gridCol w:w="378"/>
        <w:gridCol w:w="378"/>
        <w:gridCol w:w="380"/>
        <w:gridCol w:w="1696"/>
        <w:gridCol w:w="1456"/>
        <w:gridCol w:w="1462"/>
        <w:gridCol w:w="405"/>
        <w:gridCol w:w="405"/>
        <w:gridCol w:w="410"/>
        <w:gridCol w:w="827"/>
        <w:gridCol w:w="600"/>
        <w:gridCol w:w="856"/>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2" w:after="283"/>
              <w:jc w:val="left"/>
              <w:rPr>
                <w:rFonts w:ascii="Times New Roman;serif" w:hAnsi="Times New Roman;serif"/>
                <w:b/>
                <w:color w:val="000000"/>
                <w:sz w:val="20"/>
              </w:rPr>
            </w:pPr>
            <w:r>
              <w:rPr>
                <w:rFonts w:ascii="Times New Roman;serif" w:hAnsi="Times New Roman;serif"/>
                <w:b/>
                <w:color w:val="000000"/>
                <w:sz w:val="20"/>
              </w:rPr>
              <w:t>Payment Form</w:t>
            </w:r>
          </w:p>
        </w:tc>
        <w:tc>
          <w:tcPr>
            <w:tcW w:w="1136"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Maximum Allocation</w:t>
            </w:r>
          </w:p>
        </w:tc>
        <w:tc>
          <w:tcPr>
            <w:tcW w:w="46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7" w:after="283"/>
              <w:jc w:val="left"/>
              <w:rPr/>
            </w:pPr>
            <w:r>
              <w:rPr>
                <w:rFonts w:ascii="Times New Roman;serif" w:hAnsi="Times New Roman;serif"/>
                <w:b/>
                <w:color w:val="000000"/>
                <w:sz w:val="20"/>
              </w:rPr>
              <w:t>Payment</w:t>
            </w:r>
            <w:r>
              <w:rPr>
                <w:color w:val="000000"/>
              </w:rPr>
              <w:t xml:space="preserve"> </w:t>
            </w:r>
            <w:r>
              <w:rPr>
                <w:rFonts w:ascii="Times New Roman;serif" w:hAnsi="Times New Roman;serif"/>
                <w:b/>
                <w:color w:val="000000"/>
                <w:sz w:val="20"/>
              </w:rPr>
              <w:t>Timing</w:t>
            </w:r>
          </w:p>
        </w:tc>
        <w:tc>
          <w:tcPr>
            <w:tcW w:w="1220"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w:t>
            </w:r>
          </w:p>
        </w:tc>
        <w:tc>
          <w:tcPr>
            <w:tcW w:w="22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129" w:after="283"/>
              <w:jc w:val="left"/>
              <w:rPr/>
            </w:pPr>
            <w:r>
              <w:rPr>
                <w:rFonts w:ascii="Times New Roman;serif" w:hAnsi="Times New Roman;serif"/>
                <w:b/>
                <w:color w:val="000000"/>
                <w:sz w:val="20"/>
              </w:rPr>
              <w:t>Default</w:t>
            </w:r>
            <w:r>
              <w:rPr>
                <w:color w:val="000000"/>
              </w:rPr>
              <w:t xml:space="preserve"> </w:t>
            </w:r>
            <w:r>
              <w:rPr>
                <w:rFonts w:ascii="Times New Roman;serif" w:hAnsi="Times New Roman;serif"/>
                <w:b/>
                <w:color w:val="000000"/>
                <w:sz w:val="20"/>
              </w:rPr>
              <w:t>Form</w:t>
            </w:r>
            <w:r>
              <w:rPr>
                <w:color w:val="000000"/>
              </w:rPr>
              <w:t xml:space="preserve"> </w:t>
            </w:r>
            <w:r>
              <w:rPr>
                <w:rFonts w:ascii="Times New Roman;serif" w:hAnsi="Times New Roman;serif"/>
                <w:b/>
                <w:color w:val="000000"/>
                <w:sz w:val="20"/>
              </w:rPr>
              <w:t>of Payment?</w:t>
            </w:r>
          </w:p>
        </w:tc>
      </w:tr>
      <w:tr>
        <w:trPr/>
        <w:tc>
          <w:tcPr>
            <w:tcW w:w="952"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136" w:type="dxa"/>
            <w:gridSpan w:val="3"/>
            <w:tcBorders>
              <w:top w:val="single" w:sz="4" w:space="0" w:color="000000"/>
              <w:left w:val="single" w:sz="4" w:space="0" w:color="000000"/>
            </w:tcBorders>
            <w:tcMar>
              <w:top w:w="30" w:type="dxa"/>
              <w:left w:w="1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46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Lump</w:t>
            </w:r>
            <w:r>
              <w:rPr>
                <w:color w:val="000000"/>
              </w:rPr>
              <w:t xml:space="preserve"> </w:t>
            </w:r>
            <w:r>
              <w:rPr>
                <w:rFonts w:ascii="Times New Roman;serif" w:hAnsi="Times New Roman;serif"/>
                <w:b w:val="false"/>
                <w:color w:val="000000"/>
                <w:sz w:val="20"/>
              </w:rPr>
              <w:t>sum</w:t>
            </w:r>
            <w:r>
              <w:rPr>
                <w:color w:val="000000"/>
              </w:rPr>
              <w:t xml:space="preserve"> </w:t>
            </w:r>
            <w:r>
              <w:rPr>
                <w:rFonts w:ascii="Times New Roman;serif" w:hAnsi="Times New Roman;serif"/>
                <w:b w:val="false"/>
                <w:color w:val="000000"/>
                <w:sz w:val="20"/>
              </w:rPr>
              <w:t>following</w:t>
            </w:r>
            <w:r>
              <w:rPr>
                <w:color w:val="000000"/>
              </w:rPr>
              <w:t xml:space="preserve"> </w:t>
            </w:r>
            <w:r>
              <w:rPr>
                <w:rFonts w:ascii="Times New Roman;serif" w:hAnsi="Times New Roman;serif"/>
                <w:b w:val="false"/>
                <w:color w:val="000000"/>
                <w:sz w:val="20"/>
              </w:rPr>
              <w:t>annual meeting.</w:t>
            </w:r>
          </w:p>
        </w:tc>
        <w:tc>
          <w:tcPr>
            <w:tcW w:w="12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applicable.</w:t>
            </w:r>
          </w:p>
        </w:tc>
        <w:tc>
          <w:tcPr>
            <w:tcW w:w="2283" w:type="dxa"/>
            <w:gridSpan w:val="3"/>
            <w:tcBorders>
              <w:top w:val="single" w:sz="4" w:space="0" w:color="000000"/>
              <w:left w:val="single" w:sz="4" w:space="0" w:color="000000"/>
              <w:right w:val="single" w:sz="4" w:space="0" w:color="000000"/>
            </w:tcBorders>
            <w:tcMar>
              <w:top w:w="30" w:type="dxa"/>
              <w:left w:w="7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952" w:type="dxa"/>
            <w:gridSpan w:val="3"/>
            <w:tcBorders>
              <w:top w:val="single" w:sz="4" w:space="0" w:color="000000"/>
              <w:left w:val="single" w:sz="4" w:space="0" w:color="000000"/>
              <w:bottom w:val="single" w:sz="4" w:space="0" w:color="000000"/>
            </w:tcBorders>
            <w:tcMar>
              <w:top w:w="30" w:type="dxa"/>
              <w:left w:w="7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w:t>
            </w:r>
          </w:p>
        </w:tc>
        <w:tc>
          <w:tcPr>
            <w:tcW w:w="1136"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4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after</w:t>
            </w:r>
            <w:r>
              <w:rPr>
                <w:color w:val="000000"/>
              </w:rPr>
              <w:t xml:space="preserve"> </w:t>
            </w:r>
            <w:r>
              <w:rPr>
                <w:rFonts w:ascii="Times New Roman;serif" w:hAnsi="Times New Roman;serif"/>
                <w:b w:val="false"/>
                <w:color w:val="000000"/>
                <w:sz w:val="20"/>
              </w:rPr>
              <w:t>the date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 Company’s annual shareholders meeting (or, if a director is appointed other than pursuant to election at the annual meeting, at a time following such appointment determined by the Board that is compliant with Internal Revenue Code Section 409A).</w:t>
            </w:r>
          </w:p>
        </w:tc>
        <w:tc>
          <w:tcPr>
            <w:tcW w:w="12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Fully vested upon</w:t>
            </w:r>
            <w:r>
              <w:rPr>
                <w:color w:val="000000"/>
              </w:rPr>
              <w:t xml:space="preserve"> </w:t>
            </w:r>
            <w:r>
              <w:rPr>
                <w:rFonts w:ascii="Times New Roman;serif" w:hAnsi="Times New Roman;serif"/>
                <w:b w:val="false"/>
                <w:color w:val="000000"/>
                <w:sz w:val="20"/>
              </w:rPr>
              <w:t>issuance.</w:t>
            </w:r>
          </w:p>
        </w:tc>
        <w:tc>
          <w:tcPr>
            <w:tcW w:w="228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p>
            <w:pPr>
              <w:pStyle w:val="TableContents"/>
              <w:bidi w:val="0"/>
              <w:spacing w:lineRule="auto" w:line="288" w:before="0" w:after="0"/>
              <w:jc w:val="left"/>
              <w:rPr/>
            </w:pPr>
            <w:r>
              <w:rPr>
                <w:rFonts w:ascii="Times New Roman;serif" w:hAnsi="Times New Roman;serif"/>
                <w:b w:val="false"/>
                <w:color w:val="000000"/>
                <w:sz w:val="20"/>
              </w:rPr>
              <w:t>(Director</w:t>
            </w:r>
            <w:r>
              <w:rPr>
                <w:color w:val="000000"/>
              </w:rPr>
              <w:t xml:space="preserve"> </w:t>
            </w:r>
            <w:r>
              <w:rPr>
                <w:rFonts w:ascii="Times New Roman;serif" w:hAnsi="Times New Roman;serif"/>
                <w:b w:val="false"/>
                <w:color w:val="000000"/>
                <w:sz w:val="20"/>
              </w:rPr>
              <w:t>may elect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receive</w:t>
            </w:r>
            <w:r>
              <w:rPr>
                <w:color w:val="000000"/>
              </w:rPr>
              <w:t xml:space="preserve"> </w:t>
            </w:r>
            <w:r>
              <w:rPr>
                <w:rFonts w:ascii="Times New Roman;serif" w:hAnsi="Times New Roman;serif"/>
                <w:b w:val="false"/>
                <w:color w:val="000000"/>
                <w:sz w:val="20"/>
              </w:rPr>
              <w:t>all or</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portion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 Lead</w:t>
            </w:r>
            <w:r>
              <w:rPr>
                <w:color w:val="000000"/>
              </w:rPr>
              <w:t xml:space="preserve"> </w:t>
            </w:r>
            <w:r>
              <w:rPr>
                <w:rFonts w:ascii="Times New Roman;serif" w:hAnsi="Times New Roman;serif"/>
                <w:b w:val="false"/>
                <w:color w:val="000000"/>
                <w:sz w:val="20"/>
              </w:rPr>
              <w:t>Independent Director Retainer as Stock)</w:t>
            </w:r>
          </w:p>
        </w:tc>
      </w:tr>
    </w:tbl>
    <w:p>
      <w:pPr>
        <w:pStyle w:val="TextBody"/>
        <w:bidi w:val="0"/>
        <w:spacing w:before="2"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See Annual Board</w:t>
      </w:r>
      <w:r>
        <w:rPr>
          <w:color w:val="000000"/>
        </w:rPr>
        <w:t xml:space="preserve"> </w:t>
      </w:r>
      <w:r>
        <w:rPr>
          <w:rFonts w:ascii="Times New Roman;serif" w:hAnsi="Times New Roman;serif"/>
          <w:b w:val="false"/>
          <w:color w:val="000000"/>
          <w:sz w:val="20"/>
        </w:rPr>
        <w:t>Retainer</w:t>
      </w:r>
      <w:r>
        <w:rPr>
          <w:color w:val="000000"/>
        </w:rPr>
        <w:t xml:space="preserve"> </w:t>
      </w:r>
      <w:r>
        <w:rPr>
          <w:rFonts w:ascii="Times New Roman;serif" w:hAnsi="Times New Roman;serif"/>
          <w:b w:val="false"/>
          <w:color w:val="000000"/>
          <w:sz w:val="20"/>
        </w:rPr>
        <w:t>Summary</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how</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number</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shares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Stock</w:t>
      </w:r>
      <w:r>
        <w:rPr>
          <w:color w:val="000000"/>
        </w:rPr>
        <w:t xml:space="preserve"> </w:t>
      </w:r>
      <w:r>
        <w:rPr>
          <w:rFonts w:ascii="Times New Roman;serif" w:hAnsi="Times New Roman;serif"/>
          <w:b w:val="false"/>
          <w:color w:val="000000"/>
          <w:sz w:val="20"/>
        </w:rPr>
        <w:t>granted</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determined.</w:t>
      </w:r>
    </w:p>
    <w:p>
      <w:pPr>
        <w:pStyle w:val="TextBody"/>
        <w:bidi w:val="0"/>
        <w:spacing w:before="4" w:after="283"/>
        <w:jc w:val="left"/>
        <w:rPr/>
      </w:pPr>
      <w:r>
        <w:rPr/>
      </w:r>
    </w:p>
    <w:p>
      <w:pPr>
        <w:pStyle w:val="TextBody"/>
        <w:bidi w:val="0"/>
        <w:spacing w:lineRule="auto" w:line="273" w:before="0" w:after="0"/>
        <w:jc w:val="left"/>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Company</w:t>
      </w:r>
      <w:r>
        <w:rPr>
          <w:color w:val="000000"/>
        </w:rPr>
        <w:t xml:space="preserve"> </w:t>
      </w:r>
      <w:r>
        <w:rPr>
          <w:rFonts w:ascii="Times New Roman;serif" w:hAnsi="Times New Roman;serif"/>
          <w:b w:val="false"/>
          <w:color w:val="000000"/>
          <w:sz w:val="20"/>
        </w:rPr>
        <w:t>does</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pay</w:t>
      </w:r>
      <w:r>
        <w:rPr>
          <w:color w:val="000000"/>
        </w:rPr>
        <w:t xml:space="preserve"> </w:t>
      </w:r>
      <w:r>
        <w:rPr>
          <w:rFonts w:ascii="Times New Roman;serif" w:hAnsi="Times New Roman;serif"/>
          <w:b w:val="false"/>
          <w:color w:val="000000"/>
          <w:sz w:val="20"/>
        </w:rPr>
        <w:t>any</w:t>
      </w:r>
      <w:r>
        <w:rPr>
          <w:color w:val="000000"/>
        </w:rPr>
        <w:t xml:space="preserve"> </w:t>
      </w:r>
      <w:r>
        <w:rPr>
          <w:rFonts w:ascii="Times New Roman;serif" w:hAnsi="Times New Roman;serif"/>
          <w:b w:val="false"/>
          <w:color w:val="000000"/>
          <w:sz w:val="20"/>
        </w:rPr>
        <w:t>Board</w:t>
      </w:r>
      <w:r>
        <w:rPr>
          <w:color w:val="000000"/>
        </w:rPr>
        <w:t xml:space="preserve"> </w:t>
      </w:r>
      <w:r>
        <w:rPr>
          <w:rFonts w:ascii="Times New Roman;serif" w:hAnsi="Times New Roman;serif"/>
          <w:b w:val="false"/>
          <w:color w:val="000000"/>
          <w:sz w:val="20"/>
        </w:rPr>
        <w:t>retainers</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fees or</w:t>
      </w:r>
      <w:r>
        <w:rPr>
          <w:color w:val="000000"/>
        </w:rPr>
        <w:t xml:space="preserve"> </w:t>
      </w:r>
      <w:r>
        <w:rPr>
          <w:rFonts w:ascii="Times New Roman;serif" w:hAnsi="Times New Roman;serif"/>
          <w:b w:val="false"/>
          <w:color w:val="000000"/>
          <w:sz w:val="20"/>
        </w:rPr>
        <w:t>provide</w:t>
      </w:r>
      <w:r>
        <w:rPr>
          <w:color w:val="000000"/>
        </w:rPr>
        <w:t xml:space="preserve"> </w:t>
      </w:r>
      <w:r>
        <w:rPr>
          <w:rFonts w:ascii="Times New Roman;serif" w:hAnsi="Times New Roman;serif"/>
          <w:b w:val="false"/>
          <w:color w:val="000000"/>
          <w:sz w:val="20"/>
        </w:rPr>
        <w:t>any</w:t>
      </w:r>
      <w:r>
        <w:rPr>
          <w:color w:val="000000"/>
        </w:rPr>
        <w:t xml:space="preserve"> </w:t>
      </w:r>
      <w:r>
        <w:rPr>
          <w:rFonts w:ascii="Times New Roman;serif" w:hAnsi="Times New Roman;serif"/>
          <w:b w:val="false"/>
          <w:color w:val="000000"/>
          <w:sz w:val="20"/>
        </w:rPr>
        <w:t>Board</w:t>
      </w:r>
      <w:r>
        <w:rPr>
          <w:color w:val="000000"/>
        </w:rPr>
        <w:t xml:space="preserve"> </w:t>
      </w:r>
      <w:r>
        <w:rPr>
          <w:rFonts w:ascii="Times New Roman;serif" w:hAnsi="Times New Roman;serif"/>
          <w:b w:val="false"/>
          <w:color w:val="000000"/>
          <w:sz w:val="20"/>
        </w:rPr>
        <w:t>equity</w:t>
      </w:r>
      <w:r>
        <w:rPr>
          <w:color w:val="000000"/>
        </w:rPr>
        <w:t xml:space="preserve"> </w:t>
      </w:r>
      <w:r>
        <w:rPr>
          <w:rFonts w:ascii="Times New Roman;serif" w:hAnsi="Times New Roman;serif"/>
          <w:b w:val="false"/>
          <w:color w:val="000000"/>
          <w:sz w:val="20"/>
        </w:rPr>
        <w:t>grants</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set forth</w:t>
      </w:r>
      <w:r>
        <w:rPr>
          <w:color w:val="000000"/>
        </w:rPr>
        <w:t xml:space="preserve"> </w:t>
      </w:r>
      <w:r>
        <w:rPr>
          <w:rFonts w:ascii="Times New Roman;serif" w:hAnsi="Times New Roman;serif"/>
          <w:b w:val="false"/>
          <w:color w:val="000000"/>
          <w:sz w:val="20"/>
        </w:rPr>
        <w:t>above. These retainers, fees, or grants may be modified or adjusted from time to time as determined by the Board.</w:t>
      </w:r>
    </w:p>
    <w:p>
      <w:pPr>
        <w:pStyle w:val="TextBody"/>
        <w:bidi w:val="0"/>
        <w:spacing w:before="3"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Amended</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Restated</w:t>
      </w:r>
      <w:r>
        <w:rPr>
          <w:color w:val="000000"/>
        </w:rPr>
        <w:t xml:space="preserve"> </w:t>
      </w:r>
      <w:r>
        <w:rPr>
          <w:rFonts w:ascii="Times New Roman;serif" w:hAnsi="Times New Roman;serif"/>
          <w:b w:val="false"/>
          <w:color w:val="000000"/>
          <w:sz w:val="20"/>
        </w:rPr>
        <w:t>Compensation</w:t>
      </w:r>
      <w:r>
        <w:rPr>
          <w:color w:val="000000"/>
        </w:rPr>
        <w:t xml:space="preserve"> </w:t>
      </w:r>
      <w:r>
        <w:rPr>
          <w:rFonts w:ascii="Times New Roman;serif" w:hAnsi="Times New Roman;serif"/>
          <w:b w:val="false"/>
          <w:color w:val="000000"/>
          <w:sz w:val="20"/>
        </w:rPr>
        <w:t>Program</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Independent</w:t>
      </w:r>
      <w:r>
        <w:rPr>
          <w:color w:val="000000"/>
        </w:rPr>
        <w:t xml:space="preserve"> </w:t>
      </w:r>
      <w:r>
        <w:rPr>
          <w:rFonts w:ascii="Times New Roman;serif" w:hAnsi="Times New Roman;serif"/>
          <w:b w:val="false"/>
          <w:color w:val="000000"/>
          <w:sz w:val="20"/>
        </w:rPr>
        <w:t>Non-Employee</w:t>
      </w:r>
      <w:r>
        <w:rPr>
          <w:color w:val="000000"/>
        </w:rPr>
        <w:t xml:space="preserve"> </w:t>
      </w:r>
      <w:r>
        <w:rPr>
          <w:rFonts w:ascii="Times New Roman;serif" w:hAnsi="Times New Roman;serif"/>
          <w:b w:val="false"/>
          <w:color w:val="000000"/>
          <w:sz w:val="20"/>
        </w:rPr>
        <w:t>Directors supersedes</w:t>
      </w:r>
      <w:r>
        <w:rPr>
          <w:color w:val="000000"/>
        </w:rPr>
        <w:t xml:space="preserve"> </w:t>
      </w:r>
      <w:r>
        <w:rPr>
          <w:rFonts w:ascii="Times New Roman;serif" w:hAnsi="Times New Roman;serif"/>
          <w:b w:val="false"/>
          <w:color w:val="000000"/>
          <w:sz w:val="20"/>
        </w:rPr>
        <w:t>all</w:t>
      </w:r>
      <w:r>
        <w:rPr>
          <w:color w:val="000000"/>
        </w:rPr>
        <w:t xml:space="preserve"> </w:t>
      </w:r>
      <w:r>
        <w:rPr>
          <w:rFonts w:ascii="Times New Roman;serif" w:hAnsi="Times New Roman;serif"/>
          <w:b w:val="false"/>
          <w:color w:val="000000"/>
          <w:sz w:val="20"/>
        </w:rPr>
        <w:t>prior agreements or policies concerning director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pP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4</w:t>
      </w:r>
      <w:r>
        <w:rPr>
          <w:color w:val="000000"/>
        </w:rPr>
        <w:t xml:space="preserve"> </w:t>
      </w: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Dell Technologies Inc. Subsidiary List</w:t>
      </w:r>
    </w:p>
    <w:tbl>
      <w:tblPr>
        <w:tblW w:w="10205" w:type="dxa"/>
        <w:jc w:val="left"/>
        <w:tblInd w:w="0" w:type="dxa"/>
        <w:tblLayout w:type="fixed"/>
        <w:tblCellMar>
          <w:top w:w="28" w:type="dxa"/>
          <w:left w:w="28" w:type="dxa"/>
          <w:bottom w:w="28" w:type="dxa"/>
          <w:right w:w="28" w:type="dxa"/>
        </w:tblCellMar>
      </w:tblPr>
      <w:tblGrid>
        <w:gridCol w:w="3089"/>
        <w:gridCol w:w="2657"/>
        <w:gridCol w:w="2672"/>
        <w:gridCol w:w="532"/>
        <w:gridCol w:w="524"/>
        <w:gridCol w:w="731"/>
      </w:tblGrid>
      <w:tr>
        <w:trPr/>
        <w:tc>
          <w:tcPr>
            <w:tcW w:w="308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Country</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Bracknell Boulevard (Block C) LLC</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Bracknell Boulevard (Block D) LLC</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Branch of Dell Free Zone Company LLC</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Branch office of foreign company Dell Emerging Markets (EMEA) Limited United Kingdom – Branch Office Skopje</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Macedonia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Dataloop Information Technology Consultancy - Sole Proprietorship L.L.C.</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Dataloop Ltd.</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DCC Executive Security Inc.</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(Chengdu) Company Limited</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rFonts w:ascii="Times New Roman;serif" w:hAnsi="Times New Roman;serif"/>
                <w:b w:val="false"/>
                <w:color w:val="000000"/>
                <w:sz w:val="20"/>
              </w:rPr>
              <w:t xml:space="preserve">Dell (China) Company Limited - Beijing Branch </w:t>
            </w:r>
            <w:r>
              <w:rPr>
                <w:rFonts w:eastAsia="Times New Roman;serif"/>
                <w:b w:val="false"/>
                <w:color w:val="000000"/>
                <w:sz w:val="20"/>
              </w:rPr>
              <w:t>戴尔（中国）有限公司北京分公司</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Beijing Information Technology Branch</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Dalian Branch</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Guangzhou Branch</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Hangzhou Branch</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Jinan Branch</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Nanjing Branch</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Shanghai Branch</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Shenyang Branch</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Shenzhen Branch</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Wuhan Branch</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(China) Company Limited - Xian Branch</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(Xiamen) Company Limited</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(Xiamen) Company Limited - Dalian Branch</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A/S</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Aktiebolag</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America Latina Corp.</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America Latina Corp., Sucursal Argentina</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Argentina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AS</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Norway</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Asia Holdings Pte. Ltd.</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Asia Pacific Sdn. Bhd.</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Asset Revolving Trust-B</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Asset Syndication L.L.C.</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Australia Pty Limited</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B.V.</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B.V. SUPERVISORY BOARD</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B.V., Taiwan Branch</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Bank International Designated Activity Company</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Bank International Designated Activity Company, Sucursal en España</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8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Canada Inc.</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8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Catalog Sales LP Representative Office</w:t>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Philippines</w:t>
            </w:r>
          </w:p>
        </w:tc>
      </w:tr>
    </w:tbl>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158" w:type="dxa"/>
        <w:jc w:val="left"/>
        <w:tblInd w:w="0" w:type="dxa"/>
        <w:tblLayout w:type="fixed"/>
        <w:tblCellMar>
          <w:top w:w="28" w:type="dxa"/>
          <w:left w:w="28" w:type="dxa"/>
          <w:bottom w:w="28" w:type="dxa"/>
          <w:right w:w="28" w:type="dxa"/>
        </w:tblCellMar>
      </w:tblPr>
      <w:tblGrid>
        <w:gridCol w:w="2403"/>
        <w:gridCol w:w="2112"/>
        <w:gridCol w:w="2129"/>
        <w:gridCol w:w="441"/>
        <w:gridCol w:w="441"/>
        <w:gridCol w:w="632"/>
      </w:tblGrid>
      <w:tr>
        <w:trPr/>
        <w:tc>
          <w:tcPr>
            <w:tcW w:w="2403"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Country</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Colombia Inc.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Colombia Inc. - COLOMBIA BRANCH</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 Fortaleza Branch</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 Hortolandia/SP Branch (A)</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 Hortolandia/SP Branch (B)</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 Rio de Janeiro Branch</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 Sao Paulo Branch (Barueri - Alameda Rio Negro)</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 Sao Paulo Branch (Cajamar)</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 Sao Paulo Branch (Rua Verbo Divino)</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 São Paulo Branch (Santana do Parnaíba)</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Computadores do Brasil Ltda.</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Computer (Pty) Limited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Computer de Chile Ltda.</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Computer Holdings L.P.</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Computer, S.A.U.</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Computer, spol. s r.o.</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Czechia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Conduit Funding-B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Corporation (Thailand) Co., Ltd.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Corporation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Costa Rica SA</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Costa Rica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Depositor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DFS Corporation</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DFS Holdings L.L.C.</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El Salvador, Limitada</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 Salvador</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Emerging Markets (EMEA)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Tunisia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Emerging Markets (EMEA) Limited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Emerging Markets (EMEA) Limited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Jordan</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Emerging Markets (EMEA) Limited (Kazakhstan Representative Office)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Kazakhstan</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Emerging Markets (EMEA) Limited (Kenya Branch)</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Kenya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Emerging Markets (EMEA) Limited - Representative Office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Lebanon</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EMERGING MARKETS (EMEA) LIMITED za usluge, Podružnica Zagreb</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Croatia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Finance Trust 2023-1</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Finance Trust 2023-2</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Finance Trust 2023-3</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Finance Trust 2024-1</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Finance Trust 2024-2</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Finance Trust 2025-1</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Finance Trust 2025-2</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Funding L.P.</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Equipment GP L.L.C.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Federal Systems Corporation</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Federal Systems GP L.L.C.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Federal Systems L.P.</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Federal Systems LP L.L.C.</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bl>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278" w:type="dxa"/>
        <w:jc w:val="left"/>
        <w:tblInd w:w="0" w:type="dxa"/>
        <w:tblLayout w:type="fixed"/>
        <w:tblCellMar>
          <w:top w:w="28" w:type="dxa"/>
          <w:left w:w="28" w:type="dxa"/>
          <w:bottom w:w="28" w:type="dxa"/>
          <w:right w:w="28" w:type="dxa"/>
        </w:tblCellMar>
      </w:tblPr>
      <w:tblGrid>
        <w:gridCol w:w="2253"/>
        <w:gridCol w:w="1980"/>
        <w:gridCol w:w="1991"/>
        <w:gridCol w:w="597"/>
        <w:gridCol w:w="597"/>
        <w:gridCol w:w="860"/>
      </w:tblGrid>
      <w:tr>
        <w:trPr/>
        <w:tc>
          <w:tcPr>
            <w:tcW w:w="225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Country</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Financial Services Canada Limited</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Financial Services Holding Pty Ltd</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Financial Services International Ireland Designated Activity Company</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Financial Services L.L.C.</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Financial Services Pte. Ltd.</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Financial Services Pty Ltd</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Financial Services Pty Ltd (Registered overseas ASIC company)</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FZ-LLC</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FZ-LLC - Abu Dhabi Branch</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FZ-LLC - BAHRAIN BRANCH</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Bahrain</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FZ-LLC - Qatar Branch</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Qatar</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Gesellschaft mbH</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B.V.</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B.V. (Singapore Branch)</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B.V. - Bangladesh Liaison Office</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Bangladesh</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B.V. - Philippines Representative Office</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B.V. - Sri Lanka Liaison / Representative Office</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Sri Lanka</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Business Center Sdn. Bhd.</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Holdings I LP</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Holdings III B.V.</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Holdings XV L.L.C.</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Holdings XVI L.L.C.</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Holdings XVII LLC</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Holdings XVIII LLC</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Global Pte. Ltd.</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GmbH</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Guatemala, Ltda.</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Guatemala</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Hong Kong Limited</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Hong Kong SAR China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Hungary Technology Solutions Trade LLC</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Hungary</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III - Comercio de Computadores, Unipessoal Lda</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Portugal</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Inc.</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Finance LLC</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Holdings Kft</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Hungary</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Holdings Limited</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Holdings VIII B.V.</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Inc. (Korea)</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Korea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L.L.C.</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Services India Private Limited</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Services Philippines, Inc.</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Latinoamerica, S. de R.L.</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Panama</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Leasing Mexico S. de RL de C.V.</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LLC</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Russia</w:t>
            </w:r>
          </w:p>
        </w:tc>
      </w:tr>
    </w:tbl>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744" w:type="dxa"/>
        <w:jc w:val="left"/>
        <w:tblInd w:w="0" w:type="dxa"/>
        <w:tblLayout w:type="fixed"/>
        <w:tblCellMar>
          <w:top w:w="28" w:type="dxa"/>
          <w:left w:w="28" w:type="dxa"/>
          <w:bottom w:w="28" w:type="dxa"/>
          <w:right w:w="28" w:type="dxa"/>
        </w:tblCellMar>
      </w:tblPr>
      <w:tblGrid>
        <w:gridCol w:w="2481"/>
        <w:gridCol w:w="2180"/>
        <w:gridCol w:w="2194"/>
        <w:gridCol w:w="550"/>
        <w:gridCol w:w="550"/>
        <w:gridCol w:w="789"/>
      </w:tblGrid>
      <w:tr>
        <w:trPr/>
        <w:tc>
          <w:tcPr>
            <w:tcW w:w="2481"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Country</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Marketing Corporation</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Marketing GP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Marketing L.P.</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Marketing LP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Mexico S.A. de C.V.</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Morocco SAS</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Morocco</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New Zealand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NV</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Panama S de RL</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Panama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Peru S.A.C.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Peru</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Procurement (Xiamen) Company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Procurement (Xiamen) Company Limited - Shanghai Branch</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Procurement (Xiamen) Company Limited - Shenzhen Branch</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Product and Process Innovation Services Corp.</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Products (Poland) Sp.z.o.o.</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Products Corporation</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Products GP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Products L.P.</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Products LP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Products Unlimited Company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Products Unlimited Company Eesti filiaal</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Estonia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PS Limited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Puerto Rico Corp.</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Revolver Company L.P.</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Revolver GP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Revolving Transferor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S.p.A.</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s.r.o.</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Slovakia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S.à r.l</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Luxembourg</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SA</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SAS</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Morocco</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SAS</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Services (China) Company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Soluzioni Finanziarie S.r.l.</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Sp. z o.o.</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Systems TSI (Hungary) Likviditásmenedzsment Korlátolt Felelısségő Társaság</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Hungary</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Taiwan B.V.</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Taiwan B.V., Taiwan Branch</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and Solutions L.L.C – OPC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Bulgaria EOOD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Bulgaria</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Capital,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d.o.o. Beograd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Serbia</w:t>
            </w:r>
          </w:p>
        </w:tc>
      </w:tr>
    </w:tbl>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394" w:type="dxa"/>
        <w:jc w:val="left"/>
        <w:tblInd w:w="0" w:type="dxa"/>
        <w:tblLayout w:type="fixed"/>
        <w:tblCellMar>
          <w:top w:w="28" w:type="dxa"/>
          <w:left w:w="28" w:type="dxa"/>
          <w:bottom w:w="28" w:type="dxa"/>
          <w:right w:w="28" w:type="dxa"/>
        </w:tblCellMar>
      </w:tblPr>
      <w:tblGrid>
        <w:gridCol w:w="1993"/>
        <w:gridCol w:w="1750"/>
        <w:gridCol w:w="1762"/>
        <w:gridCol w:w="550"/>
        <w:gridCol w:w="550"/>
        <w:gridCol w:w="789"/>
      </w:tblGrid>
      <w:tr>
        <w:trPr/>
        <w:tc>
          <w:tcPr>
            <w:tcW w:w="199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Country</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DFS Holdings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Egypt Limited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Egypt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Japan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Kazakhstan and Central Asia LLP</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Kazakhstan</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Lithuania UAB</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Lithuania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Pakistan (Private)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Pakistan</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Philippines Inc.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Regional Headquarter Company</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Single Shareholder Limited Liability Company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Technologies SLO, spremljajoče marketinške storitve, d.o.o.</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Slovenia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Technology &amp; Solutions Israel Ltd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Technology &amp; Solutions Nigeria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Nigeria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Technology and Solutions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Qatar</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Technology Products And Services Single Member S.A.</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Greece</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Technology S.R.L.</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Romania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Teknoloji Limited Sirketi</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Teknoloji Limited Sirketi - Ankara Branch</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Trading (Kunshan) Company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UK Group Pension Scheme 2018</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USA Corporation</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USA GP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USA L.P.</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USA LP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Vietnam Company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Vietnam Company Limited – Hanoi Branch</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World Trade Corporation</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World Trade GP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World Trade L.P.</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World Trade LP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Denali Intermediate Inc.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DFS B.V.</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ECM Software Group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Cyprus</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(Benelux) B.V.</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Australia Pty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Computer Systems</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Qatar</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Computer Systems (China) Co., Ltd.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Computer Systems (Malaysia) Sdn. Bhd.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Computer Systems (South Asia) Pte. Ltd.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Computer Systems Austria GmbH</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Computer Systems Austria GmbH (“Rep Office in Egypt”)</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Egypt</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Computer Systems Austria GmbH - Abu Dhabi</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Arab Emirates</w:t>
            </w:r>
          </w:p>
        </w:tc>
      </w:tr>
    </w:tbl>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914" w:type="dxa"/>
        <w:jc w:val="left"/>
        <w:tblInd w:w="0" w:type="dxa"/>
        <w:tblLayout w:type="fixed"/>
        <w:tblCellMar>
          <w:top w:w="28" w:type="dxa"/>
          <w:left w:w="28" w:type="dxa"/>
          <w:bottom w:w="28" w:type="dxa"/>
          <w:right w:w="28" w:type="dxa"/>
        </w:tblCellMar>
      </w:tblPr>
      <w:tblGrid>
        <w:gridCol w:w="2905"/>
        <w:gridCol w:w="2552"/>
        <w:gridCol w:w="2568"/>
        <w:gridCol w:w="550"/>
        <w:gridCol w:w="550"/>
        <w:gridCol w:w="789"/>
      </w:tblGrid>
      <w:tr>
        <w:trPr/>
        <w:tc>
          <w:tcPr>
            <w:tcW w:w="2905"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Country</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Computer Systems Mexico, S.A. de CV</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Corporation</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Egypt Service Center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Egypt</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Equity Assets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Europe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Global Holdings Company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Global Holdings Company (Foreign company registered in Australia)</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Information Systems (Thailand) Limited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Information Systems International Unlimited Company</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Information Systems Management Limited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Information Systems Management Limited, German Branch</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Information Systems Nigeria Limited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Nigeria</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Information Technology Research &amp; Development (Beijing) Co., Ltd.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Information Technology Research &amp; Development (Chengdu) Co., Ltd.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Information Technology Research &amp; Development (Shanghai) Co., Ltd.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International Unlimited Company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IP Holding Company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Ireland Holdings Unlimited Company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Israel Advanced Information Technologies Ltd.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Middle East</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St. Petersburg Development Centre</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Russia</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LLC Dell Ukraine</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Ukraine</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LLC “EMC Information Systems Ukraine”</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Ukraine</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NBT Investment Partners LLC</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Newfound Investment Partners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 Dell Ab</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Finland</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Dell Indonesia</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 Office of "Dell Emerging Markets (EMEA) Limited" in the Republic of Azerbaijan</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Azerbaijan</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ScaleIO LLC</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Sichuan An Cheng Security Technology Company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Representative Office of Dell Global B.V. in Hanoi City</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Representative Office of Dell Global B.V. in Ho Chi Minh City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Representative Office of EMC Computer Systems (South Asia) Pte. Ltd. in Ho Chi Minh City</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Virtustream Cloud Services Ireland Unlimited Company</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Virtustream Germany GmbH</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Virtustream Ireland Limited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Virtustream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Jersey</w:t>
            </w:r>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Virtustream Switzerland Sàrl, en liquidation</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Virtustream UK Limited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color w:val="000000"/>
        </w:rPr>
      </w:pPr>
      <w:r>
        <w:rPr>
          <w:color w:val="000000"/>
        </w:rPr>
        <w:t>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Subsidiary Guarantors and Issuers of Guaranteed Securities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Guaranteed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securities (collectively referred to in this exhibit as the “Senior Notes”) issued by Dell International L.L.C., a Delaware limited liability company and wholly-owned subsidiary of Dell Technologies Inc. (“Dell Technologies”), and EMC Corporation, a Massachusetts corporation and wholly-owned subsidiary of Dell Technologies, were outstanding as of January 30, 2026.</w:t>
      </w:r>
    </w:p>
    <w:p>
      <w:pPr>
        <w:pStyle w:val="TextBody"/>
        <w:bidi w:val="0"/>
        <w:spacing w:lineRule="auto" w:line="288" w:before="0" w:after="2"/>
        <w:jc w:val="left"/>
        <w:rPr>
          <w:color w:val="000000"/>
        </w:rPr>
      </w:pPr>
      <w:r>
        <w:rPr>
          <w:color w:val="000000"/>
        </w:rPr>
        <w:t> </w:t>
      </w:r>
    </w:p>
    <w:tbl>
      <w:tblPr>
        <w:tblW w:w="2684" w:type="dxa"/>
        <w:jc w:val="left"/>
        <w:tblInd w:w="0" w:type="dxa"/>
        <w:tblLayout w:type="fixed"/>
        <w:tblCellMar>
          <w:top w:w="28" w:type="dxa"/>
          <w:left w:w="28" w:type="dxa"/>
          <w:bottom w:w="28" w:type="dxa"/>
          <w:right w:w="28" w:type="dxa"/>
        </w:tblCellMar>
      </w:tblPr>
      <w:tblGrid>
        <w:gridCol w:w="858"/>
        <w:gridCol w:w="756"/>
        <w:gridCol w:w="1070"/>
      </w:tblGrid>
      <w:tr>
        <w:trPr/>
        <w:tc>
          <w:tcPr>
            <w:tcW w:w="8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Senior Notes</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4.900% Senior Notes due 2026</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6.020% Senior Notes due 2026</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6.100% Senior Notes due 2027</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Senior Notes due 2028</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5.250% Senior Notes due 2028</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4.150% Senior Notes due 2029</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5.300% Senior Notes due 2029</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4.350% Senior Notes due 2030</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5.000% Senior Notes due 2030</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6.200% Senior Notes due 2030</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4.500% Senior Notes due 2031</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4.750% Senior Notes due 2032</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5.300% Senior Notes due 2032</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Senior Notes due 2033</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5.400% Senior Notes due 2034</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4.850% Senior Notes due 2035</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5.500% Senior Notes due 2035</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5.100% Senior Notes due 2036</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8.100% Senior Notes due 2036</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3.375% Senior Notes due 2041</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8.350% Senior Notes due 2046</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3.450% Senior Notes due 2051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Obligors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30, 2026, the obligors under the Senior Notes consisted of Dell Technologies, as a guarantor, and its subsidiaries listed in the following table (together with Dell Technologies, the “Obligors”).</w:t>
      </w:r>
    </w:p>
    <w:tbl>
      <w:tblPr>
        <w:tblW w:w="7539" w:type="dxa"/>
        <w:jc w:val="left"/>
        <w:tblInd w:w="0" w:type="dxa"/>
        <w:tblLayout w:type="fixed"/>
        <w:tblCellMar>
          <w:top w:w="28" w:type="dxa"/>
          <w:left w:w="28" w:type="dxa"/>
          <w:bottom w:w="28" w:type="dxa"/>
          <w:right w:w="28" w:type="dxa"/>
        </w:tblCellMar>
      </w:tblPr>
      <w:tblGrid>
        <w:gridCol w:w="766"/>
        <w:gridCol w:w="673"/>
        <w:gridCol w:w="676"/>
        <w:gridCol w:w="109"/>
        <w:gridCol w:w="109"/>
        <w:gridCol w:w="109"/>
        <w:gridCol w:w="1199"/>
        <w:gridCol w:w="1199"/>
        <w:gridCol w:w="1202"/>
        <w:gridCol w:w="109"/>
        <w:gridCol w:w="109"/>
        <w:gridCol w:w="109"/>
        <w:gridCol w:w="342"/>
        <w:gridCol w:w="342"/>
        <w:gridCol w:w="48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8"/>
              </w:rPr>
            </w:pPr>
            <w:r>
              <w:rPr>
                <w:rFonts w:ascii="Times New Roman;serif" w:hAnsi="Times New Roman;serif"/>
                <w:b/>
                <w:color w:val="000000"/>
                <w:sz w:val="18"/>
              </w:rPr>
              <w:t>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Obligor Type</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Guarantor</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Dell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Denali Intermediate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Guarantor</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480" w:after="480"/>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 333-213515, No. 333-232675, No. 333-265446, No. 333-269390, No. 333-272885) of Dell Technologies Inc. of our report dated March 16, 2026 relating to the financial statements and the effectiveness of internal control over financial reporting, which appears in this Form 10-K.</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Austin, Texas</w:t>
        <w:br/>
        <w:t>March 16,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pPr>
      <w:r>
        <w:rPr>
          <w:rFonts w:ascii="Times New Roman;serif" w:hAnsi="Times New Roman;serif"/>
          <w:b/>
          <w:color w:val="000000"/>
          <w:sz w:val="20"/>
        </w:rPr>
        <w:t>Exhibit 31.1</w:t>
      </w:r>
      <w:r>
        <w:rPr>
          <w:color w:val="000000"/>
        </w:rPr>
        <w:t xml:space="preserve"> </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MICHAEL S. DELL, CHAIRMAN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PURSUANT TO RULE 13a-14(a)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AS ADOPTED</w:t>
      </w:r>
    </w:p>
    <w:p>
      <w:pPr>
        <w:pStyle w:val="TextBody"/>
        <w:bidi w:val="0"/>
        <w:spacing w:lineRule="auto" w:line="288" w:before="0" w:after="240"/>
        <w:jc w:val="center"/>
        <w:rPr/>
      </w:pPr>
      <w:r>
        <w:rPr>
          <w:rFonts w:ascii="Times New Roman;serif" w:hAnsi="Times New Roman;serif"/>
          <w:b/>
          <w:color w:val="000000"/>
          <w:sz w:val="20"/>
        </w:rPr>
        <w:t>PURSUANT TO SECTION 302 OF THE SARBANES-OXLEY ACT OF 2002</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Michael S. Dell, certify that: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Dell Technologies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022" w:type="dxa"/>
        <w:jc w:val="center"/>
        <w:tblInd w:w="0" w:type="dxa"/>
        <w:tblLayout w:type="fixed"/>
        <w:tblCellMar>
          <w:top w:w="28" w:type="dxa"/>
          <w:left w:w="28" w:type="dxa"/>
          <w:bottom w:w="28" w:type="dxa"/>
          <w:right w:w="28" w:type="dxa"/>
        </w:tblCellMar>
      </w:tblPr>
      <w:tblGrid>
        <w:gridCol w:w="511"/>
        <w:gridCol w:w="447"/>
        <w:gridCol w:w="452"/>
        <w:gridCol w:w="109"/>
        <w:gridCol w:w="109"/>
        <w:gridCol w:w="109"/>
        <w:gridCol w:w="961"/>
        <w:gridCol w:w="961"/>
        <w:gridCol w:w="1363"/>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DELL</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Dell</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 xml:space="preserve">Exhibit 31.2 </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DAVID KENNEDY, EXECUTIVE VICE PRESIDENT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 PURSUANT TO RULE 13a-14(a)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AS ADOPTED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David Kennedy, certify that: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Dell Technologies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6236" w:type="dxa"/>
        <w:jc w:val="center"/>
        <w:tblInd w:w="0" w:type="dxa"/>
        <w:tblLayout w:type="fixed"/>
        <w:tblCellMar>
          <w:top w:w="28" w:type="dxa"/>
          <w:left w:w="28" w:type="dxa"/>
          <w:bottom w:w="28" w:type="dxa"/>
          <w:right w:w="28" w:type="dxa"/>
        </w:tblCellMar>
      </w:tblPr>
      <w:tblGrid>
        <w:gridCol w:w="511"/>
        <w:gridCol w:w="447"/>
        <w:gridCol w:w="452"/>
        <w:gridCol w:w="109"/>
        <w:gridCol w:w="109"/>
        <w:gridCol w:w="109"/>
        <w:gridCol w:w="1317"/>
        <w:gridCol w:w="1317"/>
        <w:gridCol w:w="1865"/>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KENNEDY</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Kennedy</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MICHAEL S. DELL, CHAIRMAN AND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DAVID KENNEDY, EXECUTIVE VICE PRESIDENT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CHIEF FINANCIAL OFFICER, PURSUANT TO 18 U.S.C. SECTION 1350,</w:t>
      </w:r>
    </w:p>
    <w:p>
      <w:pPr>
        <w:pStyle w:val="TextBody"/>
        <w:bidi w:val="0"/>
        <w:spacing w:lineRule="auto" w:line="288" w:before="0" w:after="240"/>
        <w:jc w:val="center"/>
        <w:rPr/>
      </w:pPr>
      <w:r>
        <w:rPr>
          <w:rFonts w:ascii="Times New Roman;serif" w:hAnsi="Times New Roman;serif"/>
          <w:b/>
          <w:color w:val="000000"/>
          <w:sz w:val="20"/>
        </w:rPr>
        <w:t>AS ADOPTED PURSUANT TO SECTION 906 OF THE SARBANES-OXLEY ACT OF 2002</w:t>
      </w:r>
      <w:r>
        <w:rPr>
          <w:color w:val="00000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undersigned officers of Dell Technologies Inc. hereby certify that (a) Dell Technologies Inc.’s Annual Report on Form 10-K for the fiscal year ended January 30, 2026,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tbl>
      <w:tblPr>
        <w:tblW w:w="5022" w:type="dxa"/>
        <w:jc w:val="center"/>
        <w:tblInd w:w="0" w:type="dxa"/>
        <w:tblLayout w:type="fixed"/>
        <w:tblCellMar>
          <w:top w:w="28" w:type="dxa"/>
          <w:left w:w="28" w:type="dxa"/>
          <w:bottom w:w="28" w:type="dxa"/>
          <w:right w:w="28" w:type="dxa"/>
        </w:tblCellMar>
      </w:tblPr>
      <w:tblGrid>
        <w:gridCol w:w="511"/>
        <w:gridCol w:w="447"/>
        <w:gridCol w:w="452"/>
        <w:gridCol w:w="109"/>
        <w:gridCol w:w="109"/>
        <w:gridCol w:w="109"/>
        <w:gridCol w:w="961"/>
        <w:gridCol w:w="961"/>
        <w:gridCol w:w="1363"/>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DELL</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Dell</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r>
    </w:tbl>
    <w:tbl>
      <w:tblPr>
        <w:tblW w:w="6236" w:type="dxa"/>
        <w:jc w:val="center"/>
        <w:tblInd w:w="0" w:type="dxa"/>
        <w:tblLayout w:type="fixed"/>
        <w:tblCellMar>
          <w:top w:w="28" w:type="dxa"/>
          <w:left w:w="28" w:type="dxa"/>
          <w:bottom w:w="28" w:type="dxa"/>
          <w:right w:w="28" w:type="dxa"/>
        </w:tblCellMar>
      </w:tblPr>
      <w:tblGrid>
        <w:gridCol w:w="511"/>
        <w:gridCol w:w="447"/>
        <w:gridCol w:w="452"/>
        <w:gridCol w:w="109"/>
        <w:gridCol w:w="109"/>
        <w:gridCol w:w="109"/>
        <w:gridCol w:w="1317"/>
        <w:gridCol w:w="1317"/>
        <w:gridCol w:w="1865"/>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KENNEDY</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Kennedy</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1996/000119312521116271/d142017dex21.htm" TargetMode="External"/><Relationship Id="rId4" Type="http://schemas.openxmlformats.org/officeDocument/2006/relationships/hyperlink" Target="https://www.sec.gov/Archives/edgar/data/1571996/000119312521116271/d142017dex21.htm" TargetMode="External"/><Relationship Id="rId5" Type="http://schemas.openxmlformats.org/officeDocument/2006/relationships/hyperlink" Target="https://www.sec.gov/Archives/edgar/data/1571996/000119312521294210/d81504dex991.htm" TargetMode="External"/><Relationship Id="rId6" Type="http://schemas.openxmlformats.org/officeDocument/2006/relationships/hyperlink" Target="https://www.sec.gov/Archives/edgar/data/1571996/000119312521294210/d81504dex991.htm" TargetMode="External"/><Relationship Id="rId7" Type="http://schemas.openxmlformats.org/officeDocument/2006/relationships/hyperlink" Target="https://www.sec.gov/Archives/edgar/data/1571996/000119312521315488/d146470dex992.htm" TargetMode="External"/><Relationship Id="rId8" Type="http://schemas.openxmlformats.org/officeDocument/2006/relationships/hyperlink" Target="https://www.sec.gov/Archives/edgar/data/1571996/000119312521315488/d146470dex992.htm" TargetMode="External"/><Relationship Id="rId9" Type="http://schemas.openxmlformats.org/officeDocument/2006/relationships/hyperlink" Target="https://www.sec.gov/Archives/edgar/data/1571996/000157199622000025/ex31sixtharcertofdti.htm" TargetMode="External"/><Relationship Id="rId10" Type="http://schemas.openxmlformats.org/officeDocument/2006/relationships/hyperlink" Target="https://www.sec.gov/Archives/edgar/data/1571996/000157199622000025/ex31sixtharcertofdti.htm" TargetMode="External"/><Relationship Id="rId11" Type="http://schemas.openxmlformats.org/officeDocument/2006/relationships/hyperlink" Target="https://www.sec.gov/Archives/edgar/data/1571996/000157199622000025/ex32thirdbylawsofdti.htm" TargetMode="External"/><Relationship Id="rId12" Type="http://schemas.openxmlformats.org/officeDocument/2006/relationships/hyperlink" Target="https://www.sec.gov/Archives/edgar/data/1571996/000157199622000025/ex32thirdbylawsofdti.htm" TargetMode="External"/><Relationship Id="rId13" Type="http://schemas.openxmlformats.org/officeDocument/2006/relationships/hyperlink" Target="https://www.sec.gov/Archives/edgar/data/826083/0000950134-98-003605.txt" TargetMode="External"/><Relationship Id="rId14" Type="http://schemas.openxmlformats.org/officeDocument/2006/relationships/hyperlink" Target="https://www.sec.gov/Archives/edgar/data/826083/0000950134-98-003605.txt" TargetMode="External"/><Relationship Id="rId15" Type="http://schemas.openxmlformats.org/officeDocument/2006/relationships/hyperlink" Target="https://www.sec.gov/Archives/edgar/data/826083/000095013408006801/d55879exv4w1.htm" TargetMode="External"/><Relationship Id="rId16" Type="http://schemas.openxmlformats.org/officeDocument/2006/relationships/hyperlink" Target="https://www.sec.gov/Archives/edgar/data/826083/000095013408006801/d55879exv4w1.htm" TargetMode="External"/><Relationship Id="rId17" Type="http://schemas.openxmlformats.org/officeDocument/2006/relationships/hyperlink" Target="https://www.sec.gov/Archives/edgar/data/826083/000119312509073812/dex41.htm" TargetMode="External"/><Relationship Id="rId18" Type="http://schemas.openxmlformats.org/officeDocument/2006/relationships/hyperlink" Target="https://www.sec.gov/Archives/edgar/data/826083/000119312509073812/dex41.htm" TargetMode="External"/><Relationship Id="rId19" Type="http://schemas.openxmlformats.org/officeDocument/2006/relationships/hyperlink" Target="https://www.sec.gov/Archives/edgar/data/826083/000095012310085135/d75835exv4w1.htm" TargetMode="External"/><Relationship Id="rId20" Type="http://schemas.openxmlformats.org/officeDocument/2006/relationships/hyperlink" Target="https://www.sec.gov/Archives/edgar/data/826083/000095012310085135/d75835exv4w1.htm" TargetMode="External"/><Relationship Id="rId21" Type="http://schemas.openxmlformats.org/officeDocument/2006/relationships/hyperlink" Target="https://www.sec.gov/Archives/edgar/data/1571996/000119312516611855/d73946dex414.htm" TargetMode="External"/><Relationship Id="rId22" Type="http://schemas.openxmlformats.org/officeDocument/2006/relationships/hyperlink" Target="https://www.sec.gov/Archives/edgar/data/1571996/000119312516611855/d73946dex414.htm" TargetMode="External"/><Relationship Id="rId23" Type="http://schemas.openxmlformats.org/officeDocument/2006/relationships/hyperlink" Target="https://www.sec.gov/Archives/edgar/data/1571996/000119312516611855/d73946dex421.htm" TargetMode="External"/><Relationship Id="rId24" Type="http://schemas.openxmlformats.org/officeDocument/2006/relationships/hyperlink" Target="https://www.sec.gov/Archives/edgar/data/1571996/000119312516611855/d73946dex421.htm" TargetMode="External"/><Relationship Id="rId25" Type="http://schemas.openxmlformats.org/officeDocument/2006/relationships/hyperlink" Target="https://www.sec.gov/Archives/edgar/data/1571996/000119312516611855/d73946dex423.htm" TargetMode="External"/><Relationship Id="rId26" Type="http://schemas.openxmlformats.org/officeDocument/2006/relationships/hyperlink" Target="https://www.sec.gov/Archives/edgar/data/1571996/000119312516611855/d73946dex423.htm" TargetMode="External"/><Relationship Id="rId27" Type="http://schemas.openxmlformats.org/officeDocument/2006/relationships/hyperlink" Target="https://www.sec.gov/Archives/edgar/data/1571996/000119312516611855/d73946dex425.htm" TargetMode="External"/><Relationship Id="rId28" Type="http://schemas.openxmlformats.org/officeDocument/2006/relationships/hyperlink" Target="https://www.sec.gov/Archives/edgar/data/1571996/000119312516611855/d73946dex425.htm" TargetMode="External"/><Relationship Id="rId29" Type="http://schemas.openxmlformats.org/officeDocument/2006/relationships/hyperlink" Target="https://www.sec.gov/Archives/edgar/data/1571996/000119312516706567/d238698dex41.htm" TargetMode="External"/><Relationship Id="rId30" Type="http://schemas.openxmlformats.org/officeDocument/2006/relationships/hyperlink" Target="https://www.sec.gov/Archives/edgar/data/1571996/000119312516706567/d238698dex41.htm" TargetMode="External"/><Relationship Id="rId31" Type="http://schemas.openxmlformats.org/officeDocument/2006/relationships/hyperlink" Target="https://www.sec.gov/Archives/edgar/data/1571996/000119312516706567/d238698dex42.htm" TargetMode="External"/><Relationship Id="rId32" Type="http://schemas.openxmlformats.org/officeDocument/2006/relationships/hyperlink" Target="https://www.sec.gov/Archives/edgar/data/1571996/000119312516706567/d238698dex42.htm" TargetMode="External"/><Relationship Id="rId33" Type="http://schemas.openxmlformats.org/officeDocument/2006/relationships/hyperlink" Target="https://www.sec.gov/Archives/edgar/data/1571996/000119312516706567/d238698dex43.htm" TargetMode="External"/><Relationship Id="rId34" Type="http://schemas.openxmlformats.org/officeDocument/2006/relationships/hyperlink" Target="https://www.sec.gov/Archives/edgar/data/1571996/000119312516706567/d238698dex43.htm" TargetMode="External"/><Relationship Id="rId35" Type="http://schemas.openxmlformats.org/officeDocument/2006/relationships/hyperlink" Target="https://www.sec.gov/Archives/edgar/data/1571996/000157199619000008/exhibit432_020119.htm" TargetMode="External"/><Relationship Id="rId36" Type="http://schemas.openxmlformats.org/officeDocument/2006/relationships/hyperlink" Target="https://www.sec.gov/Archives/edgar/data/1571996/000157199619000008/exhibit432_020119.htm" TargetMode="External"/><Relationship Id="rId37" Type="http://schemas.openxmlformats.org/officeDocument/2006/relationships/hyperlink" Target="https://www.sec.gov/Archives/edgar/data/1571996/000119312519082281/d708174dex411.htm" TargetMode="External"/><Relationship Id="rId38" Type="http://schemas.openxmlformats.org/officeDocument/2006/relationships/hyperlink" Target="https://www.sec.gov/Archives/edgar/data/1571996/000119312519082281/d708174dex411.htm" TargetMode="External"/><Relationship Id="rId39" Type="http://schemas.openxmlformats.org/officeDocument/2006/relationships/hyperlink" Target="https://www.sec.gov/Archives/edgar/data/1571996/000119312519082281/d708174dex41.htm" TargetMode="External"/><Relationship Id="rId40" Type="http://schemas.openxmlformats.org/officeDocument/2006/relationships/hyperlink" Target="https://www.sec.gov/Archives/edgar/data/1571996/000119312519082281/d708174dex41.htm" TargetMode="External"/><Relationship Id="rId41" Type="http://schemas.openxmlformats.org/officeDocument/2006/relationships/hyperlink" Target="https://www.sec.gov/Archives/edgar/data/1571996/000119312519082281/d708174dex43.htm" TargetMode="External"/><Relationship Id="rId42" Type="http://schemas.openxmlformats.org/officeDocument/2006/relationships/hyperlink" Target="https://www.sec.gov/Archives/edgar/data/1571996/000119312519082281/d708174dex43.htm" TargetMode="External"/><Relationship Id="rId43" Type="http://schemas.openxmlformats.org/officeDocument/2006/relationships/hyperlink" Target="https://www.sec.gov/Archives/edgar/data/1571996/000119312519082281/d708174dex44.htm" TargetMode="External"/><Relationship Id="rId44" Type="http://schemas.openxmlformats.org/officeDocument/2006/relationships/hyperlink" Target="https://www.sec.gov/Archives/edgar/data/1571996/000119312519082281/d708174dex44.htm" TargetMode="External"/><Relationship Id="rId45" Type="http://schemas.openxmlformats.org/officeDocument/2006/relationships/hyperlink" Target="https://www.sec.gov/Archives/edgar/data/1571996/000119312520102602/d912603dex41.htm" TargetMode="External"/><Relationship Id="rId46" Type="http://schemas.openxmlformats.org/officeDocument/2006/relationships/hyperlink" Target="https://www.sec.gov/Archives/edgar/data/1571996/000119312520102602/d912603dex41.htm" TargetMode="External"/><Relationship Id="rId47" Type="http://schemas.openxmlformats.org/officeDocument/2006/relationships/hyperlink" Target="https://www.sec.gov/Archives/edgar/data/1571996/000119312520102602/d912603dex43.htm" TargetMode="External"/><Relationship Id="rId48" Type="http://schemas.openxmlformats.org/officeDocument/2006/relationships/hyperlink" Target="https://www.sec.gov/Archives/edgar/data/1571996/000119312520102602/d912603dex43.htm" TargetMode="External"/><Relationship Id="rId49" Type="http://schemas.openxmlformats.org/officeDocument/2006/relationships/hyperlink" Target="https://www.sec.gov/Archives/edgar/data/1571996/000119312520102602/d912603dex44.htm" TargetMode="External"/><Relationship Id="rId50" Type="http://schemas.openxmlformats.org/officeDocument/2006/relationships/hyperlink" Target="https://www.sec.gov/Archives/edgar/data/1571996/000119312520102602/d912603dex44.htm" TargetMode="External"/><Relationship Id="rId51" Type="http://schemas.openxmlformats.org/officeDocument/2006/relationships/hyperlink" Target="https://www.sec.gov/Archives/edgar/data/1571996/000119312521357927/d146295dex41.htm" TargetMode="External"/><Relationship Id="rId52" Type="http://schemas.openxmlformats.org/officeDocument/2006/relationships/hyperlink" Target="https://www.sec.gov/Archives/edgar/data/1571996/000119312521357927/d146295dex41.htm" TargetMode="External"/><Relationship Id="rId53" Type="http://schemas.openxmlformats.org/officeDocument/2006/relationships/hyperlink" Target="https://www.sec.gov/Archives/edgar/data/1571996/000119312521357927/d146295dex42.htm" TargetMode="External"/><Relationship Id="rId54" Type="http://schemas.openxmlformats.org/officeDocument/2006/relationships/hyperlink" Target="https://www.sec.gov/Archives/edgar/data/1571996/000119312521357927/d146295dex42.htm" TargetMode="External"/><Relationship Id="rId55" Type="http://schemas.openxmlformats.org/officeDocument/2006/relationships/hyperlink" Target="https://www.sec.gov/Archives/edgar/data/1571996/000119312521357927/d146295dex43.htm" TargetMode="External"/><Relationship Id="rId56" Type="http://schemas.openxmlformats.org/officeDocument/2006/relationships/hyperlink" Target="https://www.sec.gov/Archives/edgar/data/1571996/000119312521357927/d146295dex43.htm" TargetMode="External"/><Relationship Id="rId57" Type="http://schemas.openxmlformats.org/officeDocument/2006/relationships/hyperlink" Target="https://www.sec.gov/Archives/edgar/data/1571996/000119312521357927/d146295dex42.htm" TargetMode="External"/><Relationship Id="rId58" Type="http://schemas.openxmlformats.org/officeDocument/2006/relationships/hyperlink" Target="https://www.sec.gov/Archives/edgar/data/1571996/000119312521357927/d146295dex42.htm" TargetMode="External"/><Relationship Id="rId59" Type="http://schemas.openxmlformats.org/officeDocument/2006/relationships/hyperlink" Target="https://www.sec.gov/Archives/edgar/data/1571996/000119312521357927/d146295dex43.htm" TargetMode="External"/><Relationship Id="rId60" Type="http://schemas.openxmlformats.org/officeDocument/2006/relationships/hyperlink" Target="https://www.sec.gov/Archives/edgar/data/1571996/000119312521357927/d146295dex43.htm" TargetMode="External"/><Relationship Id="rId61" Type="http://schemas.openxmlformats.org/officeDocument/2006/relationships/hyperlink" Target="https://www.sec.gov/Archives/edgar/data/1571996/000119312521357927/d146295dex43.htm" TargetMode="External"/><Relationship Id="rId62" Type="http://schemas.openxmlformats.org/officeDocument/2006/relationships/hyperlink" Target="https://www.sec.gov/Archives/edgar/data/1571996/000119312518360943/d673794dex104.htm" TargetMode="External"/><Relationship Id="rId63" Type="http://schemas.openxmlformats.org/officeDocument/2006/relationships/hyperlink" Target="https://www.sec.gov/Archives/edgar/data/1571996/000119312518360943/d673794dex104.htm" TargetMode="External"/><Relationship Id="rId64" Type="http://schemas.openxmlformats.org/officeDocument/2006/relationships/hyperlink" Target="https://www.sec.gov/Archives/edgar/data/1571996/000119312518360943/d673794dex104.htm" TargetMode="External"/><Relationship Id="rId65" Type="http://schemas.openxmlformats.org/officeDocument/2006/relationships/hyperlink" Target="https://www.sec.gov/Archives/edgar/data/1571996/000157199620000017/exhibit440fy20.htm" TargetMode="External"/><Relationship Id="rId66" Type="http://schemas.openxmlformats.org/officeDocument/2006/relationships/hyperlink" Target="https://www.sec.gov/Archives/edgar/data/1571996/000157199620000017/exhibit440fy20.htm" TargetMode="External"/><Relationship Id="rId67" Type="http://schemas.openxmlformats.org/officeDocument/2006/relationships/hyperlink" Target="https://www.sec.gov/Archives/edgar/data/1571996/000157199620000017/exhibit440fy20.htm" TargetMode="External"/><Relationship Id="rId68" Type="http://schemas.openxmlformats.org/officeDocument/2006/relationships/hyperlink" Target="https://www.sec.gov/Archives/edgar/data/1571996/000157199620000017/exhibit440fy20.htm" TargetMode="External"/><Relationship Id="rId69" Type="http://schemas.openxmlformats.org/officeDocument/2006/relationships/hyperlink" Target="https://www.sec.gov/Archives/edgar/data/1571996/000157199620000017/exhibit440fy20.htm" TargetMode="External"/><Relationship Id="rId70" Type="http://schemas.openxmlformats.org/officeDocument/2006/relationships/hyperlink" Target="https://www.sec.gov/Archives/edgar/data/1571996/000157199620000017/exhibit440fy20.htm" TargetMode="External"/><Relationship Id="rId71" Type="http://schemas.openxmlformats.org/officeDocument/2006/relationships/hyperlink" Target="https://www.sec.gov/Archives/edgar/data/1571996/000157199620000034/exhibit49q1fy21.htm" TargetMode="External"/><Relationship Id="rId72" Type="http://schemas.openxmlformats.org/officeDocument/2006/relationships/hyperlink" Target="https://www.sec.gov/Archives/edgar/data/1571996/000157199620000034/exhibit49q1fy21.htm" TargetMode="External"/><Relationship Id="rId73" Type="http://schemas.openxmlformats.org/officeDocument/2006/relationships/hyperlink" Target="https://www.sec.gov/Archives/edgar/data/1571996/000157199620000034/exhibit49q1fy21.htm" TargetMode="External"/><Relationship Id="rId74" Type="http://schemas.openxmlformats.org/officeDocument/2006/relationships/hyperlink" Target="https://www.sec.gov/Archives/edgar/data/1571996/000157199620000051/exhibit41q3fy21.htm" TargetMode="External"/><Relationship Id="rId75" Type="http://schemas.openxmlformats.org/officeDocument/2006/relationships/hyperlink" Target="https://www.sec.gov/Archives/edgar/data/1571996/000157199620000051/exhibit41q3fy21.htm" TargetMode="External"/><Relationship Id="rId76" Type="http://schemas.openxmlformats.org/officeDocument/2006/relationships/hyperlink" Target="https://www.sec.gov/Archives/edgar/data/1571996/000119312523014260/d453590dex41.htm" TargetMode="External"/><Relationship Id="rId77" Type="http://schemas.openxmlformats.org/officeDocument/2006/relationships/hyperlink" Target="https://www.sec.gov/Archives/edgar/data/1571996/000119312523014260/d453590dex41.htm" TargetMode="External"/><Relationship Id="rId78" Type="http://schemas.openxmlformats.org/officeDocument/2006/relationships/hyperlink" Target="https://www.sec.gov/Archives/edgar/data/1571996/000119312523014260/d453590dex42.htm" TargetMode="External"/><Relationship Id="rId79" Type="http://schemas.openxmlformats.org/officeDocument/2006/relationships/hyperlink" Target="https://www.sec.gov/Archives/edgar/data/1571996/000119312523014260/d453590dex42.htm" TargetMode="External"/><Relationship Id="rId80" Type="http://schemas.openxmlformats.org/officeDocument/2006/relationships/hyperlink" Target="https://www.sec.gov/Archives/edgar/data/1571996/000119312523014260/d453590dex43.htm" TargetMode="External"/><Relationship Id="rId81" Type="http://schemas.openxmlformats.org/officeDocument/2006/relationships/hyperlink" Target="https://www.sec.gov/Archives/edgar/data/1571996/000119312523014260/d453590dex43.htm" TargetMode="External"/><Relationship Id="rId82" Type="http://schemas.openxmlformats.org/officeDocument/2006/relationships/hyperlink" Target="https://www.sec.gov/Archives/edgar/data/1571996/000119312524070193/d772920dex41.htm" TargetMode="External"/><Relationship Id="rId83" Type="http://schemas.openxmlformats.org/officeDocument/2006/relationships/hyperlink" Target="https://www.sec.gov/Archives/edgar/data/1571996/000119312524070193/d772920dex41.htm" TargetMode="External"/><Relationship Id="rId84" Type="http://schemas.openxmlformats.org/officeDocument/2006/relationships/hyperlink" Target="https://www.sec.gov/Archives/edgar/data/1571996/000119312524234446/d887607dex41.htm" TargetMode="External"/><Relationship Id="rId85" Type="http://schemas.openxmlformats.org/officeDocument/2006/relationships/hyperlink" Target="https://www.sec.gov/Archives/edgar/data/1571996/000119312524234446/d887607dex41.htm" TargetMode="External"/><Relationship Id="rId86" Type="http://schemas.openxmlformats.org/officeDocument/2006/relationships/hyperlink" Target="https://www.sec.gov/Archives/edgar/data/1571996/000119312524234446/d887607dex42.htm" TargetMode="External"/><Relationship Id="rId87" Type="http://schemas.openxmlformats.org/officeDocument/2006/relationships/hyperlink" Target="https://www.sec.gov/Archives/edgar/data/1571996/000119312524234446/d887607dex42.htm" TargetMode="External"/><Relationship Id="rId88" Type="http://schemas.openxmlformats.org/officeDocument/2006/relationships/hyperlink" Target="https://www.sec.gov/Archives/edgar/data/1571996/000119312523014260/d453590dex42.htm" TargetMode="External"/><Relationship Id="rId89" Type="http://schemas.openxmlformats.org/officeDocument/2006/relationships/hyperlink" Target="https://www.sec.gov/Archives/edgar/data/1571996/000119312523014260/d453590dex42.htm" TargetMode="External"/><Relationship Id="rId90" Type="http://schemas.openxmlformats.org/officeDocument/2006/relationships/hyperlink" Target="https://www.sec.gov/Archives/edgar/data/1571996/000119312523014260/d453590dex42.htm" TargetMode="External"/><Relationship Id="rId91" Type="http://schemas.openxmlformats.org/officeDocument/2006/relationships/hyperlink" Target="https://www.sec.gov/Archives/edgar/data/1571996/000119312523014260/d453590dex42.htm" TargetMode="External"/><Relationship Id="rId92" Type="http://schemas.openxmlformats.org/officeDocument/2006/relationships/hyperlink" Target="https://www.sec.gov/Archives/edgar/data/1571996/000119312523014260/d453590dex43.htm" TargetMode="External"/><Relationship Id="rId93" Type="http://schemas.openxmlformats.org/officeDocument/2006/relationships/hyperlink" Target="https://www.sec.gov/Archives/edgar/data/1571996/000119312523014260/d453590dex43.htm" TargetMode="External"/><Relationship Id="rId94" Type="http://schemas.openxmlformats.org/officeDocument/2006/relationships/hyperlink" Target="https://www.sec.gov/Archives/edgar/data/1571996/000119312523014260/d453590dex43.htm" TargetMode="External"/><Relationship Id="rId95" Type="http://schemas.openxmlformats.org/officeDocument/2006/relationships/hyperlink" Target="https://www.sec.gov/Archives/edgar/data/1571996/000119312523014260/d453590dex43.htm" TargetMode="External"/><Relationship Id="rId96" Type="http://schemas.openxmlformats.org/officeDocument/2006/relationships/hyperlink" Target="https://www.sec.gov/Archives/edgar/data/1571996/000119312524070193/d772920dex41.htm" TargetMode="External"/><Relationship Id="rId97" Type="http://schemas.openxmlformats.org/officeDocument/2006/relationships/hyperlink" Target="https://www.sec.gov/Archives/edgar/data/1571996/000119312524070193/d772920dex41.htm" TargetMode="External"/><Relationship Id="rId98" Type="http://schemas.openxmlformats.org/officeDocument/2006/relationships/hyperlink" Target="https://www.sec.gov/Archives/edgar/data/1571996/000119312524070193/d772920dex41.htm" TargetMode="External"/><Relationship Id="rId99" Type="http://schemas.openxmlformats.org/officeDocument/2006/relationships/hyperlink" Target="https://www.sec.gov/Archives/edgar/data/1571996/000119312524070193/d772920dex41.htm" TargetMode="External"/><Relationship Id="rId100" Type="http://schemas.openxmlformats.org/officeDocument/2006/relationships/hyperlink" Target="https://www.sec.gov/Archives/edgar/data/1571996/000119312524234446/d887607dex41.htm" TargetMode="External"/><Relationship Id="rId101" Type="http://schemas.openxmlformats.org/officeDocument/2006/relationships/hyperlink" Target="https://www.sec.gov/Archives/edgar/data/1571996/000119312524234446/d887607dex41.htm" TargetMode="External"/><Relationship Id="rId102" Type="http://schemas.openxmlformats.org/officeDocument/2006/relationships/hyperlink" Target="https://www.sec.gov/Archives/edgar/data/1571996/000119312524234446/d887607dex41.htm" TargetMode="External"/><Relationship Id="rId103" Type="http://schemas.openxmlformats.org/officeDocument/2006/relationships/hyperlink" Target="https://www.sec.gov/Archives/edgar/data/1571996/000119312524234446/d887607dex41.htm" TargetMode="External"/><Relationship Id="rId104" Type="http://schemas.openxmlformats.org/officeDocument/2006/relationships/hyperlink" Target="https://www.sec.gov/Archives/edgar/data/1571996/000119312524234446/d887607dex41.htm" TargetMode="External"/><Relationship Id="rId105" Type="http://schemas.openxmlformats.org/officeDocument/2006/relationships/hyperlink" Target="https://www.sec.gov/Archives/edgar/data/1571996/000119312524234446/d887607dex42.htm" TargetMode="External"/><Relationship Id="rId106" Type="http://schemas.openxmlformats.org/officeDocument/2006/relationships/hyperlink" Target="https://www.sec.gov/Archives/edgar/data/1571996/000119312524234446/d887607dex42.htm" TargetMode="External"/><Relationship Id="rId107" Type="http://schemas.openxmlformats.org/officeDocument/2006/relationships/hyperlink" Target="https://www.sec.gov/Archives/edgar/data/1571996/000119312524234446/d887607dex42.htm" TargetMode="External"/><Relationship Id="rId108" Type="http://schemas.openxmlformats.org/officeDocument/2006/relationships/hyperlink" Target="https://www.sec.gov/Archives/edgar/data/1571996/000119312524234446/d887607dex42.htm" TargetMode="External"/><Relationship Id="rId109" Type="http://schemas.openxmlformats.org/officeDocument/2006/relationships/hyperlink" Target="https://www.sec.gov/Archives/edgar/data/1571996/000119312524234446/d887607dex42.htm" TargetMode="External"/><Relationship Id="rId110" Type="http://schemas.openxmlformats.org/officeDocument/2006/relationships/hyperlink" Target="https://www.sec.gov/Archives/edgar/data/1571996/000119312525070461/d848892dex41.htm" TargetMode="External"/><Relationship Id="rId111" Type="http://schemas.openxmlformats.org/officeDocument/2006/relationships/hyperlink" Target="https://www.sec.gov/Archives/edgar/data/1571996/000119312525070461/d848892dex41.htm" TargetMode="External"/><Relationship Id="rId112" Type="http://schemas.openxmlformats.org/officeDocument/2006/relationships/hyperlink" Target="https://www.sec.gov/Archives/edgar/data/1571996/000119312525070461/d848892dex42.htm" TargetMode="External"/><Relationship Id="rId113" Type="http://schemas.openxmlformats.org/officeDocument/2006/relationships/hyperlink" Target="https://www.sec.gov/Archives/edgar/data/1571996/000119312525070461/d848892dex42.htm" TargetMode="External"/><Relationship Id="rId114" Type="http://schemas.openxmlformats.org/officeDocument/2006/relationships/hyperlink" Target="https://www.sec.gov/Archives/edgar/data/1571996/000119312525070461/d848892dex43.htm" TargetMode="External"/><Relationship Id="rId115" Type="http://schemas.openxmlformats.org/officeDocument/2006/relationships/hyperlink" Target="https://www.sec.gov/Archives/edgar/data/1571996/000119312525070461/d848892dex43.htm" TargetMode="External"/><Relationship Id="rId116" Type="http://schemas.openxmlformats.org/officeDocument/2006/relationships/hyperlink" Target="https://www.sec.gov/Archives/edgar/data/1571996/000119312525070461/d848892dex44.htm" TargetMode="External"/><Relationship Id="rId117" Type="http://schemas.openxmlformats.org/officeDocument/2006/relationships/hyperlink" Target="https://www.sec.gov/Archives/edgar/data/1571996/000119312525070461/d848892dex44.htm" TargetMode="External"/><Relationship Id="rId118" Type="http://schemas.openxmlformats.org/officeDocument/2006/relationships/hyperlink" Target="https://www.sec.gov/Archives/edgar/data/1571996/000119312525070461/d848892dex41.htm" TargetMode="External"/><Relationship Id="rId119" Type="http://schemas.openxmlformats.org/officeDocument/2006/relationships/hyperlink" Target="https://www.sec.gov/Archives/edgar/data/1571996/000119312525070461/d848892dex41.htm" TargetMode="External"/><Relationship Id="rId120" Type="http://schemas.openxmlformats.org/officeDocument/2006/relationships/hyperlink" Target="https://www.sec.gov/Archives/edgar/data/1571996/000119312525070461/d848892dex42.htm" TargetMode="External"/><Relationship Id="rId121" Type="http://schemas.openxmlformats.org/officeDocument/2006/relationships/hyperlink" Target="https://www.sec.gov/Archives/edgar/data/1571996/000119312525070461/d848892dex42.htm" TargetMode="External"/><Relationship Id="rId122" Type="http://schemas.openxmlformats.org/officeDocument/2006/relationships/hyperlink" Target="https://www.sec.gov/Archives/edgar/data/1571996/000119312525070461/d848892dex43.htm" TargetMode="External"/><Relationship Id="rId123" Type="http://schemas.openxmlformats.org/officeDocument/2006/relationships/hyperlink" Target="https://www.sec.gov/Archives/edgar/data/1571996/000119312525070461/d848892dex43.htm" TargetMode="External"/><Relationship Id="rId124" Type="http://schemas.openxmlformats.org/officeDocument/2006/relationships/hyperlink" Target="https://www.sec.gov/Archives/edgar/data/1571996/000119312525070461/d848892dex44.htm" TargetMode="External"/><Relationship Id="rId125" Type="http://schemas.openxmlformats.org/officeDocument/2006/relationships/hyperlink" Target="https://www.sec.gov/Archives/edgar/data/1571996/000119312525070461/d848892dex44.htm" TargetMode="External"/><Relationship Id="rId126" Type="http://schemas.openxmlformats.org/officeDocument/2006/relationships/hyperlink" Target="https://www.sec.gov/Archives/edgar/data/1571996/000119312525231904/d50652dex41.htm" TargetMode="External"/><Relationship Id="rId127" Type="http://schemas.openxmlformats.org/officeDocument/2006/relationships/hyperlink" Target="https://www.sec.gov/Archives/edgar/data/1571996/000119312525231904/d50652dex41.htm" TargetMode="External"/><Relationship Id="rId128" Type="http://schemas.openxmlformats.org/officeDocument/2006/relationships/hyperlink" Target="https://www.sec.gov/Archives/edgar/data/1571996/000119312525231904/d50652dex42.htm" TargetMode="External"/><Relationship Id="rId129" Type="http://schemas.openxmlformats.org/officeDocument/2006/relationships/hyperlink" Target="https://www.sec.gov/Archives/edgar/data/1571996/000119312525231904/d50652dex42.htm" TargetMode="External"/><Relationship Id="rId130" Type="http://schemas.openxmlformats.org/officeDocument/2006/relationships/hyperlink" Target="https://www.sec.gov/Archives/edgar/data/1571996/000119312525231904/d50652dex43.htm" TargetMode="External"/><Relationship Id="rId131" Type="http://schemas.openxmlformats.org/officeDocument/2006/relationships/hyperlink" Target="https://www.sec.gov/Archives/edgar/data/1571996/000119312525231904/d50652dex43.htm" TargetMode="External"/><Relationship Id="rId132" Type="http://schemas.openxmlformats.org/officeDocument/2006/relationships/hyperlink" Target="https://www.sec.gov/Archives/edgar/data/1571996/000119312525231904/d50652dex44.htm" TargetMode="External"/><Relationship Id="rId133" Type="http://schemas.openxmlformats.org/officeDocument/2006/relationships/hyperlink" Target="https://www.sec.gov/Archives/edgar/data/1571996/000119312525231904/d50652dex44.htm" TargetMode="External"/><Relationship Id="rId134" Type="http://schemas.openxmlformats.org/officeDocument/2006/relationships/hyperlink" Target="https://www.sec.gov/Archives/edgar/data/1571996/000119312525231904/d50652dex41.htm" TargetMode="External"/><Relationship Id="rId135" Type="http://schemas.openxmlformats.org/officeDocument/2006/relationships/hyperlink" Target="https://www.sec.gov/Archives/edgar/data/1571996/000119312525231904/d50652dex41.htm" TargetMode="External"/><Relationship Id="rId136" Type="http://schemas.openxmlformats.org/officeDocument/2006/relationships/hyperlink" Target="https://www.sec.gov/Archives/edgar/data/1571996/000119312525231904/d50652dex41.htm" TargetMode="External"/><Relationship Id="rId137" Type="http://schemas.openxmlformats.org/officeDocument/2006/relationships/hyperlink" Target="https://www.sec.gov/Archives/edgar/data/1571996/000119312525231904/d50652dex41.htm" TargetMode="External"/><Relationship Id="rId138" Type="http://schemas.openxmlformats.org/officeDocument/2006/relationships/hyperlink" Target="https://www.sec.gov/Archives/edgar/data/1571996/000119312525231904/d50652dex42.htm" TargetMode="External"/><Relationship Id="rId139" Type="http://schemas.openxmlformats.org/officeDocument/2006/relationships/hyperlink" Target="https://www.sec.gov/Archives/edgar/data/1571996/000119312525231904/d50652dex42.htm" TargetMode="External"/><Relationship Id="rId140" Type="http://schemas.openxmlformats.org/officeDocument/2006/relationships/hyperlink" Target="https://www.sec.gov/Archives/edgar/data/1571996/000119312525231904/d50652dex42.htm" TargetMode="External"/><Relationship Id="rId141" Type="http://schemas.openxmlformats.org/officeDocument/2006/relationships/hyperlink" Target="https://www.sec.gov/Archives/edgar/data/1571996/000119312525231904/d50652dex42.htm" TargetMode="External"/><Relationship Id="rId142" Type="http://schemas.openxmlformats.org/officeDocument/2006/relationships/hyperlink" Target="https://www.sec.gov/Archives/edgar/data/1571996/000119312525231904/d50652dex43.htm" TargetMode="External"/><Relationship Id="rId143" Type="http://schemas.openxmlformats.org/officeDocument/2006/relationships/hyperlink" Target="https://www.sec.gov/Archives/edgar/data/1571996/000119312525231904/d50652dex43.htm" TargetMode="External"/><Relationship Id="rId144" Type="http://schemas.openxmlformats.org/officeDocument/2006/relationships/hyperlink" Target="https://www.sec.gov/Archives/edgar/data/1571996/000119312525231904/d50652dex43.htm" TargetMode="External"/><Relationship Id="rId145" Type="http://schemas.openxmlformats.org/officeDocument/2006/relationships/hyperlink" Target="https://www.sec.gov/Archives/edgar/data/1571996/000119312525231904/d50652dex43.htm" TargetMode="External"/><Relationship Id="rId146" Type="http://schemas.openxmlformats.org/officeDocument/2006/relationships/hyperlink" Target="https://www.sec.gov/Archives/edgar/data/1571996/000119312525231904/d50652dex44.htm" TargetMode="External"/><Relationship Id="rId147" Type="http://schemas.openxmlformats.org/officeDocument/2006/relationships/hyperlink" Target="https://www.sec.gov/Archives/edgar/data/1571996/000119312525231904/d50652dex44.htm" TargetMode="External"/><Relationship Id="rId148" Type="http://schemas.openxmlformats.org/officeDocument/2006/relationships/hyperlink" Target="https://www.sec.gov/Archives/edgar/data/1571996/000119312525231904/d50652dex44.htm" TargetMode="External"/><Relationship Id="rId149" Type="http://schemas.openxmlformats.org/officeDocument/2006/relationships/hyperlink" Target="https://www.sec.gov/Archives/edgar/data/1571996/000119312525231904/d50652dex44.htm" TargetMode="External"/><Relationship Id="rId150" Type="http://schemas.openxmlformats.org/officeDocument/2006/relationships/hyperlink" Target="https://www.sec.gov/Archives/edgar/data/1571996/000157199623000007/exhibit442fy2310-k.htm" TargetMode="External"/><Relationship Id="rId151" Type="http://schemas.openxmlformats.org/officeDocument/2006/relationships/hyperlink" Target="https://www.sec.gov/Archives/edgar/data/1571996/000157199623000007/exhibit442fy2310-k.htm" TargetMode="External"/><Relationship Id="rId152" Type="http://schemas.openxmlformats.org/officeDocument/2006/relationships/hyperlink" Target="https://www.sec.gov/Archives/edgar/data/1571996/000157199617000045/exhibit104_110317.htm" TargetMode="External"/><Relationship Id="rId153" Type="http://schemas.openxmlformats.org/officeDocument/2006/relationships/hyperlink" Target="https://www.sec.gov/Archives/edgar/data/1571996/000157199617000045/exhibit104_110317.htm" TargetMode="External"/><Relationship Id="rId154" Type="http://schemas.openxmlformats.org/officeDocument/2006/relationships/hyperlink" Target="https://www.sec.gov/Archives/edgar/data/1571996/000157199620000034/exhibit101q1fy21.htm" TargetMode="External"/><Relationship Id="rId155" Type="http://schemas.openxmlformats.org/officeDocument/2006/relationships/hyperlink" Target="https://www.sec.gov/Archives/edgar/data/1571996/000157199620000034/exhibit101q1fy21.htm" TargetMode="External"/><Relationship Id="rId156" Type="http://schemas.openxmlformats.org/officeDocument/2006/relationships/hyperlink" Target="https://www.sec.gov/Archives/edgar/data/1571996/000119312516537298/d73946dex107.htm" TargetMode="External"/><Relationship Id="rId157" Type="http://schemas.openxmlformats.org/officeDocument/2006/relationships/hyperlink" Target="https://www.sec.gov/Archives/edgar/data/1571996/000119312516537298/d73946dex107.htm" TargetMode="External"/><Relationship Id="rId158" Type="http://schemas.openxmlformats.org/officeDocument/2006/relationships/hyperlink" Target="https://www.sec.gov/Archives/edgar/data/1571996/000157199617000004/exhibit1014_020317.htm" TargetMode="External"/><Relationship Id="rId159" Type="http://schemas.openxmlformats.org/officeDocument/2006/relationships/hyperlink" Target="https://www.sec.gov/Archives/edgar/data/1571996/000157199617000004/exhibit1014_020317.htm" TargetMode="External"/><Relationship Id="rId160" Type="http://schemas.openxmlformats.org/officeDocument/2006/relationships/hyperlink" Target="https://www.sec.gov/Archives/edgar/data/1571996/000119312516537298/d73946dex1016.htm" TargetMode="External"/><Relationship Id="rId161" Type="http://schemas.openxmlformats.org/officeDocument/2006/relationships/hyperlink" Target="https://www.sec.gov/Archives/edgar/data/1571996/000119312516537298/d73946dex1016.htm" TargetMode="External"/><Relationship Id="rId162" Type="http://schemas.openxmlformats.org/officeDocument/2006/relationships/hyperlink" Target="https://www.sec.gov/Archives/edgar/data/1571996/000157199617000004/exhibit1026_020317.htm" TargetMode="External"/><Relationship Id="rId163" Type="http://schemas.openxmlformats.org/officeDocument/2006/relationships/hyperlink" Target="https://www.sec.gov/Archives/edgar/data/1571996/000157199617000004/exhibit1026_020317.htm" TargetMode="External"/><Relationship Id="rId164" Type="http://schemas.openxmlformats.org/officeDocument/2006/relationships/hyperlink" Target="https://www.sec.gov/Archives/edgar/data/1571996/000157199622000044/exhibit101q3fy23.htm" TargetMode="External"/><Relationship Id="rId165" Type="http://schemas.openxmlformats.org/officeDocument/2006/relationships/hyperlink" Target="https://www.sec.gov/Archives/edgar/data/1571996/000157199622000044/exhibit101q3fy23.htm" TargetMode="External"/><Relationship Id="rId166" Type="http://schemas.openxmlformats.org/officeDocument/2006/relationships/hyperlink" Target="https://www.sec.gov/Archives/edgar/data/1571996/000157199617000004/exhibit1040_020317.htm" TargetMode="External"/><Relationship Id="rId167" Type="http://schemas.openxmlformats.org/officeDocument/2006/relationships/hyperlink" Target="https://www.sec.gov/Archives/edgar/data/1571996/000157199617000004/exhibit1040_020317.htm" TargetMode="External"/><Relationship Id="rId168" Type="http://schemas.openxmlformats.org/officeDocument/2006/relationships/hyperlink" Target="https://www.sec.gov/Archives/edgar/data/1571996/000157199617000004/exhibit1041_020317.htm" TargetMode="External"/><Relationship Id="rId169" Type="http://schemas.openxmlformats.org/officeDocument/2006/relationships/hyperlink" Target="https://www.sec.gov/Archives/edgar/data/1571996/000157199617000004/exhibit1041_020317.htm" TargetMode="External"/><Relationship Id="rId170" Type="http://schemas.openxmlformats.org/officeDocument/2006/relationships/hyperlink" Target="https://www.sec.gov/Archives/edgar/data/1571996/000157199617000004/exhibit1042_020317.htm" TargetMode="External"/><Relationship Id="rId171" Type="http://schemas.openxmlformats.org/officeDocument/2006/relationships/hyperlink" Target="https://www.sec.gov/Archives/edgar/data/1571996/000157199617000004/exhibit1042_020317.htm" TargetMode="External"/><Relationship Id="rId172" Type="http://schemas.openxmlformats.org/officeDocument/2006/relationships/hyperlink" Target="https://www.sec.gov/Archives/edgar/data/1571996/000157199618000004/exhibit1047_020218.htm" TargetMode="External"/><Relationship Id="rId173" Type="http://schemas.openxmlformats.org/officeDocument/2006/relationships/hyperlink" Target="https://www.sec.gov/Archives/edgar/data/1571996/000157199618000004/exhibit1047_020218.htm" TargetMode="External"/><Relationship Id="rId174" Type="http://schemas.openxmlformats.org/officeDocument/2006/relationships/hyperlink" Target="https://www.sec.gov/Archives/edgar/data/1571996/000157199618000004/exhibit1051_020218.htm" TargetMode="External"/><Relationship Id="rId175" Type="http://schemas.openxmlformats.org/officeDocument/2006/relationships/hyperlink" Target="https://www.sec.gov/Archives/edgar/data/1571996/000157199618000004/exhibit1051_020218.htm" TargetMode="External"/><Relationship Id="rId176" Type="http://schemas.openxmlformats.org/officeDocument/2006/relationships/hyperlink" Target="https://www.sec.gov/Archives/edgar/data/1571996/000119312518293366/d681091dex1010.htm" TargetMode="External"/><Relationship Id="rId177" Type="http://schemas.openxmlformats.org/officeDocument/2006/relationships/hyperlink" Target="https://www.sec.gov/Archives/edgar/data/1571996/000119312518293366/d681091dex1010.htm" TargetMode="External"/><Relationship Id="rId178" Type="http://schemas.openxmlformats.org/officeDocument/2006/relationships/hyperlink" Target="https://www.sec.gov/Archives/edgar/data/1571996/000119312518293366/d681091dex1011.htm" TargetMode="External"/><Relationship Id="rId179" Type="http://schemas.openxmlformats.org/officeDocument/2006/relationships/hyperlink" Target="https://www.sec.gov/Archives/edgar/data/1571996/000119312518293366/d681091dex1011.htm" TargetMode="External"/><Relationship Id="rId180" Type="http://schemas.openxmlformats.org/officeDocument/2006/relationships/hyperlink" Target="https://www.sec.gov/Archives/edgar/data/1571996/000119312518293366/d681091dex1012.htm" TargetMode="External"/><Relationship Id="rId181" Type="http://schemas.openxmlformats.org/officeDocument/2006/relationships/hyperlink" Target="https://www.sec.gov/Archives/edgar/data/1571996/000119312518293366/d681091dex1012.htm" TargetMode="External"/><Relationship Id="rId182" Type="http://schemas.openxmlformats.org/officeDocument/2006/relationships/hyperlink" Target="https://www.sec.gov/Archives/edgar/data/1571996/000119312518293366/d681091dex1013.htm" TargetMode="External"/><Relationship Id="rId183" Type="http://schemas.openxmlformats.org/officeDocument/2006/relationships/hyperlink" Target="https://www.sec.gov/Archives/edgar/data/1571996/000119312518293366/d681091dex1013.htm" TargetMode="External"/><Relationship Id="rId184" Type="http://schemas.openxmlformats.org/officeDocument/2006/relationships/hyperlink" Target="https://www.sec.gov/Archives/edgar/data/1571996/000119312518293366/d681091dex1014.htm" TargetMode="External"/><Relationship Id="rId185" Type="http://schemas.openxmlformats.org/officeDocument/2006/relationships/hyperlink" Target="https://www.sec.gov/Archives/edgar/data/1571996/000119312518293366/d681091dex1014.htm" TargetMode="External"/><Relationship Id="rId186" Type="http://schemas.openxmlformats.org/officeDocument/2006/relationships/hyperlink" Target="https://www.sec.gov/Archives/edgar/data/1571996/000119312518293366/d681091dex1015.htm" TargetMode="External"/><Relationship Id="rId187" Type="http://schemas.openxmlformats.org/officeDocument/2006/relationships/hyperlink" Target="https://www.sec.gov/Archives/edgar/data/1571996/000119312518293366/d681091dex1015.htm" TargetMode="External"/><Relationship Id="rId188" Type="http://schemas.openxmlformats.org/officeDocument/2006/relationships/hyperlink" Target="https://www.sec.gov/Archives/edgar/data/1571996/000119312518293366/d681091dex1016.htm" TargetMode="External"/><Relationship Id="rId189" Type="http://schemas.openxmlformats.org/officeDocument/2006/relationships/hyperlink" Target="https://www.sec.gov/Archives/edgar/data/1571996/000119312518293366/d681091dex1016.htm" TargetMode="External"/><Relationship Id="rId190" Type="http://schemas.openxmlformats.org/officeDocument/2006/relationships/hyperlink" Target="https://www.sec.gov/Archives/edgar/data/1571996/000119312518293366/d681091dex1017.htm" TargetMode="External"/><Relationship Id="rId191" Type="http://schemas.openxmlformats.org/officeDocument/2006/relationships/hyperlink" Target="https://www.sec.gov/Archives/edgar/data/1571996/000119312518293366/d681091dex1017.htm" TargetMode="External"/><Relationship Id="rId192" Type="http://schemas.openxmlformats.org/officeDocument/2006/relationships/hyperlink" Target="https://www.sec.gov/Archives/edgar/data/1571996/000119312518293366/d681091dex1018.htm" TargetMode="External"/><Relationship Id="rId193" Type="http://schemas.openxmlformats.org/officeDocument/2006/relationships/hyperlink" Target="https://www.sec.gov/Archives/edgar/data/1571996/000119312518293366/d681091dex1018.htm" TargetMode="External"/><Relationship Id="rId194" Type="http://schemas.openxmlformats.org/officeDocument/2006/relationships/hyperlink" Target="https://www.sec.gov/Archives/edgar/data/1571996/000119312518293366/d681091dex1019.htm" TargetMode="External"/><Relationship Id="rId195" Type="http://schemas.openxmlformats.org/officeDocument/2006/relationships/hyperlink" Target="https://www.sec.gov/Archives/edgar/data/1571996/000119312518293366/d681091dex1019.htm" TargetMode="External"/><Relationship Id="rId196" Type="http://schemas.openxmlformats.org/officeDocument/2006/relationships/hyperlink" Target="https://www.sec.gov/Archives/edgar/data/1571996/000119312518293366/d681091dex1020.htm" TargetMode="External"/><Relationship Id="rId197" Type="http://schemas.openxmlformats.org/officeDocument/2006/relationships/hyperlink" Target="https://www.sec.gov/Archives/edgar/data/1571996/000119312518293366/d681091dex1020.htm" TargetMode="External"/><Relationship Id="rId198" Type="http://schemas.openxmlformats.org/officeDocument/2006/relationships/hyperlink" Target="https://www.sec.gov/Archives/edgar/data/1571996/000119312518293366/d681091dex1021.htm" TargetMode="External"/><Relationship Id="rId199" Type="http://schemas.openxmlformats.org/officeDocument/2006/relationships/hyperlink" Target="https://www.sec.gov/Archives/edgar/data/1571996/000119312518293366/d681091dex1021.htm" TargetMode="External"/><Relationship Id="rId200" Type="http://schemas.openxmlformats.org/officeDocument/2006/relationships/hyperlink" Target="https://www.sec.gov/Archives/edgar/data/1571996/000157199619000032/a2013stockincentiveplanjul.htm" TargetMode="External"/><Relationship Id="rId201" Type="http://schemas.openxmlformats.org/officeDocument/2006/relationships/hyperlink" Target="https://www.sec.gov/Archives/edgar/data/1571996/000157199619000032/a2013stockincentiveplanjul.htm" TargetMode="External"/><Relationship Id="rId202" Type="http://schemas.openxmlformats.org/officeDocument/2006/relationships/hyperlink" Target="https://www.sec.gov/Archives/edgar/data/1571996/000119312518360943/d673794dex101.htm" TargetMode="External"/><Relationship Id="rId203" Type="http://schemas.openxmlformats.org/officeDocument/2006/relationships/hyperlink" Target="https://www.sec.gov/Archives/edgar/data/1571996/000119312518360943/d673794dex101.htm" TargetMode="External"/><Relationship Id="rId204" Type="http://schemas.openxmlformats.org/officeDocument/2006/relationships/hyperlink" Target="https://www.sec.gov/Archives/edgar/data/1571996/000119312518360943/d673794dex102.htm" TargetMode="External"/><Relationship Id="rId205" Type="http://schemas.openxmlformats.org/officeDocument/2006/relationships/hyperlink" Target="https://www.sec.gov/Archives/edgar/data/1571996/000119312518360943/d673794dex102.htm" TargetMode="External"/><Relationship Id="rId206" Type="http://schemas.openxmlformats.org/officeDocument/2006/relationships/hyperlink" Target="https://www.sec.gov/Archives/edgar/data/1571996/000119312518360943/d673794dex105.htm" TargetMode="External"/><Relationship Id="rId207" Type="http://schemas.openxmlformats.org/officeDocument/2006/relationships/hyperlink" Target="https://www.sec.gov/Archives/edgar/data/1571996/000119312518360943/d673794dex105.htm" TargetMode="External"/><Relationship Id="rId208" Type="http://schemas.openxmlformats.org/officeDocument/2006/relationships/hyperlink" Target="https://www.sec.gov/Archives/edgar/data/1571996/000119312518360943/d673794dex106.htm" TargetMode="External"/><Relationship Id="rId209" Type="http://schemas.openxmlformats.org/officeDocument/2006/relationships/hyperlink" Target="https://www.sec.gov/Archives/edgar/data/1571996/000119312518360943/d673794dex106.htm" TargetMode="External"/><Relationship Id="rId210" Type="http://schemas.openxmlformats.org/officeDocument/2006/relationships/hyperlink" Target="https://www.sec.gov/Archives/edgar/data/1571996/000119312518360943/d673794dex107.htm" TargetMode="External"/><Relationship Id="rId211" Type="http://schemas.openxmlformats.org/officeDocument/2006/relationships/hyperlink" Target="https://www.sec.gov/Archives/edgar/data/1571996/000119312518360943/d673794dex107.htm" TargetMode="External"/><Relationship Id="rId212" Type="http://schemas.openxmlformats.org/officeDocument/2006/relationships/hyperlink" Target="https://www.sec.gov/Archives/edgar/data/1571996/000157199619000005/exhibit101formofrsu.htm" TargetMode="External"/><Relationship Id="rId213" Type="http://schemas.openxmlformats.org/officeDocument/2006/relationships/hyperlink" Target="https://www.sec.gov/Archives/edgar/data/1571996/000157199619000005/exhibit101formofrsu.htm" TargetMode="External"/><Relationship Id="rId214" Type="http://schemas.openxmlformats.org/officeDocument/2006/relationships/hyperlink" Target="https://www.sec.gov/Archives/edgar/data/1571996/000157199619000005/exhibit102formofprsu.htm" TargetMode="External"/><Relationship Id="rId215" Type="http://schemas.openxmlformats.org/officeDocument/2006/relationships/hyperlink" Target="https://www.sec.gov/Archives/edgar/data/1571996/000157199619000005/exhibit102formofprsu.htm" TargetMode="External"/><Relationship Id="rId216" Type="http://schemas.openxmlformats.org/officeDocument/2006/relationships/hyperlink" Target="https://www.sec.gov/Archives/edgar/data/1571996/000119312521315488/d146470dex101.htm" TargetMode="External"/><Relationship Id="rId217" Type="http://schemas.openxmlformats.org/officeDocument/2006/relationships/hyperlink" Target="https://www.sec.gov/Archives/edgar/data/1571996/000119312521315488/d146470dex101.htm" TargetMode="External"/><Relationship Id="rId218" Type="http://schemas.openxmlformats.org/officeDocument/2006/relationships/hyperlink" Target="https://www.sec.gov/Archives/edgar/data/1571996/000119312521315488/d146470dex102.htm" TargetMode="External"/><Relationship Id="rId219" Type="http://schemas.openxmlformats.org/officeDocument/2006/relationships/hyperlink" Target="https://www.sec.gov/Archives/edgar/data/1571996/000119312521315488/d146470dex102.htm" TargetMode="External"/><Relationship Id="rId220" Type="http://schemas.openxmlformats.org/officeDocument/2006/relationships/hyperlink" Target="https://www.sec.gov/Archives/edgar/data/1571996/000157199623000007/exhibit1047fy2310-k.htm" TargetMode="External"/><Relationship Id="rId221" Type="http://schemas.openxmlformats.org/officeDocument/2006/relationships/hyperlink" Target="https://www.sec.gov/Archives/edgar/data/1571996/000157199623000007/exhibit1047fy2310-k.htm" TargetMode="External"/><Relationship Id="rId222" Type="http://schemas.openxmlformats.org/officeDocument/2006/relationships/hyperlink" Target="https://www.sec.gov/Archives/edgar/data/1571996/000157199623000007/exhibit1048fy2310-k.htm" TargetMode="External"/><Relationship Id="rId223" Type="http://schemas.openxmlformats.org/officeDocument/2006/relationships/hyperlink" Target="https://www.sec.gov/Archives/edgar/data/1571996/000157199623000007/exhibit1048fy2310-k.htm" TargetMode="External"/><Relationship Id="rId224" Type="http://schemas.openxmlformats.org/officeDocument/2006/relationships/hyperlink" Target="https://www.sec.gov/Archives/edgar/data/1571996/000157199623000021/exhibit1012023stockincenti.htm" TargetMode="External"/><Relationship Id="rId225" Type="http://schemas.openxmlformats.org/officeDocument/2006/relationships/hyperlink" Target="https://www.sec.gov/Archives/edgar/data/1571996/000157199623000021/exhibit1012023stockincenti.htm" TargetMode="External"/><Relationship Id="rId226" Type="http://schemas.openxmlformats.org/officeDocument/2006/relationships/hyperlink" Target="https://www.sec.gov/Archives/edgar/data/1571996/000157199624000036/exhibit1044fy2410-k.htm" TargetMode="External"/><Relationship Id="rId227" Type="http://schemas.openxmlformats.org/officeDocument/2006/relationships/hyperlink" Target="https://www.sec.gov/Archives/edgar/data/1571996/000157199624000036/exhibit1044fy2410-k.htm" TargetMode="External"/><Relationship Id="rId228" Type="http://schemas.openxmlformats.org/officeDocument/2006/relationships/hyperlink" Target="https://www.sec.gov/Archives/edgar/data/1571996/000157199624000036/exhibit1045fy2410-k.htm" TargetMode="External"/><Relationship Id="rId229" Type="http://schemas.openxmlformats.org/officeDocument/2006/relationships/hyperlink" Target="https://www.sec.gov/Archives/edgar/data/1571996/000157199624000036/exhibit1045fy2410-k.htm" TargetMode="External"/><Relationship Id="rId230" Type="http://schemas.openxmlformats.org/officeDocument/2006/relationships/hyperlink" Target="https://www.sec.gov/Archives/edgar/data/1571996/000157199623000032/exhibit106q2fy24.htm" TargetMode="External"/><Relationship Id="rId231" Type="http://schemas.openxmlformats.org/officeDocument/2006/relationships/hyperlink" Target="https://www.sec.gov/Archives/edgar/data/1571996/000157199623000032/exhibit106q2fy24.htm" TargetMode="External"/><Relationship Id="rId232" Type="http://schemas.openxmlformats.org/officeDocument/2006/relationships/hyperlink" Target="https://www.sec.gov/Archives/edgar/data/1571996/000157199625000127/exhibit101q3fy26.htm" TargetMode="External"/><Relationship Id="rId233" Type="http://schemas.openxmlformats.org/officeDocument/2006/relationships/hyperlink" Target="https://www.sec.gov/Archives/edgar/data/1571996/000157199625000127/exhibit101q3fy26.htm" TargetMode="External"/><Relationship Id="rId234" Type="http://schemas.openxmlformats.org/officeDocument/2006/relationships/hyperlink" Target="https://www.sec.gov/Archives/edgar/data/1571996/000157199625000127/exhibit102q3fy26.htm" TargetMode="External"/><Relationship Id="rId235" Type="http://schemas.openxmlformats.org/officeDocument/2006/relationships/hyperlink" Target="https://www.sec.gov/Archives/edgar/data/1571996/000157199625000127/exhibit102q3fy26.htm" TargetMode="External"/><Relationship Id="rId236" Type="http://schemas.openxmlformats.org/officeDocument/2006/relationships/hyperlink" Target="https://www.sec.gov/Archives/edgar/data/1571996/000157199625000127/exhibit103q3fy26.htm" TargetMode="External"/><Relationship Id="rId237" Type="http://schemas.openxmlformats.org/officeDocument/2006/relationships/hyperlink" Target="https://www.sec.gov/Archives/edgar/data/1571996/000157199625000127/exhibit103q3fy26.htm" TargetMode="External"/><Relationship Id="rId238" Type="http://schemas.openxmlformats.org/officeDocument/2006/relationships/hyperlink" Target="https://www.sec.gov/Archives/edgar/data/1571996/000157199625000111/exhibit101clarke.htm" TargetMode="External"/><Relationship Id="rId239" Type="http://schemas.openxmlformats.org/officeDocument/2006/relationships/hyperlink" Target="https://www.sec.gov/Archives/edgar/data/1571996/000157199625000111/exhibit101clarke.htm" TargetMode="External"/><Relationship Id="rId240" Type="http://schemas.openxmlformats.org/officeDocument/2006/relationships/hyperlink" Target="https://www.sec.gov/Archives/edgar/data/1571996/000157199625000034/exhibit19fy2510-k.htm" TargetMode="External"/><Relationship Id="rId241" Type="http://schemas.openxmlformats.org/officeDocument/2006/relationships/hyperlink" Target="https://www.sec.gov/Archives/edgar/data/1571996/000157199625000034/exhibit19fy2510-k.htm" TargetMode="External"/><Relationship Id="rId242" Type="http://schemas.openxmlformats.org/officeDocument/2006/relationships/hyperlink" Target="https://www.sec.gov/Archives/edgar/data/1571996/000157199624000036/exhibit97fy2410-k.htm" TargetMode="External"/><Relationship Id="rId243" Type="http://schemas.openxmlformats.org/officeDocument/2006/relationships/hyperlink" Target="https://www.sec.gov/Archives/edgar/data/1571996/000157199624000036/exhibit97fy2410-k.htm" TargetMode="External"/><Relationship Id="rId244" Type="http://schemas.openxmlformats.org/officeDocument/2006/relationships/fontTable" Target="fontTable.xml"/><Relationship Id="rId2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80393</Words>
  <Characters>451504</Characters>
  <CharactersWithSpaces>527527</CharactersWithSpaces>
  <Paragraphs>7572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