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300"/>
          </w:cols>
          <w:pgMar w:left="460" w:top="214" w:right="459" w:bottom="776"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Silver Lake Partners IV, L.P.</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2775 SAND HILL ROAD,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Dell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06/03/2026</w:t>
      </w:r>
    </w:p>
    <w:p>
      <w:pPr>
        <w:spacing w:after="0" w:line="20" w:lineRule="exact"/>
        <w:rPr>
          <w:sz w:val="24"/>
          <w:szCs w:val="24"/>
          <w:color w:val="auto"/>
        </w:rPr>
      </w:pPr>
      <w:r>
        <w:rPr>
          <w:sz w:val="24"/>
          <w:szCs w:val="24"/>
          <w:color w:val="auto"/>
        </w:rPr>
        <w:br w:type="column"/>
      </w:r>
    </w:p>
    <w:p>
      <w:pPr>
        <w:ind w:left="4" w:right="620" w:hanging="4"/>
        <w:spacing w:after="0" w:line="282"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172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3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65" w:lineRule="exact"/>
        <w:rPr>
          <w:sz w:val="24"/>
          <w:szCs w:val="24"/>
          <w:color w:val="auto"/>
        </w:rPr>
      </w:pPr>
    </w:p>
    <w:p>
      <w:pPr>
        <w:sectPr>
          <w:pgSz w:w="11900" w:h="16838" w:orient="portrait"/>
          <w:cols w:equalWidth="0" w:num="3">
            <w:col w:w="3180" w:space="720"/>
            <w:col w:w="3116" w:space="720"/>
            <w:col w:w="3244"/>
          </w:cols>
          <w:pgMar w:left="460" w:top="214" w:right="459" w:bottom="776"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460" w:type="dxa"/>
            <w:vAlign w:val="bottom"/>
            <w:gridSpan w:val="5"/>
          </w:tcPr>
          <w:p>
            <w:pPr>
              <w:jc w:val="right"/>
              <w:ind w:right="65"/>
              <w:spacing w:after="0"/>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5"/>
          </w:tcPr>
          <w:p>
            <w:pPr>
              <w:ind w:left="52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2"/>
                <w:szCs w:val="12"/>
                <w:color w:val="auto"/>
              </w:rPr>
              <w:t>Line)</w:t>
            </w: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0000FF"/>
              </w:rPr>
              <w:t>94025</w:t>
            </w: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820" w:type="dxa"/>
            <w:vAlign w:val="bottom"/>
          </w:tcPr>
          <w:p>
            <w:pPr>
              <w:ind w:left="100"/>
              <w:spacing w:after="0"/>
              <w:rPr>
                <w:sz w:val="20"/>
                <w:szCs w:val="20"/>
                <w:color w:val="auto"/>
              </w:rPr>
            </w:pPr>
            <w:r>
              <w:rPr>
                <w:rFonts w:ascii="Arial" w:cs="Arial" w:eastAsia="Arial" w:hAnsi="Arial"/>
                <w:sz w:val="12"/>
                <w:szCs w:val="12"/>
                <w:color w:val="auto"/>
              </w:rPr>
              <w:t>(State)</w:t>
            </w:r>
          </w:p>
        </w:tc>
        <w:tc>
          <w:tcPr>
            <w:tcW w:w="2040" w:type="dxa"/>
            <w:vAlign w:val="bottom"/>
            <w:gridSpan w:val="2"/>
          </w:tcPr>
          <w:p>
            <w:pPr>
              <w:ind w:left="500"/>
              <w:spacing w:after="0"/>
              <w:rPr>
                <w:sz w:val="20"/>
                <w:szCs w:val="20"/>
                <w:color w:val="auto"/>
              </w:rPr>
            </w:pPr>
            <w:r>
              <w:rPr>
                <w:rFonts w:ascii="Arial" w:cs="Arial" w:eastAsia="Arial" w:hAnsi="Arial"/>
                <w:sz w:val="12"/>
                <w:szCs w:val="12"/>
                <w:color w:val="auto"/>
              </w:rPr>
              <w:t>(Zip)</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4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8"/>
          </w:tcPr>
          <w:p>
            <w:pPr>
              <w:ind w:left="3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04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040" w:type="dxa"/>
            <w:vAlign w:val="bottom"/>
            <w:gridSpan w:val="2"/>
          </w:tcPr>
          <w:p>
            <w:pPr>
              <w:ind w:left="10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ind w:left="10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jc w:val="center"/>
              <w:ind w:left="927"/>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jc w:val="right"/>
              <w:ind w:right="5"/>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restart"/>
          </w:tcPr>
          <w:p>
            <w:pPr>
              <w:jc w:val="right"/>
              <w:ind w:right="145"/>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7"/>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8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91,886</w:t>
            </w:r>
          </w:p>
        </w:tc>
        <w:tc>
          <w:tcPr>
            <w:tcW w:w="50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91,886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7"/>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(1)(2)</w:t>
            </w:r>
          </w:p>
        </w:tc>
        <w:tc>
          <w:tcPr>
            <w:tcW w:w="78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31,770</w:t>
            </w:r>
          </w:p>
        </w:tc>
        <w:tc>
          <w:tcPr>
            <w:tcW w:w="50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420.22</w:t>
            </w:r>
            <w:r>
              <w:rPr>
                <w:rFonts w:ascii="Times New Roman" w:cs="Times New Roman" w:eastAsia="Times New Roman" w:hAnsi="Times New Roman"/>
                <w:sz w:val="20"/>
                <w:szCs w:val="20"/>
                <w:color w:val="008000"/>
                <w:w w:val="93"/>
                <w:vertAlign w:val="superscript"/>
              </w:rPr>
              <w:t>(10)</w:t>
            </w:r>
          </w:p>
        </w:tc>
        <w:tc>
          <w:tcPr>
            <w:tcW w:w="11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60,116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7"/>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(1)(2)</w:t>
            </w:r>
          </w:p>
        </w:tc>
        <w:tc>
          <w:tcPr>
            <w:tcW w:w="78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24,106</w:t>
            </w:r>
          </w:p>
        </w:tc>
        <w:tc>
          <w:tcPr>
            <w:tcW w:w="50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421.2</w:t>
            </w:r>
            <w:r>
              <w:rPr>
                <w:rFonts w:ascii="Times New Roman" w:cs="Times New Roman" w:eastAsia="Times New Roman" w:hAnsi="Times New Roman"/>
                <w:sz w:val="20"/>
                <w:szCs w:val="20"/>
                <w:color w:val="008000"/>
                <w:w w:val="92"/>
                <w:vertAlign w:val="superscript"/>
              </w:rPr>
              <w:t>(11)</w:t>
            </w:r>
          </w:p>
        </w:tc>
        <w:tc>
          <w:tcPr>
            <w:tcW w:w="11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36,010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7"/>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(1)(2)</w:t>
            </w:r>
          </w:p>
        </w:tc>
        <w:tc>
          <w:tcPr>
            <w:tcW w:w="78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190</w:t>
            </w:r>
          </w:p>
        </w:tc>
        <w:tc>
          <w:tcPr>
            <w:tcW w:w="50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422.04</w:t>
            </w:r>
            <w:r>
              <w:rPr>
                <w:rFonts w:ascii="Times New Roman" w:cs="Times New Roman" w:eastAsia="Times New Roman" w:hAnsi="Times New Roman"/>
                <w:sz w:val="20"/>
                <w:szCs w:val="20"/>
                <w:color w:val="008000"/>
                <w:w w:val="93"/>
                <w:vertAlign w:val="superscript"/>
              </w:rPr>
              <w:t>(12)</w:t>
            </w:r>
          </w:p>
        </w:tc>
        <w:tc>
          <w:tcPr>
            <w:tcW w:w="11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35,820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7"/>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(1)(2)</w:t>
            </w:r>
          </w:p>
        </w:tc>
        <w:tc>
          <w:tcPr>
            <w:tcW w:w="78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8,476</w:t>
            </w:r>
          </w:p>
        </w:tc>
        <w:tc>
          <w:tcPr>
            <w:tcW w:w="50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425.37</w:t>
            </w:r>
            <w:r>
              <w:rPr>
                <w:rFonts w:ascii="Times New Roman" w:cs="Times New Roman" w:eastAsia="Times New Roman" w:hAnsi="Times New Roman"/>
                <w:sz w:val="20"/>
                <w:szCs w:val="20"/>
                <w:color w:val="008000"/>
                <w:w w:val="93"/>
                <w:vertAlign w:val="superscript"/>
              </w:rPr>
              <w:t>(13)</w:t>
            </w:r>
          </w:p>
        </w:tc>
        <w:tc>
          <w:tcPr>
            <w:tcW w:w="11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27,344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7"/>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(1)(2)</w:t>
            </w:r>
          </w:p>
        </w:tc>
        <w:tc>
          <w:tcPr>
            <w:tcW w:w="78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3,141</w:t>
            </w:r>
          </w:p>
        </w:tc>
        <w:tc>
          <w:tcPr>
            <w:tcW w:w="50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426.43</w:t>
            </w:r>
            <w:r>
              <w:rPr>
                <w:rFonts w:ascii="Times New Roman" w:cs="Times New Roman" w:eastAsia="Times New Roman" w:hAnsi="Times New Roman"/>
                <w:sz w:val="20"/>
                <w:szCs w:val="20"/>
                <w:color w:val="008000"/>
                <w:w w:val="93"/>
                <w:vertAlign w:val="superscript"/>
              </w:rPr>
              <w:t>(14)</w:t>
            </w:r>
          </w:p>
        </w:tc>
        <w:tc>
          <w:tcPr>
            <w:tcW w:w="11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24,202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40" w:type="dxa"/>
            <w:vAlign w:val="bottom"/>
            <w:gridSpan w:val="3"/>
            <w:vMerge w:val="continue"/>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6"/>
          <w:szCs w:val="16"/>
          <w:color w:val="0000FF"/>
        </w:rPr>
        <w:t>Partners</w:t>
      </w:r>
    </w:p>
    <w:p>
      <w:pPr>
        <w:ind w:left="10180"/>
        <w:spacing w:after="0" w:line="213" w:lineRule="auto"/>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p>
      <w:pPr>
        <w:spacing w:after="0" w:line="1" w:lineRule="exact"/>
        <w:rPr>
          <w:sz w:val="24"/>
          <w:szCs w:val="24"/>
          <w:color w:val="auto"/>
        </w:rPr>
      </w:pPr>
    </w:p>
    <w:p>
      <w:pPr>
        <w:ind w:left="10180"/>
        <w:spacing w:after="0"/>
        <w:rPr>
          <w:sz w:val="20"/>
          <w:szCs w:val="20"/>
          <w:color w:val="auto"/>
        </w:rPr>
      </w:pPr>
      <w:r>
        <w:rPr>
          <w:rFonts w:ascii="Times New Roman" w:cs="Times New Roman" w:eastAsia="Times New Roman" w:hAnsi="Times New Roman"/>
          <w:sz w:val="10"/>
          <w:szCs w:val="10"/>
          <w:color w:val="008000"/>
        </w:rPr>
        <w:t>(4)</w:t>
      </w:r>
    </w:p>
    <w:p>
      <w:pPr>
        <w:sectPr>
          <w:pgSz w:w="11900" w:h="16838" w:orient="portrait"/>
          <w:cols w:equalWidth="0" w:num="1">
            <w:col w:w="10980"/>
          </w:cols>
          <w:pgMar w:left="460" w:top="214" w:right="459" w:bottom="776" w:gutter="0" w:footer="0" w:header="0"/>
          <w:type w:val="continuous"/>
        </w:sectPr>
      </w:pPr>
    </w:p>
    <w:bookmarkStart w:id="1" w:name="page2"/>
    <w:bookmarkEnd w:id="1"/>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3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jc w:val="center"/>
              <w:ind w:left="587"/>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607"/>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jc w:val="center"/>
              <w:ind w:right="246"/>
              <w:spacing w:after="0"/>
              <w:rPr>
                <w:sz w:val="20"/>
                <w:szCs w:val="20"/>
                <w:color w:val="auto"/>
              </w:rPr>
            </w:pPr>
            <w:r>
              <w:rPr>
                <w:rFonts w:ascii="Times New Roman" w:cs="Times New Roman" w:eastAsia="Times New Roman" w:hAnsi="Times New Roman"/>
                <w:sz w:val="24"/>
                <w:szCs w:val="24"/>
                <w:color w:val="0000FF"/>
                <w:w w:val="99"/>
                <w:vertAlign w:val="subscript"/>
              </w:rPr>
              <w:t>S</w:t>
            </w:r>
            <w:r>
              <w:rPr>
                <w:rFonts w:ascii="Times New Roman" w:cs="Times New Roman" w:eastAsia="Times New Roman" w:hAnsi="Times New Roman"/>
                <w:sz w:val="10"/>
                <w:szCs w:val="10"/>
                <w:color w:val="008000"/>
                <w:w w:val="99"/>
              </w:rPr>
              <w:t>(1)(2)</w:t>
            </w:r>
          </w:p>
        </w:tc>
        <w:tc>
          <w:tcPr>
            <w:tcW w:w="78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4,706</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427.58</w:t>
            </w:r>
            <w:r>
              <w:rPr>
                <w:rFonts w:ascii="Times New Roman" w:cs="Times New Roman" w:eastAsia="Times New Roman" w:hAnsi="Times New Roman"/>
                <w:sz w:val="20"/>
                <w:szCs w:val="20"/>
                <w:color w:val="008000"/>
                <w:w w:val="93"/>
                <w:vertAlign w:val="superscript"/>
              </w:rPr>
              <w:t>(15)</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19,497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ind w:left="8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607"/>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jc w:val="center"/>
              <w:ind w:right="246"/>
              <w:spacing w:after="0"/>
              <w:rPr>
                <w:sz w:val="20"/>
                <w:szCs w:val="20"/>
                <w:color w:val="auto"/>
              </w:rPr>
            </w:pPr>
            <w:r>
              <w:rPr>
                <w:rFonts w:ascii="Times New Roman" w:cs="Times New Roman" w:eastAsia="Times New Roman" w:hAnsi="Times New Roman"/>
                <w:sz w:val="24"/>
                <w:szCs w:val="24"/>
                <w:color w:val="0000FF"/>
                <w:w w:val="99"/>
                <w:vertAlign w:val="subscript"/>
              </w:rPr>
              <w:t>S</w:t>
            </w:r>
            <w:r>
              <w:rPr>
                <w:rFonts w:ascii="Times New Roman" w:cs="Times New Roman" w:eastAsia="Times New Roman" w:hAnsi="Times New Roman"/>
                <w:sz w:val="10"/>
                <w:szCs w:val="10"/>
                <w:color w:val="008000"/>
                <w:w w:val="99"/>
              </w:rPr>
              <w:t>(1)(2)</w:t>
            </w:r>
          </w:p>
        </w:tc>
        <w:tc>
          <w:tcPr>
            <w:tcW w:w="78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3,055</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428.4</w:t>
            </w:r>
            <w:r>
              <w:rPr>
                <w:rFonts w:ascii="Times New Roman" w:cs="Times New Roman" w:eastAsia="Times New Roman" w:hAnsi="Times New Roman"/>
                <w:sz w:val="20"/>
                <w:szCs w:val="20"/>
                <w:color w:val="008000"/>
                <w:w w:val="92"/>
                <w:vertAlign w:val="superscript"/>
              </w:rPr>
              <w:t>(16)</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16,441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ind w:left="8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607"/>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jc w:val="center"/>
              <w:ind w:right="246"/>
              <w:spacing w:after="0"/>
              <w:rPr>
                <w:sz w:val="20"/>
                <w:szCs w:val="20"/>
                <w:color w:val="auto"/>
              </w:rPr>
            </w:pPr>
            <w:r>
              <w:rPr>
                <w:rFonts w:ascii="Times New Roman" w:cs="Times New Roman" w:eastAsia="Times New Roman" w:hAnsi="Times New Roman"/>
                <w:sz w:val="24"/>
                <w:szCs w:val="24"/>
                <w:color w:val="0000FF"/>
                <w:w w:val="99"/>
                <w:vertAlign w:val="subscript"/>
              </w:rPr>
              <w:t>S</w:t>
            </w:r>
            <w:r>
              <w:rPr>
                <w:rFonts w:ascii="Times New Roman" w:cs="Times New Roman" w:eastAsia="Times New Roman" w:hAnsi="Times New Roman"/>
                <w:sz w:val="10"/>
                <w:szCs w:val="10"/>
                <w:color w:val="008000"/>
                <w:w w:val="99"/>
              </w:rPr>
              <w:t>(1)(2)</w:t>
            </w:r>
          </w:p>
        </w:tc>
        <w:tc>
          <w:tcPr>
            <w:tcW w:w="78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3,880</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429.61</w:t>
            </w:r>
            <w:r>
              <w:rPr>
                <w:rFonts w:ascii="Times New Roman" w:cs="Times New Roman" w:eastAsia="Times New Roman" w:hAnsi="Times New Roman"/>
                <w:sz w:val="20"/>
                <w:szCs w:val="20"/>
                <w:color w:val="008000"/>
                <w:w w:val="93"/>
                <w:vertAlign w:val="superscript"/>
              </w:rPr>
              <w:t>(17)</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12,562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ind w:left="8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607"/>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jc w:val="center"/>
              <w:ind w:right="246"/>
              <w:spacing w:after="0"/>
              <w:rPr>
                <w:sz w:val="20"/>
                <w:szCs w:val="20"/>
                <w:color w:val="auto"/>
              </w:rPr>
            </w:pPr>
            <w:r>
              <w:rPr>
                <w:rFonts w:ascii="Times New Roman" w:cs="Times New Roman" w:eastAsia="Times New Roman" w:hAnsi="Times New Roman"/>
                <w:sz w:val="24"/>
                <w:szCs w:val="24"/>
                <w:color w:val="0000FF"/>
                <w:w w:val="99"/>
                <w:vertAlign w:val="subscript"/>
              </w:rPr>
              <w:t>S</w:t>
            </w:r>
            <w:r>
              <w:rPr>
                <w:rFonts w:ascii="Times New Roman" w:cs="Times New Roman" w:eastAsia="Times New Roman" w:hAnsi="Times New Roman"/>
                <w:sz w:val="10"/>
                <w:szCs w:val="10"/>
                <w:color w:val="008000"/>
                <w:w w:val="99"/>
              </w:rPr>
              <w:t>(1)(2)</w:t>
            </w:r>
          </w:p>
        </w:tc>
        <w:tc>
          <w:tcPr>
            <w:tcW w:w="78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5,041</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430.07</w:t>
            </w:r>
            <w:r>
              <w:rPr>
                <w:rFonts w:ascii="Times New Roman" w:cs="Times New Roman" w:eastAsia="Times New Roman" w:hAnsi="Times New Roman"/>
                <w:sz w:val="20"/>
                <w:szCs w:val="20"/>
                <w:color w:val="008000"/>
                <w:w w:val="93"/>
                <w:vertAlign w:val="superscript"/>
              </w:rPr>
              <w:t>(18)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7,521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ind w:left="8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vMerge w:val="restart"/>
          </w:tcPr>
          <w:p>
            <w:pPr>
              <w:jc w:val="center"/>
              <w:ind w:left="607"/>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17"/>
                <w:szCs w:val="17"/>
                <w:color w:val="auto"/>
              </w:rPr>
            </w:pPr>
          </w:p>
        </w:tc>
        <w:tc>
          <w:tcPr>
            <w:tcW w:w="780" w:type="dxa"/>
            <w:vAlign w:val="bottom"/>
            <w:vMerge w:val="restart"/>
          </w:tcPr>
          <w:p>
            <w:pPr>
              <w:jc w:val="center"/>
              <w:ind w:right="246"/>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(1)</w:t>
            </w:r>
          </w:p>
        </w:tc>
        <w:tc>
          <w:tcPr>
            <w:tcW w:w="780" w:type="dxa"/>
            <w:vAlign w:val="bottom"/>
            <w:vMerge w:val="restart"/>
          </w:tcPr>
          <w:p>
            <w:pPr>
              <w:jc w:val="center"/>
              <w:ind w:left="7"/>
              <w:spacing w:after="0"/>
              <w:rPr>
                <w:sz w:val="20"/>
                <w:szCs w:val="20"/>
                <w:color w:val="auto"/>
              </w:rPr>
            </w:pPr>
            <w:r>
              <w:rPr>
                <w:rFonts w:ascii="Times New Roman" w:cs="Times New Roman" w:eastAsia="Times New Roman" w:hAnsi="Times New Roman"/>
                <w:sz w:val="16"/>
                <w:szCs w:val="16"/>
                <w:color w:val="0000FF"/>
              </w:rPr>
              <w:t>7,521</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ind w:left="80"/>
              <w:spacing w:after="0" w:line="195" w:lineRule="exact"/>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5"/>
        </w:trPr>
        <w:tc>
          <w:tcPr>
            <w:tcW w:w="23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Borders>
              <w:bottom w:val="single" w:sz="8" w:color="2C2C2C"/>
            </w:tcBorders>
          </w:tcPr>
          <w:p>
            <w:pPr>
              <w:jc w:val="center"/>
              <w:ind w:left="607"/>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6"/>
              <w:spacing w:after="0"/>
              <w:rPr>
                <w:sz w:val="20"/>
                <w:szCs w:val="20"/>
                <w:color w:val="auto"/>
              </w:rPr>
            </w:pPr>
            <w:r>
              <w:rPr>
                <w:rFonts w:ascii="Times New Roman" w:cs="Times New Roman" w:eastAsia="Times New Roman" w:hAnsi="Times New Roman"/>
                <w:sz w:val="24"/>
                <w:szCs w:val="24"/>
                <w:color w:val="0000FF"/>
                <w:w w:val="85"/>
                <w:vertAlign w:val="subscript"/>
              </w:rPr>
              <w:t>G</w:t>
            </w:r>
            <w:r>
              <w:rPr>
                <w:rFonts w:ascii="Times New Roman" w:cs="Times New Roman" w:eastAsia="Times New Roman" w:hAnsi="Times New Roman"/>
                <w:sz w:val="10"/>
                <w:szCs w:val="10"/>
                <w:color w:val="008000"/>
                <w:w w:val="85"/>
              </w:rPr>
              <w:t>(8)</w:t>
            </w:r>
          </w:p>
        </w:tc>
        <w:tc>
          <w:tcPr>
            <w:tcW w:w="78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6"/>
                <w:szCs w:val="16"/>
                <w:color w:val="0000FF"/>
                <w:w w:val="96"/>
              </w:rPr>
              <w:t>7,487</w:t>
            </w:r>
            <w:r>
              <w:rPr>
                <w:rFonts w:ascii="Times New Roman" w:cs="Times New Roman" w:eastAsia="Times New Roman" w:hAnsi="Times New Roman"/>
                <w:sz w:val="20"/>
                <w:szCs w:val="20"/>
                <w:color w:val="008000"/>
                <w:w w:val="96"/>
                <w:vertAlign w:val="superscript"/>
              </w:rPr>
              <w:t>(8)</w:t>
            </w:r>
          </w:p>
        </w:tc>
        <w:tc>
          <w:tcPr>
            <w:tcW w:w="5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1,313,489</w:t>
            </w:r>
          </w:p>
        </w:tc>
        <w:tc>
          <w:tcPr>
            <w:tcW w:w="920" w:type="dxa"/>
            <w:vAlign w:val="bottom"/>
            <w:tcBorders>
              <w:bottom w:val="single" w:sz="8" w:color="2C2C2C"/>
            </w:tcBorders>
          </w:tcPr>
          <w:p>
            <w:pPr>
              <w:jc w:val="center"/>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4,891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00"/>
        </w:trPr>
        <w:tc>
          <w:tcPr>
            <w:tcW w:w="238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63" w:orient="portrait"/>
          <w:cols w:equalWidth="0" w:num="1">
            <w:col w:w="11080"/>
          </w:cols>
          <w:pgMar w:left="460" w:top="189" w:right="359" w:bottom="0" w:gutter="0" w:footer="0" w:header="0"/>
        </w:sectPr>
      </w:pPr>
    </w:p>
    <w:p>
      <w:pPr>
        <w:ind w:left="10180"/>
        <w:spacing w:after="0" w:line="189" w:lineRule="auto"/>
        <w:rPr>
          <w:sz w:val="20"/>
          <w:szCs w:val="20"/>
          <w:color w:val="auto"/>
        </w:rPr>
      </w:pPr>
      <w:r>
        <w:rPr>
          <w:rFonts w:ascii="Times New Roman" w:cs="Times New Roman" w:eastAsia="Times New Roman" w:hAnsi="Times New Roman"/>
          <w:sz w:val="11"/>
          <w:szCs w:val="11"/>
          <w:color w:val="0000FF"/>
        </w:rPr>
        <w:t>Lake</w:t>
      </w:r>
    </w:p>
    <w:p>
      <w:pPr>
        <w:sectPr>
          <w:pgSz w:w="11900" w:h="16863" w:orient="portrait"/>
          <w:cols w:equalWidth="0" w:num="1">
            <w:col w:w="11080"/>
          </w:cols>
          <w:pgMar w:left="460" w:top="189" w:right="359" w:bottom="0" w:gutter="0" w:footer="0" w:header="0"/>
          <w:type w:val="continuous"/>
        </w:sectPr>
      </w:pPr>
    </w:p>
    <w:p>
      <w:pPr>
        <w:ind w:left="10180"/>
        <w:spacing w:after="0"/>
        <w:rPr>
          <w:sz w:val="20"/>
          <w:szCs w:val="20"/>
          <w:color w:val="auto"/>
        </w:rPr>
      </w:pPr>
      <w:r>
        <w:rPr>
          <w:rFonts w:ascii="Times New Roman" w:cs="Times New Roman" w:eastAsia="Times New Roman" w:hAnsi="Times New Roman"/>
          <w:sz w:val="16"/>
          <w:szCs w:val="16"/>
          <w:color w:val="0000FF"/>
        </w:rPr>
        <w:t>Group,</w:t>
      </w:r>
    </w:p>
    <w:p>
      <w:pPr>
        <w:spacing w:after="0" w:line="1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gridSpan w:val="2"/>
            <w:vMerge w:val="restart"/>
          </w:tcPr>
          <w:p>
            <w:pPr>
              <w:jc w:val="center"/>
              <w:ind w:right="323"/>
              <w:spacing w:after="0"/>
              <w:rPr>
                <w:sz w:val="20"/>
                <w:szCs w:val="20"/>
                <w:color w:val="auto"/>
              </w:rPr>
            </w:pPr>
            <w:r>
              <w:rPr>
                <w:rFonts w:ascii="Times New Roman" w:cs="Times New Roman" w:eastAsia="Times New Roman" w:hAnsi="Times New Roman"/>
                <w:sz w:val="16"/>
                <w:szCs w:val="16"/>
                <w:color w:val="0000FF"/>
                <w:w w:val="99"/>
              </w:rPr>
              <w:t>4,277</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38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40" w:type="dxa"/>
            <w:vAlign w:val="bottom"/>
            <w:gridSpan w:val="2"/>
            <w:vMerge w:val="restart"/>
          </w:tcPr>
          <w:p>
            <w:pPr>
              <w:jc w:val="center"/>
              <w:ind w:right="303"/>
              <w:spacing w:after="0"/>
              <w:rPr>
                <w:sz w:val="20"/>
                <w:szCs w:val="20"/>
                <w:color w:val="auto"/>
              </w:rPr>
            </w:pPr>
            <w:r>
              <w:rPr>
                <w:rFonts w:ascii="Times New Roman" w:cs="Times New Roman" w:eastAsia="Times New Roman" w:hAnsi="Times New Roman"/>
                <w:sz w:val="16"/>
                <w:szCs w:val="16"/>
                <w:color w:val="0000FF"/>
              </w:rPr>
              <w:t>129,705</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38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40" w:type="dxa"/>
            <w:vAlign w:val="bottom"/>
            <w:gridSpan w:val="2"/>
            <w:vMerge w:val="restart"/>
          </w:tcPr>
          <w:p>
            <w:pPr>
              <w:jc w:val="center"/>
              <w:ind w:right="323"/>
              <w:spacing w:after="0"/>
              <w:rPr>
                <w:sz w:val="20"/>
                <w:szCs w:val="20"/>
                <w:color w:val="auto"/>
              </w:rPr>
            </w:pPr>
            <w:r>
              <w:rPr>
                <w:rFonts w:ascii="Times New Roman" w:cs="Times New Roman" w:eastAsia="Times New Roman" w:hAnsi="Times New Roman"/>
                <w:sz w:val="16"/>
                <w:szCs w:val="16"/>
                <w:color w:val="0000FF"/>
                <w:w w:val="99"/>
              </w:rPr>
              <w:t>46,753</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38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40" w:type="dxa"/>
            <w:vAlign w:val="bottom"/>
            <w:gridSpan w:val="2"/>
            <w:vMerge w:val="restart"/>
          </w:tcPr>
          <w:p>
            <w:pPr>
              <w:jc w:val="center"/>
              <w:ind w:right="323"/>
              <w:spacing w:after="0"/>
              <w:rPr>
                <w:sz w:val="20"/>
                <w:szCs w:val="20"/>
                <w:color w:val="auto"/>
              </w:rPr>
            </w:pPr>
            <w:r>
              <w:rPr>
                <w:rFonts w:ascii="Times New Roman" w:cs="Times New Roman" w:eastAsia="Times New Roman" w:hAnsi="Times New Roman"/>
                <w:sz w:val="16"/>
                <w:szCs w:val="16"/>
                <w:color w:val="0000FF"/>
                <w:w w:val="99"/>
              </w:rPr>
              <w:t>94,207</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38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gridSpan w:val="4"/>
            <w:vMerge w:val="restart"/>
          </w:tcPr>
          <w:p>
            <w:pPr>
              <w:ind w:left="4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(19)</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3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gridSpan w:val="9"/>
          </w:tcPr>
          <w:p>
            <w:pPr>
              <w:jc w:val="center"/>
              <w:ind w:right="5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8"/>
          </w:tcPr>
          <w:p>
            <w:pPr>
              <w:jc w:val="center"/>
              <w:ind w:left="476"/>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8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color w:val="0000FF"/>
              </w:rPr>
              <w:t>91,886</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0000FF"/>
              </w:rPr>
              <w:t>06/03/2026</w:t>
            </w:r>
          </w:p>
        </w:tc>
        <w:tc>
          <w:tcPr>
            <w:tcW w:w="10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91,886</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13"/>
                <w:szCs w:val="13"/>
                <w:color w:val="auto"/>
              </w:rPr>
            </w:pP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18,234,475</w:t>
            </w:r>
          </w:p>
        </w:tc>
        <w:tc>
          <w:tcPr>
            <w:tcW w:w="100" w:type="dxa"/>
            <w:vAlign w:val="bottom"/>
          </w:tcPr>
          <w:p>
            <w:pPr>
              <w:spacing w:after="0"/>
              <w:rPr>
                <w:sz w:val="13"/>
                <w:szCs w:val="13"/>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Silver Lake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Partners IV,</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right w:val="single" w:sz="8" w:color="2C2C2C"/>
            </w:tcBorders>
            <w:gridSpan w:val="3"/>
          </w:tcPr>
          <w:p>
            <w:pPr>
              <w:ind w:left="60"/>
              <w:spacing w:after="0" w:line="225"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28,022,439</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28,022,439</w:t>
            </w:r>
          </w:p>
        </w:tc>
        <w:tc>
          <w:tcPr>
            <w:tcW w:w="100" w:type="dxa"/>
            <w:vAlign w:val="bottom"/>
          </w:tcPr>
          <w:p>
            <w:pPr>
              <w:spacing w:after="0"/>
              <w:rPr>
                <w:sz w:val="3"/>
                <w:szCs w:val="3"/>
                <w:color w:val="auto"/>
              </w:rPr>
            </w:pPr>
          </w:p>
        </w:tc>
        <w:tc>
          <w:tcPr>
            <w:tcW w:w="640" w:type="dxa"/>
            <w:vAlign w:val="bottom"/>
            <w:vMerge w:val="restart"/>
          </w:tcPr>
          <w:p>
            <w:pPr>
              <w:ind w:left="26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-2333625</wp:posOffset>
            </wp:positionV>
            <wp:extent cx="28575" cy="2323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575" cy="232346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Silver Lake Partners IV, L.P.</w:t>
        </w:r>
      </w:hyperlink>
    </w:p>
    <w:p>
      <w:pPr>
        <w:sectPr>
          <w:pgSz w:w="11900" w:h="16863" w:orient="portrait"/>
          <w:cols w:equalWidth="0" w:num="1">
            <w:col w:w="11080"/>
          </w:cols>
          <w:pgMar w:left="460" w:top="189" w:right="359" w:bottom="0" w:gutter="0" w:footer="0" w:header="0"/>
          <w:type w:val="continuous"/>
        </w:sectPr>
      </w:pPr>
    </w:p>
    <w:bookmarkStart w:id="2" w:name="page3"/>
    <w:bookmarkEnd w:id="2"/>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4320" cy="797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14320" cy="797560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1300" w:type="dxa"/>
            <w:vAlign w:val="bottom"/>
          </w:tcPr>
          <w:p>
            <w:pPr>
              <w:ind w:left="20"/>
              <w:spacing w:after="0"/>
              <w:rPr>
                <w:sz w:val="20"/>
                <w:szCs w:val="20"/>
                <w:color w:val="auto"/>
              </w:rPr>
            </w:pPr>
            <w:r>
              <w:rPr>
                <w:rFonts w:ascii="Arial" w:cs="Arial" w:eastAsia="Arial" w:hAnsi="Arial"/>
                <w:sz w:val="12"/>
                <w:szCs w:val="12"/>
                <w:color w:val="auto"/>
              </w:rPr>
              <w:t>(First)</w:t>
            </w:r>
          </w:p>
        </w:tc>
        <w:tc>
          <w:tcPr>
            <w:tcW w:w="1520" w:type="dxa"/>
            <w:vAlign w:val="bottom"/>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C/O SILVER LAKE</w:t>
            </w:r>
          </w:p>
        </w:tc>
        <w:tc>
          <w:tcPr>
            <w:tcW w:w="13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52"/>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r>
      <w:tr>
        <w:trPr>
          <w:trHeight w:val="144"/>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1300" w:type="dxa"/>
            <w:vAlign w:val="bottom"/>
          </w:tcPr>
          <w:p>
            <w:pPr>
              <w:ind w:left="20"/>
              <w:spacing w:after="0"/>
              <w:rPr>
                <w:sz w:val="20"/>
                <w:szCs w:val="20"/>
                <w:color w:val="auto"/>
              </w:rPr>
            </w:pPr>
            <w:r>
              <w:rPr>
                <w:rFonts w:ascii="Arial" w:cs="Arial" w:eastAsia="Arial" w:hAnsi="Arial"/>
                <w:sz w:val="12"/>
                <w:szCs w:val="12"/>
                <w:color w:val="auto"/>
              </w:rPr>
              <w:t>(State)</w:t>
            </w:r>
          </w:p>
        </w:tc>
        <w:tc>
          <w:tcPr>
            <w:tcW w:w="1520" w:type="dxa"/>
            <w:vAlign w:val="bottom"/>
          </w:tcPr>
          <w:p>
            <w:pPr>
              <w:ind w:left="140"/>
              <w:spacing w:after="0"/>
              <w:rPr>
                <w:sz w:val="20"/>
                <w:szCs w:val="20"/>
                <w:color w:val="auto"/>
              </w:rPr>
            </w:pPr>
            <w:r>
              <w:rPr>
                <w:rFonts w:ascii="Arial" w:cs="Arial" w:eastAsia="Arial" w:hAnsi="Arial"/>
                <w:sz w:val="12"/>
                <w:szCs w:val="12"/>
                <w:color w:val="auto"/>
              </w:rPr>
              <w:t>(Zip)</w:t>
            </w:r>
          </w:p>
        </w:tc>
      </w:tr>
    </w:tbl>
    <w:p>
      <w:pPr>
        <w:spacing w:after="0" w:line="126"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Silver Lake Technology Associates IV, L.P.</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5"/>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SLTA IV (GP),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5"/>
          </w:tcPr>
          <w:p>
            <w:pPr>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Silver Lake Group,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2"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Durban Egon</w:t>
              </w:r>
            </w:hyperlink>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jc w:val="both"/>
        <w:ind w:left="20" w:right="40" w:hanging="3"/>
        <w:spacing w:after="0" w:line="260"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3, 2026 and initiated in-kind distributions of shares of Class C Common Stock on June 3, 2026. The receipt of shares of Class C Common Stock by each of the Reporting Persons in connection with such distributions was exempt from reporting pursuant to Rule 16a-13 of the Exchange Act.</w:t>
      </w:r>
    </w:p>
    <w:p>
      <w:pPr>
        <w:spacing w:after="0" w:line="13" w:lineRule="exact"/>
        <w:rPr>
          <w:rFonts w:ascii="Times New Roman" w:cs="Times New Roman" w:eastAsia="Times New Roman" w:hAnsi="Times New Roman"/>
          <w:sz w:val="12"/>
          <w:szCs w:val="12"/>
          <w:color w:val="008000"/>
        </w:rPr>
      </w:pPr>
    </w:p>
    <w:p>
      <w:pPr>
        <w:ind w:left="20" w:right="20" w:hanging="3"/>
        <w:spacing w:after="0" w:line="260"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3, 2026, certain of the Reporting Persons converted shares of Class B Common Stock into an equal number of shares of Class C Common Stock in connection with the sales and distributions described in footnote (1) above.</w:t>
      </w:r>
    </w:p>
    <w:p>
      <w:pPr>
        <w:spacing w:after="0" w:line="13" w:lineRule="exact"/>
        <w:rPr>
          <w:rFonts w:ascii="Times New Roman" w:cs="Times New Roman" w:eastAsia="Times New Roman" w:hAnsi="Times New Roman"/>
          <w:sz w:val="12"/>
          <w:szCs w:val="12"/>
          <w:color w:val="008000"/>
        </w:rPr>
      </w:pPr>
    </w:p>
    <w:p>
      <w:pPr>
        <w:ind w:left="20" w:right="6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Partners IV, L.P. The general partner of Silver Lake Partners IV, L.P. is Silver Lake Technology Associates IV, L.P. and the general partner of Silver Lake Technology Associates IV, L.P. is SLTA IV (GP), L.L.C.</w:t>
      </w:r>
    </w:p>
    <w:p>
      <w:pPr>
        <w:ind w:left="20" w:right="30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IV (GP), L.L.C. Egon Durban, who serves as a director of the Issuer, also serves as a Co-CEO and Managing Member of SLG. Each of the Reporting Persons may be deemed a director by deputization of the Issuer.</w:t>
      </w:r>
    </w:p>
    <w:p>
      <w:pPr>
        <w:ind w:left="20" w:right="28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 Shares held include shares of Class C Common Stock received in connection with the distributions described herein on June 3, 2026. The receipt of such shares of Class C Common Stock was exempt from reporting pursuant to Rule 16a-13 of the Exchange Act.</w:t>
      </w:r>
    </w:p>
    <w:p>
      <w:pPr>
        <w:ind w:left="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 including shares received in connection with the distributions of shares of Class C Common Stock on June 3, 2026. The receipt of such shares of Class C Common Stock indirectly by Mr. Durban was exempt from reporting pursuant to Rule 16a-13 of the Exchange Act.</w:t>
      </w:r>
    </w:p>
    <w:p>
      <w:pPr>
        <w:ind w:left="20" w:right="100" w:hanging="3"/>
        <w:spacing w:after="0" w:line="260"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distributions described in footnote (1) above, distributions of certain shares were initiated to certain employees and managing members of SLG or its affiliates, including Mr. Durban. This amount reflects 24,563, 14,785 and 90,357 shares held by SLTA SPV-2, L.P., Silver Lake Technology Associates V, L.P. and SLG, respectively, on behalf of such individuals, including shares distributed in the June 3, 2026 distributions. The receipt of such shares of Class C Common Stock was exempt from reporting pursuant to Rule 16a-13 of the Exchange Act.</w:t>
      </w:r>
    </w:p>
    <w:p>
      <w:pPr>
        <w:spacing w:after="0" w:line="13" w:lineRule="exact"/>
        <w:rPr>
          <w:rFonts w:ascii="Times New Roman" w:cs="Times New Roman" w:eastAsia="Times New Roman" w:hAnsi="Times New Roman"/>
          <w:sz w:val="12"/>
          <w:szCs w:val="12"/>
          <w:color w:val="008000"/>
        </w:rPr>
      </w:pPr>
    </w:p>
    <w:p>
      <w:pPr>
        <w:ind w:left="20" w:right="40" w:hanging="3"/>
        <w:spacing w:after="0" w:line="260"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directly by Mr. Durban. The 7,487 shares represent shares of Class C Common Stock deemed received by Mr. Durban in connection with the distribution of shares of Class C Common Stock described herein on June 3, 2026, all of which were donated on such day to a charitable foundation. The deemed receipt of such shares of Class C Common Stock was exempt from reporting pursuant to Rule 16a-13 of the Exchange Act.</w:t>
      </w:r>
    </w:p>
    <w:p>
      <w:pPr>
        <w:spacing w:after="0" w:line="13" w:lineRule="exact"/>
        <w:rPr>
          <w:rFonts w:ascii="Times New Roman" w:cs="Times New Roman" w:eastAsia="Times New Roman" w:hAnsi="Times New Roman"/>
          <w:sz w:val="12"/>
          <w:szCs w:val="12"/>
          <w:color w:val="008000"/>
        </w:rPr>
      </w:pPr>
    </w:p>
    <w:p>
      <w:pPr>
        <w:ind w:left="20" w:right="1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 including shares received in connection with the distributions of shares of Class C Common Stock on June 3, 2026. The receipt of such shares of Class C Common Stock indirectly by Mr. Durban was exempt from reporting pursuant to Rule 16a-13 of the Exchange Act.</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$420.0000 to $420.9918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ectPr>
          <w:pgSz w:w="11900" w:h="16885" w:orient="portrait"/>
          <w:cols w:equalWidth="0" w:num="1">
            <w:col w:w="10900"/>
          </w:cols>
          <w:pgMar w:left="480" w:top="289" w:right="519" w:bottom="0" w:gutter="0" w:footer="0" w:header="0"/>
        </w:sectPr>
      </w:pPr>
    </w:p>
    <w:bookmarkStart w:id="3" w:name="page4"/>
    <w:bookmarkEnd w:id="3"/>
    <w:p>
      <w:pPr>
        <w:ind w:left="3" w:right="60" w:hanging="3"/>
        <w:spacing w:after="0" w:line="282" w:lineRule="auto"/>
        <w:tabs>
          <w:tab w:leader="none" w:pos="185"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$421.0000 to $421.9800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$422.0200 to $422.0500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$425.0000 to $425.9500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$426.0000 to $426.8900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$427.0000 to $427.9700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$428.0000 to $428.9058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$429.0000 to $429.9993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40" w:hanging="3"/>
        <w:spacing w:after="0" w:line="282"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$430.0000 to $430.9900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60"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0 shares of Class C Common Stock, Silver Lake Partners V DE (AIV), L.P. directly holds 94,207 shares of Class C Common Stock, Silver Lake Technology Investors IV, L.P. directly holds 0 shares of Class C Common Stock, and Silver Lake Technology Investors V, L.P. directly holds 0 shares of Class C Common Stock, which securities and related transactions are reported on separate Form 4 filings.</w:t>
      </w:r>
    </w:p>
    <w:p>
      <w:pPr>
        <w:spacing w:after="0" w:line="13" w:lineRule="exact"/>
        <w:rPr>
          <w:rFonts w:ascii="Times New Roman" w:cs="Times New Roman" w:eastAsia="Times New Roman" w:hAnsi="Times New Roman"/>
          <w:sz w:val="12"/>
          <w:szCs w:val="12"/>
          <w:color w:val="008000"/>
        </w:rPr>
      </w:pPr>
    </w:p>
    <w:p>
      <w:pPr>
        <w:ind w:left="3" w:right="140" w:hanging="3"/>
        <w:spacing w:after="0" w:line="260"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17,762,868 shares of Class B Common Stock, Silver Lake Partners V DE (AIV), L.P. directly holds 9,870,299 shares of Class B Common Stock, Silver Lake Technology Investors IV, L.P. directly holds 268,289 shares of Class B Common Stock and Silver Lake Technology Investors V, L.P. directly holds 120,983 shares of Class B Common Stock, which securities are reported on separate Form 4 filings.</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3" w:right="40"/>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63"/>
          </w:cols>
          <w:pgMar w:left="497" w:top="127" w:right="539" w:bottom="1440" w:gutter="0" w:footer="0" w:header="0"/>
        </w:sectPr>
      </w:pPr>
    </w:p>
    <w:p>
      <w:pPr>
        <w:spacing w:after="0" w:line="42"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004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0045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71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96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L.P.,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Partners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9023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0233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004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0045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71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96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600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6002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004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0045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2717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5867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579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5791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086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63" w:space="100"/>
            <w:col w:w="2100"/>
          </w:cols>
          <w:pgMar w:left="497" w:top="127" w:right="539" w:bottom="1440" w:gutter="0" w:footer="0" w:header="0"/>
          <w:type w:val="continuous"/>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60" w:hanging="3"/>
        <w:spacing w:after="0" w:line="325"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3"/>
      </w:cols>
      <w:pgMar w:left="497" w:top="12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13" Type="http://schemas.openxmlformats.org/officeDocument/2006/relationships/hyperlink" Target="http://www.sec.gov/cgi-bin/browse-edgar?action=getcompany&amp;CIK=0001552054" TargetMode="External"/><Relationship Id="rId14" Type="http://schemas.openxmlformats.org/officeDocument/2006/relationships/hyperlink" Target="http://www.sec.gov/cgi-bin/browse-edgar?action=getcompany&amp;CIK=0001571996" TargetMode="External"/><Relationship Id="rId19" Type="http://schemas.openxmlformats.org/officeDocument/2006/relationships/hyperlink" Target="http://www.sec.gov/cgi-bin/browse-edgar?action=getcompany&amp;CIK=0001672566" TargetMode="External"/><Relationship Id="rId20" Type="http://schemas.openxmlformats.org/officeDocument/2006/relationships/hyperlink" Target="http://www.sec.gov/cgi-bin/browse-edgar?action=getcompany&amp;CIK=0001672568" TargetMode="External"/><Relationship Id="rId21" Type="http://schemas.openxmlformats.org/officeDocument/2006/relationships/hyperlink" Target="http://www.sec.gov/cgi-bin/browse-edgar?action=getcompany&amp;CIK=0001418226" TargetMode="External"/><Relationship Id="rId22"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2026-06-05T17:23:23Z</dcterms:created>
  <dcterms:modified xsi:type="dcterms:W3CDTF">2026-06-05T17:23:23Z</dcterms:modified>
</cp:coreProperties>
</file>