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Dell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C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Justin G. Hamill,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Silver Lake 55 Hudson Yards, 550 West 34th Street, 40th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212-981-5600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Kenneth B. Wallach,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Simpson Thacher &amp; Bartlett LLP, 425 Lexington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212-455-2000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Hui Lin,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Simpson Thacher &amp; Bartlett LLP, 425 Lexington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212-455-2000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Jessica Asrat,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Simpson Thacher &amp; Bartlett LLP, 425 Lexington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35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1240"/>
          </w:cols>
          <w:pgMar w:left="320" w:top="866" w:right="339" w:bottom="0" w:gutter="0" w:footer="0" w:header="0"/>
        </w:sectPr>
      </w:pPr>
    </w:p>
    <w:bookmarkStart w:id="1" w:name="page2"/>
    <w:bookmarkEnd w:id="1"/>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SL SPV-2,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440" w:right="1440" w:bottom="3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19,270,822.00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19,270,822.00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19,270,822.00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440" w:right="1440" w:bottom="3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0099"/>
          </w:cols>
          <w:pgMar w:left="360" w:top="1440" w:right="1440" w:bottom="3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0099"/>
          </w:cols>
          <w:pgMar w:left="360" w:top="1440" w:right="1440" w:bottom="30" w:gutter="0" w:footer="0" w:header="0"/>
          <w:type w:val="continuous"/>
        </w:sectPr>
      </w:pPr>
    </w:p>
    <w:bookmarkStart w:id="2" w:name="page3"/>
    <w:bookmarkEnd w:id="2"/>
    <w:p>
      <w:pPr>
        <w:spacing w:after="0" w:line="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SLTA SPV-2, L.P.</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0"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19,281,435.00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19,270,822.00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19,281,435.00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60"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SLTA SPV-2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60"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19,281,435.00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19,270,822.00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19,281,435.00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19,782,464.00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6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 Shared Dispositive 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355" w:right="1440" w:bottom="0" w:gutter="0" w:footer="0" w:header="0"/>
          <w:type w:val="continuous"/>
        </w:sectPr>
      </w:pPr>
    </w:p>
    <w:bookmarkStart w:id="4" w:name="page5"/>
    <w:bookmarkEnd w:id="4"/>
    <w:p>
      <w:pPr>
        <w:ind w:left="1440"/>
        <w:spacing w:after="0"/>
        <w:rPr>
          <w:sz w:val="20"/>
          <w:szCs w:val="20"/>
          <w:color w:val="auto"/>
        </w:rPr>
      </w:pPr>
      <w:r>
        <w:rPr>
          <w:rFonts w:ascii="Times New Roman" w:cs="Times New Roman" w:eastAsia="Times New Roman" w:hAnsi="Times New Roman"/>
          <w:sz w:val="22"/>
          <w:szCs w:val="22"/>
          <w:color w:val="auto"/>
        </w:rPr>
        <w:t>19,782,464.00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19,782,464.00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5.8 %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Silver Lake Technology Investors IV,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291,066.00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291,066.00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291,066.00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53"/>
        </w:trPr>
        <w:tc>
          <w:tcPr>
            <w:tcW w:w="22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0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The above beneficial ownership reflects less than 0.1% of the outstanding shares of Class C</w:t>
            </w:r>
          </w:p>
        </w:tc>
      </w:tr>
      <w:tr>
        <w:trPr>
          <w:trHeight w:val="292"/>
        </w:trPr>
        <w:tc>
          <w:tcPr>
            <w:tcW w:w="22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0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Common Stock outstanding. See Item 5.</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Silver Lake Technology Associates IV,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20"/>
          </w:cols>
          <w:pgMar w:left="320" w:top="335" w:right="35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20,073,530.00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20,073,530.00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20,073,530.00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60"/>
          </w:cols>
          <w:pgMar w:left="320" w:top="335" w:right="3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1220"/>
          </w:cols>
          <w:pgMar w:left="320" w:top="335" w:right="359"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20"/>
          </w:cols>
          <w:pgMar w:left="320" w:top="335" w:right="359" w:bottom="0" w:gutter="0" w:footer="0" w:header="0"/>
          <w:type w:val="continuous"/>
        </w:sectPr>
      </w:pPr>
    </w:p>
    <w:bookmarkStart w:id="6" w:name="page7"/>
    <w:bookmarkEnd w:id="6"/>
    <w:p>
      <w:pPr>
        <w:spacing w:after="0" w:line="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SLTA IV (GP), L.L.C.</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0"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20,073,530.00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20,073,530.00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20,073,530.00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60"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Silver Lake Partners V DE (AIV),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60" w:orient="portrait"/>
          <w:cols w:equalWidth="0" w:num="1">
            <w:col w:w="10099"/>
          </w:cols>
          <w:pgMar w:left="360" w:top="111" w:right="1440" w:bottom="0"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10,708,224.00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10,708,224.00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10,708,224.00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Silver Lake Technology Investors V,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131,254.00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6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 Shared Dispositive 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355" w:right="1440" w:bottom="0" w:gutter="0" w:footer="0" w:header="0"/>
          <w:type w:val="continuous"/>
        </w:sectPr>
      </w:pPr>
    </w:p>
    <w:bookmarkStart w:id="8" w:name="page9"/>
    <w:bookmarkEnd w:id="8"/>
    <w:p>
      <w:pPr>
        <w:ind w:left="1480"/>
        <w:spacing w:after="0"/>
        <w:rPr>
          <w:sz w:val="20"/>
          <w:szCs w:val="20"/>
          <w:color w:val="auto"/>
        </w:rPr>
      </w:pPr>
      <w:r>
        <w:rPr>
          <w:rFonts w:ascii="Times New Roman" w:cs="Times New Roman" w:eastAsia="Times New Roman" w:hAnsi="Times New Roman"/>
          <w:sz w:val="22"/>
          <w:szCs w:val="22"/>
          <w:color w:val="auto"/>
        </w:rPr>
        <w:t>131,254.00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131,254.00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tbl>
      <w:tblPr>
        <w:tblLayout w:type="fixed"/>
        <w:tblInd w:w="0" w:type="dxa"/>
        <w:tblCellMar>
          <w:top w:w="0" w:type="dxa"/>
          <w:left w:w="0" w:type="dxa"/>
          <w:bottom w:w="0" w:type="dxa"/>
          <w:right w:w="0" w:type="dxa"/>
        </w:tblCellMar>
      </w:tblPr>
      <w:tr>
        <w:trPr>
          <w:trHeight w:val="282"/>
        </w:trPr>
        <w:tc>
          <w:tcPr>
            <w:tcW w:w="22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PN</w:t>
            </w:r>
          </w:p>
        </w:tc>
        <w:tc>
          <w:tcPr>
            <w:tcW w:w="9020" w:type="dxa"/>
            <w:vAlign w:val="bottom"/>
          </w:tcPr>
          <w:p>
            <w:pPr>
              <w:spacing w:after="0"/>
              <w:rPr>
                <w:sz w:val="24"/>
                <w:szCs w:val="24"/>
                <w:color w:val="auto"/>
              </w:rPr>
            </w:pPr>
          </w:p>
        </w:tc>
      </w:tr>
      <w:tr>
        <w:trPr>
          <w:trHeight w:val="453"/>
        </w:trPr>
        <w:tc>
          <w:tcPr>
            <w:tcW w:w="22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0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The above beneficial ownership reflects less than 0.1% of the outstanding shares of Class C</w:t>
            </w:r>
          </w:p>
        </w:tc>
      </w:tr>
      <w:tr>
        <w:trPr>
          <w:trHeight w:val="292"/>
        </w:trPr>
        <w:tc>
          <w:tcPr>
            <w:tcW w:w="22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0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Common Stock outstanding. See Item 5.</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Silver Lake Technology Associates V,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20"/>
          </w:cols>
          <w:pgMar w:left="320" w:top="111" w:right="35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10,845,828.00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10,839,478.00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10,845,828.00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38" w:orient="portrait"/>
          <w:cols w:equalWidth="0" w:num="2">
            <w:col w:w="1100" w:space="60"/>
            <w:col w:w="10060"/>
          </w:cols>
          <w:pgMar w:left="320" w:top="111" w:right="359" w:bottom="0" w:gutter="0" w:footer="0" w:header="0"/>
          <w:type w:val="continuous"/>
        </w:sectPr>
      </w:pPr>
    </w:p>
    <w:bookmarkStart w:id="9" w:name="page10"/>
    <w:bookmarkEnd w:id="9"/>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SLTA V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10,845,828.00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10,839,478.00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10,845,828.00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0099"/>
          </w:cols>
          <w:pgMar w:left="360" w:top="355"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0099"/>
          </w:cols>
          <w:pgMar w:left="360" w:top="355" w:right="1440" w:bottom="0" w:gutter="0" w:footer="0" w:header="0"/>
          <w:type w:val="continuous"/>
        </w:sectPr>
      </w:pPr>
    </w:p>
    <w:bookmarkStart w:id="10" w:name="page11"/>
    <w:bookmarkEnd w:id="10"/>
    <w:p>
      <w:pPr>
        <w:ind w:left="1120"/>
        <w:spacing w:after="0"/>
        <w:rPr>
          <w:sz w:val="20"/>
          <w:szCs w:val="20"/>
          <w:color w:val="auto"/>
        </w:rPr>
      </w:pPr>
      <w:r>
        <w:rPr>
          <w:rFonts w:ascii="Times New Roman" w:cs="Times New Roman" w:eastAsia="Times New Roman" w:hAnsi="Times New Roman"/>
          <w:sz w:val="22"/>
          <w:szCs w:val="22"/>
          <w:color w:val="auto"/>
        </w:rPr>
        <w:t>Silver Lake Group, L.L.C.</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60"/>
          </w:cols>
          <w:pgMar w:left="360" w:top="112" w:right="37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50,240,830.00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50,184,624.00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50,240,830.00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10040"/>
          </w:cols>
          <w:pgMar w:left="360" w:top="112" w:right="3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C 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Dell Technologies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One Dell Way, Round Rock, TEXAS , 78682.</w:t>
      </w:r>
    </w:p>
    <w:p>
      <w:pPr>
        <w:spacing w:after="0" w:line="20" w:lineRule="exact"/>
        <w:rPr>
          <w:sz w:val="20"/>
          <w:szCs w:val="20"/>
          <w:color w:val="auto"/>
        </w:rPr>
      </w:pPr>
    </w:p>
    <w:p>
      <w:pPr>
        <w:jc w:val="right"/>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13 (the Amendment No. 13), being filed by SL SPV-2, L.P. (SPV-2), SLTA SPV-2, L.P. (SLTA</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GP), SLTA SPV-2 (GP), L.L.C. (SLTA SPV GP), Silver Lake Partners IV, L.P. (SLP IV), Silver Lake Technology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Investors IV, L.P. (SLTI IV), Silver Lake Technology Associates IV, L.P. (SLTA IV), SLTA IV (GP), L.L.C. (SLTA IV GP), Silver Lake Partners V DE (AIV), L.P. (SLP V), Silver Lake Technology Investors V, L.P. (SLTI V), Silver Lake Technology Associates V, L.P. (SLTA V), SLTA V (GP), L.L.C. (SLTA V GP), and Silver Lake Group, L.L.C.</w:t>
      </w:r>
    </w:p>
    <w:p>
      <w:pPr>
        <w:spacing w:after="0" w:line="1" w:lineRule="exact"/>
        <w:rPr>
          <w:sz w:val="20"/>
          <w:szCs w:val="20"/>
          <w:color w:val="auto"/>
        </w:rPr>
      </w:pPr>
    </w:p>
    <w:p>
      <w:pPr>
        <w:jc w:val="both"/>
        <w:ind w:left="960"/>
        <w:spacing w:after="0" w:line="235" w:lineRule="auto"/>
        <w:rPr>
          <w:sz w:val="20"/>
          <w:szCs w:val="20"/>
          <w:color w:val="auto"/>
        </w:rPr>
      </w:pPr>
      <w:r>
        <w:rPr>
          <w:rFonts w:ascii="Times New Roman" w:cs="Times New Roman" w:eastAsia="Times New Roman" w:hAnsi="Times New Roman"/>
          <w:sz w:val="22"/>
          <w:szCs w:val="22"/>
          <w:color w:val="auto"/>
        </w:rPr>
        <w:t>(SLG, and collectively, the Reporting Persons) amends the Schedule 13D initially filed on February 19, 2019, as amended by Amendment No. 1 filed on July 2, 2019, Amendment No. 2 filed on January 2, 2020, Amendment No. 3 filed on July 1, 2021, Amendment No. 4 filed on July 13, 2023, Amendment No. 5 filed on January 18, 2024,</w:t>
      </w:r>
    </w:p>
    <w:p>
      <w:pPr>
        <w:sectPr>
          <w:pgSz w:w="11900" w:h="16838" w:orient="portrait"/>
          <w:cols w:equalWidth="0" w:num="1">
            <w:col w:w="11160"/>
          </w:cols>
          <w:pgMar w:left="360" w:top="112" w:right="379" w:bottom="0" w:gutter="0" w:footer="0" w:header="0"/>
          <w:type w:val="continuous"/>
        </w:sectPr>
      </w:pPr>
    </w:p>
    <w:bookmarkStart w:id="11" w:name="page12"/>
    <w:bookmarkEnd w:id="11"/>
    <w:p>
      <w:pPr>
        <w:jc w:val="both"/>
        <w:ind w:left="960"/>
        <w:spacing w:after="0" w:line="235" w:lineRule="auto"/>
        <w:rPr>
          <w:sz w:val="20"/>
          <w:szCs w:val="20"/>
          <w:color w:val="auto"/>
        </w:rPr>
      </w:pPr>
      <w:r>
        <w:rPr>
          <w:rFonts w:ascii="Times New Roman" w:cs="Times New Roman" w:eastAsia="Times New Roman" w:hAnsi="Times New Roman"/>
          <w:sz w:val="22"/>
          <w:szCs w:val="22"/>
          <w:color w:val="auto"/>
        </w:rPr>
        <w:t>Amendment No. 6 filed on March 6, 2024, Amendment No. 7 filed on March 22, 2024, Amendment No. 8 filed on June 5, 2024, Amendment No. 9 filed on July 10, 2024, Amendment No. 10 filed on January 13, 2025, Amendment No. 11 filed on July 17, 2025 and Amendment No. 12 filed on October 3, 2025 (as amended, the Schedule 13D). The Items below amend the information disclosed under the corresponding Items of the Schedule 13D as described below. Except as specifically provided herein, this Amendment No. 13 does not modify any of the information previously reported in the Schedule 13D. Capitalized terms used herein and not otherwise defined have the meanings ascribed to them in the Schedule 13D. Unless otherwise set forth herein, the beneficial ownership information set forth in this Schedule 13D is as of market open on March 19, 2026.</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2(a) of the Schedule 13D is hereby amended and supplemented as follows: The information set forth in the</w:t>
      </w:r>
    </w:p>
    <w:p>
      <w:pPr>
        <w:spacing w:after="0" w:line="14" w:lineRule="exact"/>
        <w:rPr>
          <w:sz w:val="20"/>
          <w:szCs w:val="20"/>
          <w:color w:val="auto"/>
        </w:rPr>
      </w:pPr>
    </w:p>
    <w:p>
      <w:pPr>
        <w:ind w:left="920" w:right="320" w:hanging="912"/>
        <w:spacing w:after="0" w:line="237" w:lineRule="auto"/>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amended and restated Annex A attached hereto as Exhibit 99.2 is incorporated herein by reference in this amended Item 2.</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
        <w:spacing w:after="0" w:line="242" w:lineRule="auto"/>
        <w:rPr>
          <w:sz w:val="20"/>
          <w:szCs w:val="20"/>
          <w:color w:val="auto"/>
        </w:rPr>
      </w:pPr>
      <w:r>
        <w:rPr>
          <w:rFonts w:ascii="Times New Roman" w:cs="Times New Roman" w:eastAsia="Times New Roman" w:hAnsi="Times New Roman"/>
          <w:sz w:val="21"/>
          <w:szCs w:val="21"/>
          <w:color w:val="auto"/>
        </w:rPr>
        <w:t>Items 5(a) - (c) of the Schedule 13D are hereby amended and restated as follows: The information contained in rows 7, 8, 9, 10, 11 and 13 on each of the cover pages of this Schedule 13D and the information set forth or incorporated in Item 2 is incorporated by reference in its entirety into this Item 5. The Reporting Persons may be deemed to beneficially own an aggregate of 50,240,830 shares of the Issuer's Class C Common Stock, which constitutes approximately 7.8% of the total outstanding common stock of the Issuer, based on 645,748,451 shares of common stock outstanding in the aggregate as of March 18, 2026. Subject to the terms of the Issuer's amended and restated certificate of incorporation, each holder of record of: (1) Class A Common Stock is entitled to 10 votes per share of Class A Common Stock; (2) Class B Common Stock is entitled to 10 votes per share of Class B Common Stock; (3) Class C Common Stock is entitled to one vote per share of Class C Common Stock; and (4) Class D Common Stock is not entitled to any vote on any matter except to the extent required by provisions of Delaware law (in which case such holder is entitled to one vote per share of Class D Common Stock), in the case of each of (1) through (4), which is outstanding in such holder's name on the books of the Issuer and which is entitled to vote. The board of directors of the Issuer has a class consisting of the Group I Directors and a class consisting of the Group IV Directors (each as defined in the Issuer's certificate of incorporation, as amended). The holders of shares of all series of common stock outstanding will vote as one class with respect to the election of all Group I Directors and the holders of Class C Common Stock will vote separately as a series with respect to the election of the Group IV Director. Except as may otherwise be provided in the Issuer's certificate of incorporation, as amended, or as may otherwise be required by Delaware law, with respect to all other matters to be voted on by stockholders of the Issuer, the holders of shares of all series of common stock outstanding will vote as one class. As a result of the above, the 50,240,830 shares of Class C Common Stock beneficially owned in the aggregate by the Reporting Persons is entitled to approximately 14.0% of the combined voting power of the common stock of the Issuer, based on 645,748,451 shares of common stock outstanding in the aggregate, including 276,744,341 shares of Class A Common Stock, 50,183,830 shares of Class B</w:t>
      </w:r>
    </w:p>
    <w:p>
      <w:pPr>
        <w:spacing w:after="0" w:line="13" w:lineRule="exact"/>
        <w:rPr>
          <w:sz w:val="20"/>
          <w:szCs w:val="20"/>
          <w:color w:val="auto"/>
        </w:rPr>
      </w:pPr>
    </w:p>
    <w:p>
      <w:pPr>
        <w:ind w:left="920" w:right="40" w:hanging="912"/>
        <w:spacing w:after="0" w:line="222" w:lineRule="auto"/>
        <w:tabs>
          <w:tab w:leader="none" w:pos="920" w:val="left"/>
        </w:tabs>
        <w:numPr>
          <w:ilvl w:val="0"/>
          <w:numId w:val="1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Common Stock (reduced by the Class C conversions disclosed below) and 318,820,280 shares of Class C Common Stock outstanding, calculated as follows: 318,358,135 shares of Class C Common Stock outstanding as of March 9, 2026, as set forth in the Issuer's Annual Report on Form 10-K, filed with the SEC on March 16, 2026, plus the additional 325,204 and 136,941 shares of Class C Common Stock issued upon the conversion by the Reporting Persons of an equal number of shares of Class B Common Stock on March 17, 2026 and March 18, 2026, respectively, in connection with the transactions described in this Schedule 13D and as described further in Exhibit 99.3 attached hereto and assuming conversion of all outstanding shares of Class B Common Stock which may be deemed to be beneficially owned by the Reporting Persons into shares of Class C Common Stock. The Reporting Persons may be deemed to beneficially own an aggregate of 50,240,830 shares of the Issuer's Class C Common Stock, including 56,206 shares of the Issuer's Class C Common Stock held by the Reporting Persons on behalf of certain of their employees and certain managing members of SLG over which the Reporting Persons may be deemed to have voting power but no dispositive power, and an aggregate of 50,183,830 shares of the Issuer's Class B Common Stock held by the Reporting Persons, which are convertible into shares of Class C Common Stock on a one-for-one basis at any time at the holder's election, representing approximately 13.6% of the issued and outstanding shares of the Issuer's Class C Common Stock calculated on the basis of Rule 13d-3 of the Exchange Act. The percentages of beneficial ownership in this Schedule 13D are based on 318,820,280 shares of Class C Common Stock outstanding as of March 18, 2026 calculated as set forth in the above paragraph and assumes the conversion of all outstanding shares of Class B Common Stock which may be deemed to be beneficially owned by the Reporting Persons into shares of Class C Common Stock. Information with respect to the beneficial ownership of Class C Common Stock by the individuals listed in Annex 2 attached hereto as Exhibit 99.2 is incorporated herein by reference in response to this Item 5. The references to and description of the Issuer's amended and restated certificate of incorporation set forth above is not intended to be complete and is qualified in its entirety by reference to the full text of such certificate, which is filed as Exhibit 3.1 to the Issuer's Current Report on Form 8-K filed with the Securities and Exchange Commission on June 29, 2022.</w:t>
      </w:r>
    </w:p>
    <w:p>
      <w:pPr>
        <w:spacing w:after="0" w:line="22"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5(a) above.</w:t>
      </w:r>
    </w:p>
    <w:p>
      <w:pPr>
        <w:spacing w:after="0" w:line="44" w:lineRule="exact"/>
        <w:rPr>
          <w:rFonts w:ascii="Times New Roman" w:cs="Times New Roman" w:eastAsia="Times New Roman" w:hAnsi="Times New Roman"/>
          <w:sz w:val="22"/>
          <w:szCs w:val="22"/>
          <w:color w:val="auto"/>
        </w:rPr>
      </w:pPr>
    </w:p>
    <w:p>
      <w:pPr>
        <w:ind w:left="920" w:right="40" w:hanging="912"/>
        <w:spacing w:after="0" w:line="249" w:lineRule="auto"/>
        <w:tabs>
          <w:tab w:leader="none" w:pos="92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set forth in this Schedule 13D, including Exhibit 99.3 and in Annex A attached hereto as Exhibit 99.2, none of the Reporting Persons, or, to the best knowledge of the Reporting Persons, any other person listed in Annex A, have effected any transaction in Class C Common Stock in the past 60 days. During the past 60 days, (i) on March 2, 2026, March 4, 2026, March 6, 2026, March 17, 2026 and March 18, 2026, certain of the Reporting Persons sold an aggregate of 1,349,791 shares of Class C Common Stock, (ii) on March 5, 2026, certain of the Reporting Persons initiated distributions of an aggregate of 371,482 shares of Class C Common Stock to certain of their respective direct</w:t>
      </w:r>
    </w:p>
    <w:p>
      <w:pPr>
        <w:sectPr>
          <w:pgSz w:w="11900" w:h="16838" w:orient="portrait"/>
          <w:cols w:equalWidth="0" w:num="1">
            <w:col w:w="11160"/>
          </w:cols>
          <w:pgMar w:left="360" w:top="112" w:right="379" w:bottom="0" w:gutter="0" w:footer="0" w:header="0"/>
        </w:sectPr>
      </w:pPr>
    </w:p>
    <w:bookmarkStart w:id="12" w:name="page13"/>
    <w:bookmarkEnd w:id="12"/>
    <w:p>
      <w:pPr>
        <w:spacing w:after="0" w:line="22" w:lineRule="exact"/>
        <w:rPr>
          <w:sz w:val="20"/>
          <w:szCs w:val="20"/>
          <w:color w:val="auto"/>
        </w:rPr>
      </w:pPr>
    </w:p>
    <w:p>
      <w:pPr>
        <w:ind w:left="920" w:right="100"/>
        <w:spacing w:after="0" w:line="235" w:lineRule="auto"/>
        <w:rPr>
          <w:sz w:val="20"/>
          <w:szCs w:val="20"/>
          <w:color w:val="auto"/>
        </w:rPr>
      </w:pPr>
      <w:r>
        <w:rPr>
          <w:rFonts w:ascii="Times New Roman" w:cs="Times New Roman" w:eastAsia="Times New Roman" w:hAnsi="Times New Roman"/>
          <w:sz w:val="22"/>
          <w:szCs w:val="22"/>
          <w:color w:val="auto"/>
        </w:rPr>
        <w:t>and indirect equity holders, with SL SPV-2, L.P. distributing 168,047 shares, SLP IV distributing 124,213 shares and SLP V distributing 79,222 shares and (iii) on March 19, 2026, certain of the Reporting Persons initiated distributions of an aggregate of 124,720 shares of Class C Common Stock to certain of their respective direct and indirect equity holders, with SL SPV-2, L.P. distributing 56,298 shares, SLP IV distributing 41,819 shares and SLP V distributing 26,603 shares. The shares of Class C Common Stock described in clauses (i) and (iii) above were received upon conversion on March 2, 2026, March 4, 2026, March 17, 2026 and March 18, 2026 of an equal number of shares of Class B Common Stock held by such Reporting Persons. The Class B Common Stock is convertible into an equal number of shares of Class C Common Stock, at any time.</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200"/>
        <w:spacing w:after="0" w:line="258" w:lineRule="auto"/>
        <w:rPr>
          <w:sz w:val="20"/>
          <w:szCs w:val="20"/>
          <w:color w:val="auto"/>
        </w:rPr>
      </w:pPr>
      <w:r>
        <w:rPr>
          <w:rFonts w:ascii="Times New Roman" w:cs="Times New Roman" w:eastAsia="Times New Roman" w:hAnsi="Times New Roman"/>
          <w:sz w:val="22"/>
          <w:szCs w:val="22"/>
          <w:color w:val="auto"/>
        </w:rPr>
        <w:t>Exhibit No. Description 99.1 Signature Pages 99.2 Annex A Managing Members of Silver Lake Group, L.L.C. 99.3 Annex B Sales of Class C Common Stock by Reporting Persons during the prior 60 days</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SL SPV-2,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Justin G. Hamill</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Justin G. Hamill, Managing Director and Chief</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Legal Officer of Silver Lake Group, L.L.C., See</w:t>
      </w:r>
    </w:p>
    <w:p>
      <w:pPr>
        <w:ind w:left="6740"/>
        <w:spacing w:after="0"/>
        <w:rPr>
          <w:sz w:val="20"/>
          <w:szCs w:val="20"/>
          <w:color w:val="auto"/>
        </w:rPr>
      </w:pPr>
      <w:r>
        <w:rPr>
          <w:rFonts w:ascii="Times New Roman" w:cs="Times New Roman" w:eastAsia="Times New Roman" w:hAnsi="Times New Roman"/>
          <w:sz w:val="22"/>
          <w:szCs w:val="22"/>
          <w:color w:val="auto"/>
        </w:rPr>
        <w:t>Exhibit 99.1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SLTA SPV-2,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Justin G. Hamill</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Justin G. Hamill, Managing Director and Chief</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Legal Officer of Silver Lake Group, L.L.C., See</w:t>
      </w:r>
    </w:p>
    <w:p>
      <w:pPr>
        <w:ind w:left="6740"/>
        <w:spacing w:after="0"/>
        <w:rPr>
          <w:sz w:val="20"/>
          <w:szCs w:val="20"/>
          <w:color w:val="auto"/>
        </w:rPr>
      </w:pPr>
      <w:r>
        <w:rPr>
          <w:rFonts w:ascii="Times New Roman" w:cs="Times New Roman" w:eastAsia="Times New Roman" w:hAnsi="Times New Roman"/>
          <w:sz w:val="22"/>
          <w:szCs w:val="22"/>
          <w:color w:val="auto"/>
        </w:rPr>
        <w:t>Exhibit 99.1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03/19/2026</w:t>
      </w:r>
    </w:p>
    <w:p>
      <w:pPr>
        <w:spacing w:after="0" w:line="15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SLTA SPV-2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Justin G. Hamill</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Justin G. Hamill, Managing Director and Chief</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Legal Officer of Silver Lake Group, L.L.C., See</w:t>
      </w:r>
    </w:p>
    <w:p>
      <w:pPr>
        <w:ind w:left="6740"/>
        <w:spacing w:after="0"/>
        <w:rPr>
          <w:sz w:val="20"/>
          <w:szCs w:val="20"/>
          <w:color w:val="auto"/>
        </w:rPr>
      </w:pPr>
      <w:r>
        <w:rPr>
          <w:rFonts w:ascii="Times New Roman" w:cs="Times New Roman" w:eastAsia="Times New Roman" w:hAnsi="Times New Roman"/>
          <w:sz w:val="22"/>
          <w:szCs w:val="22"/>
          <w:color w:val="auto"/>
        </w:rPr>
        <w:t>Exhibit 99.1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03/19/2026</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Justin G. Hamill</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Justin G. Hamill, Managing Director and Chief</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Legal Officer of Silver Lake Group, L.L.C., See</w:t>
      </w:r>
    </w:p>
    <w:p>
      <w:pPr>
        <w:ind w:left="6740"/>
        <w:spacing w:after="0"/>
        <w:rPr>
          <w:sz w:val="20"/>
          <w:szCs w:val="20"/>
          <w:color w:val="auto"/>
        </w:rPr>
      </w:pPr>
      <w:r>
        <w:rPr>
          <w:rFonts w:ascii="Times New Roman" w:cs="Times New Roman" w:eastAsia="Times New Roman" w:hAnsi="Times New Roman"/>
          <w:sz w:val="22"/>
          <w:szCs w:val="22"/>
          <w:color w:val="auto"/>
        </w:rPr>
        <w:t>Exhibit 99.1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03/19/2026</w:t>
      </w:r>
    </w:p>
    <w:p>
      <w:pPr>
        <w:spacing w:after="0" w:line="15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Silver Lake Technology Investors IV,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Justin G. Hamill</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Justin G. Hamill, Managing Director and Chief</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Legal Officer of Silver Lake Group, L.L.C., See</w:t>
      </w:r>
    </w:p>
    <w:p>
      <w:pPr>
        <w:ind w:left="6740"/>
        <w:spacing w:after="0"/>
        <w:rPr>
          <w:sz w:val="20"/>
          <w:szCs w:val="20"/>
          <w:color w:val="auto"/>
        </w:rPr>
      </w:pPr>
      <w:r>
        <w:rPr>
          <w:rFonts w:ascii="Times New Roman" w:cs="Times New Roman" w:eastAsia="Times New Roman" w:hAnsi="Times New Roman"/>
          <w:sz w:val="22"/>
          <w:szCs w:val="22"/>
          <w:color w:val="auto"/>
        </w:rPr>
        <w:t>Exhibit 99.1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03/19/2026</w:t>
      </w:r>
    </w:p>
    <w:p>
      <w:pPr>
        <w:spacing w:after="0" w:line="1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Silver Lake Technology Associates IV,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Justin G. Hamill</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Justin G. Hamill, Managing Director and Chief</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Legal Officer of Silver Lake Group, L.L.C., See</w:t>
      </w:r>
    </w:p>
    <w:p>
      <w:pPr>
        <w:ind w:left="6740"/>
        <w:spacing w:after="0"/>
        <w:rPr>
          <w:sz w:val="20"/>
          <w:szCs w:val="20"/>
          <w:color w:val="auto"/>
        </w:rPr>
      </w:pPr>
      <w:r>
        <w:rPr>
          <w:rFonts w:ascii="Times New Roman" w:cs="Times New Roman" w:eastAsia="Times New Roman" w:hAnsi="Times New Roman"/>
          <w:sz w:val="22"/>
          <w:szCs w:val="22"/>
          <w:color w:val="auto"/>
        </w:rPr>
        <w:t>Exhibit 99.1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03/19/2026</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SLTA IV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Justin G. Hamill</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Justin G. Hamill, Managing Director and Chief</w:t>
      </w:r>
    </w:p>
    <w:p>
      <w:pPr>
        <w:sectPr>
          <w:pgSz w:w="11900" w:h="16860" w:orient="portrait"/>
          <w:cols w:equalWidth="0" w:num="1">
            <w:col w:w="11140"/>
          </w:cols>
          <w:pgMar w:left="360" w:top="112" w:right="399" w:bottom="0" w:gutter="0" w:footer="0" w:header="0"/>
        </w:sectPr>
      </w:pPr>
    </w:p>
    <w:bookmarkStart w:id="13" w:name="page14"/>
    <w:bookmarkEnd w:id="13"/>
    <w:p>
      <w:pPr>
        <w:ind w:left="5660"/>
        <w:spacing w:after="0"/>
        <w:rPr>
          <w:sz w:val="20"/>
          <w:szCs w:val="20"/>
          <w:color w:val="auto"/>
        </w:rPr>
      </w:pPr>
      <w:r>
        <w:rPr>
          <w:rFonts w:ascii="Times New Roman" w:cs="Times New Roman" w:eastAsia="Times New Roman" w:hAnsi="Times New Roman"/>
          <w:sz w:val="21"/>
          <w:szCs w:val="21"/>
          <w:color w:val="auto"/>
        </w:rPr>
        <w:t>Legal Officer of Silver Lake Group, L.L.C., See</w:t>
      </w:r>
    </w:p>
    <w:p>
      <w:pPr>
        <w:spacing w:after="0" w:line="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Exhibit 99.1</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03/19/2026</w:t>
      </w:r>
    </w:p>
    <w:p>
      <w:pPr>
        <w:spacing w:after="0" w:line="15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Silver Lake Partners V DE (AIV),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Justin G. Hamill</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Justin G. Hamill, Managing Director and Chief</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Name/Title: Legal Officer of Silver Lake Group, L.L.C., See</w:t>
      </w:r>
    </w:p>
    <w:p>
      <w:pPr>
        <w:ind w:left="5660"/>
        <w:spacing w:after="0"/>
        <w:rPr>
          <w:sz w:val="20"/>
          <w:szCs w:val="20"/>
          <w:color w:val="auto"/>
        </w:rPr>
      </w:pPr>
      <w:r>
        <w:rPr>
          <w:rFonts w:ascii="Times New Roman" w:cs="Times New Roman" w:eastAsia="Times New Roman" w:hAnsi="Times New Roman"/>
          <w:sz w:val="22"/>
          <w:szCs w:val="22"/>
          <w:color w:val="auto"/>
        </w:rPr>
        <w:t>Exhibit 99.1</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03/19/2026</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Silver Lake Technology Investors V,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Justin G. Hamill</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Justin G. Hamill, Managing Director and Chief</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Name/Title: Legal Officer of Silver Lake Group, L.L.C., See</w:t>
      </w:r>
    </w:p>
    <w:p>
      <w:pPr>
        <w:ind w:left="5660"/>
        <w:spacing w:after="0"/>
        <w:rPr>
          <w:sz w:val="20"/>
          <w:szCs w:val="20"/>
          <w:color w:val="auto"/>
        </w:rPr>
      </w:pPr>
      <w:r>
        <w:rPr>
          <w:rFonts w:ascii="Times New Roman" w:cs="Times New Roman" w:eastAsia="Times New Roman" w:hAnsi="Times New Roman"/>
          <w:sz w:val="22"/>
          <w:szCs w:val="22"/>
          <w:color w:val="auto"/>
        </w:rPr>
        <w:t>Exhibit 99.1</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03/19/2026</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Silver Lake Technology Associates V,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Justin G. Hamill</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Justin G. Hamill, Managing Director and Chief</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Name/Title: Legal Officer of Silver Lake Group, L.L.C., See</w:t>
      </w:r>
    </w:p>
    <w:p>
      <w:pPr>
        <w:ind w:left="5660"/>
        <w:spacing w:after="0"/>
        <w:rPr>
          <w:sz w:val="20"/>
          <w:szCs w:val="20"/>
          <w:color w:val="auto"/>
        </w:rPr>
      </w:pPr>
      <w:r>
        <w:rPr>
          <w:rFonts w:ascii="Times New Roman" w:cs="Times New Roman" w:eastAsia="Times New Roman" w:hAnsi="Times New Roman"/>
          <w:sz w:val="22"/>
          <w:szCs w:val="22"/>
          <w:color w:val="auto"/>
        </w:rPr>
        <w:t>Exhibit 99.1</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03/19/2026</w:t>
      </w:r>
    </w:p>
    <w:p>
      <w:pPr>
        <w:spacing w:after="0" w:line="1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SLTA V (GP),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Justin G. Hamill</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Justin G. Hamill, Managing Director and Chief</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Name/Title: Legal Officer of Silver Lake Group, L.L.C., See</w:t>
      </w:r>
    </w:p>
    <w:p>
      <w:pPr>
        <w:ind w:left="5660"/>
        <w:spacing w:after="0"/>
        <w:rPr>
          <w:sz w:val="20"/>
          <w:szCs w:val="20"/>
          <w:color w:val="auto"/>
        </w:rPr>
      </w:pPr>
      <w:r>
        <w:rPr>
          <w:rFonts w:ascii="Times New Roman" w:cs="Times New Roman" w:eastAsia="Times New Roman" w:hAnsi="Times New Roman"/>
          <w:sz w:val="22"/>
          <w:szCs w:val="22"/>
          <w:color w:val="auto"/>
        </w:rPr>
        <w:t>Exhibit 99.1</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03/19/2026</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Silver Lake Group,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Justin G. Hamill</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Justin G. Hamill, Managing Director and Chief</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Name/Title: Legal Officer of Silver Lake Group, L.L.C., See</w:t>
      </w:r>
    </w:p>
    <w:p>
      <w:pPr>
        <w:ind w:left="5660"/>
        <w:spacing w:after="0"/>
        <w:rPr>
          <w:sz w:val="20"/>
          <w:szCs w:val="20"/>
          <w:color w:val="auto"/>
        </w:rPr>
      </w:pPr>
      <w:r>
        <w:rPr>
          <w:rFonts w:ascii="Times New Roman" w:cs="Times New Roman" w:eastAsia="Times New Roman" w:hAnsi="Times New Roman"/>
          <w:sz w:val="22"/>
          <w:szCs w:val="22"/>
          <w:color w:val="auto"/>
        </w:rPr>
        <w:t>Exhibit 99.1</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03/19/2026</w:t>
      </w:r>
    </w:p>
    <w:sectPr>
      <w:pgSz w:w="11900" w:h="16838" w:orient="portrait"/>
      <w:cols w:equalWidth="0" w:num="1">
        <w:col w:w="9820"/>
      </w:cols>
      <w:pgMar w:left="1440" w:top="112"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bullet"/>
      <w:start w:val="1"/>
    </w:lvl>
  </w:abstractNum>
  <w:abstractNum w:abstractNumId="1">
    <w:nsid w:val="5BD062C2"/>
    <w:multiLevelType w:val="hybridMultilevel"/>
    <w:lvl w:ilvl="0">
      <w:lvlJc w:val="left"/>
      <w:lvlText w:val="2"/>
      <w:numFmt w:val="bullet"/>
      <w:start w:val="1"/>
    </w:lvl>
  </w:abstractNum>
  <w:abstractNum w:abstractNumId="2">
    <w:nsid w:val="12200854"/>
    <w:multiLevelType w:val="hybridMultilevel"/>
    <w:lvl w:ilvl="0">
      <w:lvlJc w:val="left"/>
      <w:lvlText w:val="3"/>
      <w:numFmt w:val="bullet"/>
      <w:start w:val="1"/>
    </w:lvl>
  </w:abstractNum>
  <w:abstractNum w:abstractNumId="3">
    <w:nsid w:val="4DB127F8"/>
    <w:multiLevelType w:val="hybridMultilevel"/>
    <w:lvl w:ilvl="0">
      <w:lvlJc w:val="left"/>
      <w:lvlText w:val="6"/>
      <w:numFmt w:val="bullet"/>
      <w:start w:val="1"/>
    </w:lvl>
  </w:abstractNum>
  <w:abstractNum w:abstractNumId="4">
    <w:nsid w:val="216231B"/>
    <w:multiLevelType w:val="hybridMultilevel"/>
    <w:lvl w:ilvl="0">
      <w:lvlJc w:val="left"/>
      <w:lvlText w:val="2"/>
      <w:numFmt w:val="bullet"/>
      <w:start w:val="1"/>
    </w:lvl>
  </w:abstractNum>
  <w:abstractNum w:abstractNumId="5">
    <w:nsid w:val="1F16E9E8"/>
    <w:multiLevelType w:val="hybridMultilevel"/>
    <w:lvl w:ilvl="0">
      <w:lvlJc w:val="left"/>
      <w:lvlText w:val="3"/>
      <w:numFmt w:val="bullet"/>
      <w:start w:val="1"/>
    </w:lvl>
  </w:abstractNum>
  <w:abstractNum w:abstractNumId="6">
    <w:nsid w:val="1190CDE7"/>
    <w:multiLevelType w:val="hybridMultilevel"/>
    <w:lvl w:ilvl="0">
      <w:lvlJc w:val="left"/>
      <w:lvlText w:val="1"/>
      <w:numFmt w:val="bullet"/>
      <w:start w:val="1"/>
    </w:lvl>
  </w:abstractNum>
  <w:abstractNum w:abstractNumId="7">
    <w:nsid w:val="66EF438D"/>
    <w:multiLevelType w:val="hybridMultilevel"/>
    <w:lvl w:ilvl="0">
      <w:lvlJc w:val="left"/>
      <w:lvlText w:val="2"/>
      <w:numFmt w:val="bullet"/>
      <w:start w:val="1"/>
    </w:lvl>
  </w:abstractNum>
  <w:abstractNum w:abstractNumId="8">
    <w:nsid w:val="140E0F76"/>
    <w:multiLevelType w:val="hybridMultilevel"/>
    <w:lvl w:ilvl="0">
      <w:lvlJc w:val="left"/>
      <w:lvlText w:val="3"/>
      <w:numFmt w:val="bullet"/>
      <w:start w:val="1"/>
    </w:lvl>
  </w:abstractNum>
  <w:abstractNum w:abstractNumId="9">
    <w:nsid w:val="3352255A"/>
    <w:multiLevelType w:val="hybridMultilevel"/>
    <w:lvl w:ilvl="0">
      <w:lvlJc w:val="left"/>
      <w:lvlText w:val="6"/>
      <w:numFmt w:val="bullet"/>
      <w:start w:val="1"/>
    </w:lvl>
  </w:abstractNum>
  <w:abstractNum w:abstractNumId="10">
    <w:nsid w:val="109CF92E"/>
    <w:multiLevelType w:val="hybridMultilevel"/>
    <w:lvl w:ilvl="0">
      <w:lvlJc w:val="left"/>
      <w:lvlText w:val="2"/>
      <w:numFmt w:val="bullet"/>
      <w:start w:val="1"/>
    </w:lvl>
  </w:abstractNum>
  <w:abstractNum w:abstractNumId="11">
    <w:nsid w:val="DED7263"/>
    <w:multiLevelType w:val="hybridMultilevel"/>
    <w:lvl w:ilvl="0">
      <w:lvlJc w:val="left"/>
      <w:lvlText w:val="3"/>
      <w:numFmt w:val="bullet"/>
      <w:start w:val="1"/>
    </w:lvl>
  </w:abstractNum>
  <w:abstractNum w:abstractNumId="12">
    <w:nsid w:val="7FDCC233"/>
    <w:multiLevelType w:val="hybridMultilevel"/>
    <w:lvl w:ilvl="0">
      <w:lvlJc w:val="left"/>
      <w:lvlText w:val="1"/>
      <w:numFmt w:val="bullet"/>
      <w:start w:val="1"/>
    </w:lvl>
  </w:abstractNum>
  <w:abstractNum w:abstractNumId="13">
    <w:nsid w:val="1BEFD79F"/>
    <w:multiLevelType w:val="hybridMultilevel"/>
    <w:lvl w:ilvl="0">
      <w:lvlJc w:val="left"/>
      <w:lvlText w:val="2"/>
      <w:numFmt w:val="bullet"/>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2026-03-19T19:07:19Z</dcterms:created>
  <dcterms:modified xsi:type="dcterms:W3CDTF">2026-03-19T19:07:19Z</dcterms:modified>
</cp:coreProperties>
</file>