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66"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2180" w:right="3120" w:hanging="437"/>
        <w:spacing w:after="0" w:line="196" w:lineRule="auto"/>
        <w:tabs>
          <w:tab w:leader="none" w:pos="21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55" w:lineRule="exact"/>
        <w:rPr>
          <w:sz w:val="24"/>
          <w:szCs w:val="24"/>
          <w:color w:val="auto"/>
        </w:rPr>
      </w:pPr>
    </w:p>
    <w:p>
      <w:pPr>
        <w:ind w:left="4440"/>
        <w:spacing w:after="0"/>
        <w:rPr>
          <w:sz w:val="20"/>
          <w:szCs w:val="20"/>
          <w:color w:val="auto"/>
        </w:rPr>
      </w:pPr>
      <w:r>
        <w:rPr>
          <w:rFonts w:ascii="Arial" w:cs="Arial" w:eastAsia="Arial" w:hAnsi="Arial"/>
          <w:sz w:val="16"/>
          <w:szCs w:val="16"/>
          <w:b w:val="1"/>
          <w:bCs w:val="1"/>
          <w:color w:val="auto"/>
        </w:rPr>
        <w:t>For the fiscal year ended January 31, 2020</w:t>
      </w:r>
    </w:p>
    <w:p>
      <w:pPr>
        <w:spacing w:after="0" w:line="73"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2180" w:right="2800" w:hanging="437"/>
        <w:spacing w:after="0" w:line="196" w:lineRule="auto"/>
        <w:tabs>
          <w:tab w:leader="none" w:pos="21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39"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60" w:type="dxa"/>
            <w:vAlign w:val="bottom"/>
            <w:gridSpan w:val="3"/>
          </w:tcPr>
          <w:p>
            <w:pPr>
              <w:ind w:left="1120"/>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60" w:type="dxa"/>
            <w:vAlign w:val="bottom"/>
            <w:gridSpan w:val="2"/>
          </w:tcPr>
          <w:p>
            <w:pPr>
              <w:spacing w:after="0"/>
              <w:rPr>
                <w:sz w:val="16"/>
                <w:szCs w:val="16"/>
                <w:color w:val="auto"/>
              </w:rPr>
            </w:pPr>
          </w:p>
        </w:tc>
      </w:tr>
      <w:tr>
        <w:trPr>
          <w:trHeight w:val="312"/>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80" w:type="dxa"/>
            <w:vAlign w:val="bottom"/>
            <w:gridSpan w:val="8"/>
          </w:tcPr>
          <w:p>
            <w:pPr>
              <w:jc w:val="center"/>
              <w:ind w:right="3219"/>
              <w:spacing w:after="0"/>
              <w:rPr>
                <w:sz w:val="20"/>
                <w:szCs w:val="20"/>
                <w:color w:val="auto"/>
              </w:rPr>
            </w:pPr>
            <w:r>
              <w:rPr>
                <w:rFonts w:ascii="Arial" w:cs="Arial" w:eastAsia="Arial" w:hAnsi="Arial"/>
                <w:sz w:val="16"/>
                <w:szCs w:val="16"/>
                <w:b w:val="1"/>
                <w:bCs w:val="1"/>
                <w:color w:val="auto"/>
                <w:w w:val="91"/>
              </w:rPr>
              <w:t>Commission File Number: 001-37867</w:t>
            </w:r>
          </w:p>
        </w:tc>
      </w:tr>
      <w:tr>
        <w:trPr>
          <w:trHeight w:val="403"/>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80" w:type="dxa"/>
            <w:vAlign w:val="bottom"/>
            <w:gridSpan w:val="8"/>
          </w:tcPr>
          <w:p>
            <w:pPr>
              <w:jc w:val="center"/>
              <w:ind w:right="3219"/>
              <w:spacing w:after="0"/>
              <w:rPr>
                <w:sz w:val="20"/>
                <w:szCs w:val="20"/>
                <w:color w:val="auto"/>
              </w:rPr>
            </w:pPr>
            <w:r>
              <w:rPr>
                <w:rFonts w:ascii="Arial" w:cs="Arial" w:eastAsia="Arial" w:hAnsi="Arial"/>
                <w:sz w:val="29"/>
                <w:szCs w:val="29"/>
                <w:b w:val="1"/>
                <w:bCs w:val="1"/>
                <w:color w:val="auto"/>
                <w:w w:val="87"/>
              </w:rPr>
              <w:t>Dell Technologies Inc.</w:t>
            </w:r>
          </w:p>
        </w:tc>
      </w:tr>
      <w:tr>
        <w:trPr>
          <w:trHeight w:val="320"/>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40" w:type="dxa"/>
            <w:vAlign w:val="bottom"/>
            <w:gridSpan w:val="9"/>
          </w:tcPr>
          <w:p>
            <w:pPr>
              <w:jc w:val="center"/>
              <w:ind w:right="1959"/>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654"/>
        </w:trPr>
        <w:tc>
          <w:tcPr>
            <w:tcW w:w="1240" w:type="dxa"/>
            <w:vAlign w:val="bottom"/>
          </w:tcPr>
          <w:p>
            <w:pPr>
              <w:spacing w:after="0"/>
              <w:rPr>
                <w:sz w:val="24"/>
                <w:szCs w:val="24"/>
                <w:color w:val="auto"/>
              </w:rPr>
            </w:pPr>
          </w:p>
        </w:tc>
        <w:tc>
          <w:tcPr>
            <w:tcW w:w="2420" w:type="dxa"/>
            <w:vAlign w:val="bottom"/>
            <w:gridSpan w:val="2"/>
          </w:tcPr>
          <w:p>
            <w:pPr>
              <w:jc w:val="center"/>
              <w:ind w:right="441"/>
              <w:spacing w:after="0"/>
              <w:rPr>
                <w:sz w:val="20"/>
                <w:szCs w:val="20"/>
                <w:color w:val="auto"/>
              </w:rPr>
            </w:pPr>
            <w:r>
              <w:rPr>
                <w:rFonts w:ascii="Arial" w:cs="Arial" w:eastAsia="Arial" w:hAnsi="Arial"/>
                <w:sz w:val="16"/>
                <w:szCs w:val="16"/>
                <w:b w:val="1"/>
                <w:bCs w:val="1"/>
                <w:color w:val="auto"/>
                <w:w w:val="93"/>
              </w:rPr>
              <w:t>Delaware</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6060" w:type="dxa"/>
            <w:vAlign w:val="bottom"/>
            <w:gridSpan w:val="7"/>
          </w:tcPr>
          <w:p>
            <w:pPr>
              <w:jc w:val="center"/>
              <w:ind w:right="168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160" w:type="dxa"/>
            <w:vAlign w:val="bottom"/>
            <w:gridSpan w:val="2"/>
          </w:tcPr>
          <w:p>
            <w:pPr>
              <w:jc w:val="center"/>
              <w:ind w:right="499"/>
              <w:spacing w:after="0"/>
              <w:rPr>
                <w:sz w:val="20"/>
                <w:szCs w:val="20"/>
                <w:color w:val="auto"/>
              </w:rPr>
            </w:pPr>
            <w:r>
              <w:rPr>
                <w:rFonts w:ascii="Arial" w:cs="Arial" w:eastAsia="Arial" w:hAnsi="Arial"/>
                <w:sz w:val="16"/>
                <w:szCs w:val="16"/>
                <w:color w:val="auto"/>
                <w:w w:val="94"/>
              </w:rPr>
              <w:t>(I.R.S. Employer Identification No.)</w:t>
            </w:r>
          </w:p>
        </w:tc>
      </w:tr>
      <w:tr>
        <w:trPr>
          <w:trHeight w:val="320"/>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80" w:type="dxa"/>
            <w:vAlign w:val="bottom"/>
            <w:gridSpan w:val="8"/>
          </w:tcPr>
          <w:p>
            <w:pPr>
              <w:jc w:val="center"/>
              <w:ind w:right="3219"/>
              <w:spacing w:after="0"/>
              <w:rPr>
                <w:sz w:val="20"/>
                <w:szCs w:val="20"/>
                <w:color w:val="auto"/>
              </w:rPr>
            </w:pPr>
            <w:r>
              <w:rPr>
                <w:rFonts w:ascii="Arial" w:cs="Arial" w:eastAsia="Arial" w:hAnsi="Arial"/>
                <w:sz w:val="16"/>
                <w:szCs w:val="16"/>
                <w:b w:val="1"/>
                <w:bCs w:val="1"/>
                <w:color w:val="auto"/>
                <w:w w:val="92"/>
              </w:rPr>
              <w:t>One Dell Way, Round Rock, Texas 78682</w:t>
            </w:r>
          </w:p>
        </w:tc>
      </w:tr>
      <w:tr>
        <w:trPr>
          <w:trHeight w:val="206"/>
        </w:trPr>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40" w:type="dxa"/>
            <w:vAlign w:val="bottom"/>
            <w:gridSpan w:val="9"/>
          </w:tcPr>
          <w:p>
            <w:pPr>
              <w:jc w:val="center"/>
              <w:ind w:right="195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61"/>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0" w:type="dxa"/>
            <w:vAlign w:val="bottom"/>
            <w:gridSpan w:val="2"/>
          </w:tcPr>
          <w:p>
            <w:pPr>
              <w:jc w:val="center"/>
              <w:ind w:left="766"/>
              <w:spacing w:after="0"/>
              <w:rPr>
                <w:sz w:val="20"/>
                <w:szCs w:val="20"/>
                <w:color w:val="auto"/>
              </w:rPr>
            </w:pPr>
            <w:r>
              <w:rPr>
                <w:rFonts w:ascii="Arial" w:cs="Arial" w:eastAsia="Arial" w:hAnsi="Arial"/>
                <w:sz w:val="16"/>
                <w:szCs w:val="16"/>
                <w:b w:val="1"/>
                <w:bCs w:val="1"/>
                <w:color w:val="auto"/>
                <w:w w:val="93"/>
              </w:rPr>
              <w:t>1-800-289-3355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40" w:type="dxa"/>
            <w:vAlign w:val="bottom"/>
            <w:gridSpan w:val="9"/>
          </w:tcPr>
          <w:p>
            <w:pPr>
              <w:jc w:val="center"/>
              <w:ind w:right="195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40" w:type="dxa"/>
            <w:vAlign w:val="bottom"/>
            <w:gridSpan w:val="9"/>
          </w:tcPr>
          <w:p>
            <w:pPr>
              <w:jc w:val="center"/>
              <w:ind w:right="193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3660" w:type="dxa"/>
            <w:vAlign w:val="bottom"/>
            <w:gridSpan w:val="3"/>
          </w:tcPr>
          <w:p>
            <w:pPr>
              <w:jc w:val="center"/>
              <w:spacing w:after="0"/>
              <w:rPr>
                <w:sz w:val="20"/>
                <w:szCs w:val="20"/>
                <w:color w:val="auto"/>
              </w:rPr>
            </w:pPr>
            <w:r>
              <w:rPr>
                <w:rFonts w:ascii="Arial" w:cs="Arial" w:eastAsia="Arial" w:hAnsi="Arial"/>
                <w:sz w:val="16"/>
                <w:szCs w:val="16"/>
                <w:color w:val="auto"/>
                <w:w w:val="90"/>
              </w:rPr>
              <w:t>Title of each class</w:t>
            </w:r>
          </w:p>
        </w:tc>
        <w:tc>
          <w:tcPr>
            <w:tcW w:w="2400" w:type="dxa"/>
            <w:vAlign w:val="bottom"/>
            <w:gridSpan w:val="4"/>
          </w:tcPr>
          <w:p>
            <w:pPr>
              <w:jc w:val="center"/>
              <w:ind w:left="406"/>
              <w:spacing w:after="0"/>
              <w:rPr>
                <w:sz w:val="20"/>
                <w:szCs w:val="20"/>
                <w:color w:val="auto"/>
              </w:rPr>
            </w:pPr>
            <w:r>
              <w:rPr>
                <w:rFonts w:ascii="Arial" w:cs="Arial" w:eastAsia="Arial" w:hAnsi="Arial"/>
                <w:sz w:val="16"/>
                <w:szCs w:val="16"/>
                <w:color w:val="auto"/>
                <w:w w:val="93"/>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2"/>
          </w:tcPr>
          <w:p>
            <w:pPr>
              <w:jc w:val="center"/>
              <w:ind w:left="199"/>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3"/>
        </w:trPr>
        <w:tc>
          <w:tcPr>
            <w:tcW w:w="3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Class C Common Stock, par value of $0.01 per share</w:t>
            </w:r>
          </w:p>
        </w:tc>
        <w:tc>
          <w:tcPr>
            <w:tcW w:w="840" w:type="dxa"/>
            <w:vAlign w:val="bottom"/>
          </w:tcPr>
          <w:p>
            <w:pPr>
              <w:spacing w:after="0"/>
              <w:rPr>
                <w:sz w:val="23"/>
                <w:szCs w:val="23"/>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rPr>
              <w:t>DELL</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ind w:right="260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8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As of August 2, 2019, the last business day of the registrant’s most recently completed second fiscal quarter, the aggregate market value of the shares of the registrant’s common stock held by non-affiliates was approximately $12.0 billion (based on the closing price of $52.41 per share of Class C Common Stock reported on the New York Stock Exchange on that date).</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color w:val="auto"/>
        </w:rPr>
        <w:t>As of March 20, 2020, there were 739,473,681 shares of the registrant’s common stock outstanding, consisting of 253,249,641 outstanding shares of Class C Common Stock, 384,538,823 outstanding shares of Class A Common Stock, and 101,685,217 outstanding shares of Class B Common Stock.</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DOCUMENTS INCORPORATED BY REFERENCE</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by reference from the registrant’s proxy statement relating to its annual meeting of stockholders to be held in 2020. The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report contains </w:t>
      </w:r>
      <w:r>
        <w:rPr>
          <w:rFonts w:ascii="Arial" w:cs="Arial" w:eastAsia="Arial" w:hAnsi="Arial"/>
          <w:sz w:val="15"/>
          <w:szCs w:val="15"/>
          <w:color w:val="auto"/>
        </w:rPr>
        <w:t>“</w:t>
      </w:r>
      <w:r>
        <w:rPr>
          <w:rFonts w:ascii="Arial" w:cs="Arial" w:eastAsia="Arial" w:hAnsi="Arial"/>
          <w:sz w:val="17"/>
          <w:szCs w:val="17"/>
          <w:color w:val="auto"/>
        </w:rPr>
        <w:t>forward-looking statements</w:t>
      </w:r>
      <w:r>
        <w:rPr>
          <w:rFonts w:ascii="Arial" w:cs="Arial" w:eastAsia="Arial" w:hAnsi="Arial"/>
          <w:sz w:val="15"/>
          <w:szCs w:val="15"/>
          <w:color w:val="auto"/>
        </w:rPr>
        <w:t>”</w:t>
      </w:r>
      <w:r>
        <w:rPr>
          <w:rFonts w:ascii="Arial" w:cs="Arial" w:eastAsia="Arial" w:hAnsi="Arial"/>
          <w:sz w:val="17"/>
          <w:szCs w:val="17"/>
          <w:color w:val="auto"/>
        </w:rPr>
        <w:t xml:space="preserve"> within the meaning of Section 27A of the Securities Act of 1933 and Section 21E of the Securities Exchange Act of 1934. The words </w:t>
      </w:r>
      <w:r>
        <w:rPr>
          <w:rFonts w:ascii="Arial" w:cs="Arial" w:eastAsia="Arial" w:hAnsi="Arial"/>
          <w:sz w:val="15"/>
          <w:szCs w:val="15"/>
          <w:color w:val="auto"/>
        </w:rPr>
        <w:t>“</w:t>
      </w:r>
      <w:r>
        <w:rPr>
          <w:rFonts w:ascii="Arial" w:cs="Arial" w:eastAsia="Arial" w:hAnsi="Arial"/>
          <w:sz w:val="17"/>
          <w:szCs w:val="17"/>
          <w:color w:val="auto"/>
        </w:rPr>
        <w:t>may,</w:t>
      </w:r>
      <w:r>
        <w:rPr>
          <w:rFonts w:ascii="Arial" w:cs="Arial" w:eastAsia="Arial" w:hAnsi="Arial"/>
          <w:sz w:val="15"/>
          <w:szCs w:val="15"/>
          <w:color w:val="auto"/>
        </w:rPr>
        <w:t>” “</w:t>
      </w:r>
      <w:r>
        <w:rPr>
          <w:rFonts w:ascii="Arial" w:cs="Arial" w:eastAsia="Arial" w:hAnsi="Arial"/>
          <w:sz w:val="17"/>
          <w:szCs w:val="17"/>
          <w:color w:val="auto"/>
        </w:rPr>
        <w:t>will,</w:t>
      </w:r>
      <w:r>
        <w:rPr>
          <w:rFonts w:ascii="Arial" w:cs="Arial" w:eastAsia="Arial" w:hAnsi="Arial"/>
          <w:sz w:val="15"/>
          <w:szCs w:val="15"/>
          <w:color w:val="auto"/>
        </w:rPr>
        <w:t>” “</w:t>
      </w:r>
      <w:r>
        <w:rPr>
          <w:rFonts w:ascii="Arial" w:cs="Arial" w:eastAsia="Arial" w:hAnsi="Arial"/>
          <w:sz w:val="17"/>
          <w:szCs w:val="17"/>
          <w:color w:val="auto"/>
        </w:rPr>
        <w:t>anticipate,</w:t>
      </w:r>
      <w:r>
        <w:rPr>
          <w:rFonts w:ascii="Arial" w:cs="Arial" w:eastAsia="Arial" w:hAnsi="Arial"/>
          <w:sz w:val="15"/>
          <w:szCs w:val="15"/>
          <w:color w:val="auto"/>
        </w:rPr>
        <w:t>” “</w:t>
      </w:r>
      <w:r>
        <w:rPr>
          <w:rFonts w:ascii="Arial" w:cs="Arial" w:eastAsia="Arial" w:hAnsi="Arial"/>
          <w:sz w:val="17"/>
          <w:szCs w:val="17"/>
          <w:color w:val="auto"/>
        </w:rPr>
        <w:t>estimate,</w:t>
      </w:r>
      <w:r>
        <w:rPr>
          <w:rFonts w:ascii="Arial" w:cs="Arial" w:eastAsia="Arial" w:hAnsi="Arial"/>
          <w:sz w:val="15"/>
          <w:szCs w:val="15"/>
          <w:color w:val="auto"/>
        </w:rPr>
        <w:t>” “</w:t>
      </w:r>
      <w:r>
        <w:rPr>
          <w:rFonts w:ascii="Arial" w:cs="Arial" w:eastAsia="Arial" w:hAnsi="Arial"/>
          <w:sz w:val="17"/>
          <w:szCs w:val="17"/>
          <w:color w:val="auto"/>
        </w:rPr>
        <w:t>expect,</w:t>
      </w:r>
      <w:r>
        <w:rPr>
          <w:rFonts w:ascii="Arial" w:cs="Arial" w:eastAsia="Arial" w:hAnsi="Arial"/>
          <w:sz w:val="15"/>
          <w:szCs w:val="15"/>
          <w:color w:val="auto"/>
        </w:rPr>
        <w:t>” “</w:t>
      </w:r>
      <w:r>
        <w:rPr>
          <w:rFonts w:ascii="Arial" w:cs="Arial" w:eastAsia="Arial" w:hAnsi="Arial"/>
          <w:sz w:val="17"/>
          <w:szCs w:val="17"/>
          <w:color w:val="auto"/>
        </w:rPr>
        <w:t>intend,</w:t>
      </w:r>
      <w:r>
        <w:rPr>
          <w:rFonts w:ascii="Arial" w:cs="Arial" w:eastAsia="Arial" w:hAnsi="Arial"/>
          <w:sz w:val="15"/>
          <w:szCs w:val="15"/>
          <w:color w:val="auto"/>
        </w:rPr>
        <w:t>” “</w:t>
      </w:r>
      <w:r>
        <w:rPr>
          <w:rFonts w:ascii="Arial" w:cs="Arial" w:eastAsia="Arial" w:hAnsi="Arial"/>
          <w:sz w:val="17"/>
          <w:szCs w:val="17"/>
          <w:color w:val="auto"/>
        </w:rPr>
        <w:t>plan,</w:t>
      </w:r>
      <w:r>
        <w:rPr>
          <w:rFonts w:ascii="Arial" w:cs="Arial" w:eastAsia="Arial" w:hAnsi="Arial"/>
          <w:sz w:val="15"/>
          <w:szCs w:val="15"/>
          <w:color w:val="auto"/>
        </w:rPr>
        <w:t>” “</w:t>
      </w:r>
      <w:r>
        <w:rPr>
          <w:rFonts w:ascii="Arial" w:cs="Arial" w:eastAsia="Arial" w:hAnsi="Arial"/>
          <w:sz w:val="17"/>
          <w:szCs w:val="17"/>
          <w:color w:val="auto"/>
        </w:rPr>
        <w:t>aim,</w:t>
      </w:r>
      <w:r>
        <w:rPr>
          <w:rFonts w:ascii="Arial" w:cs="Arial" w:eastAsia="Arial" w:hAnsi="Arial"/>
          <w:sz w:val="15"/>
          <w:szCs w:val="15"/>
          <w:color w:val="auto"/>
        </w:rPr>
        <w:t>” “</w:t>
      </w:r>
      <w:r>
        <w:rPr>
          <w:rFonts w:ascii="Arial" w:cs="Arial" w:eastAsia="Arial" w:hAnsi="Arial"/>
          <w:sz w:val="17"/>
          <w:szCs w:val="17"/>
          <w:color w:val="auto"/>
        </w:rPr>
        <w:t>seek,</w:t>
      </w:r>
      <w:r>
        <w:rPr>
          <w:rFonts w:ascii="Arial" w:cs="Arial" w:eastAsia="Arial" w:hAnsi="Arial"/>
          <w:sz w:val="15"/>
          <w:szCs w:val="15"/>
          <w:color w:val="auto"/>
        </w:rPr>
        <w:t>”</w:t>
      </w:r>
      <w:r>
        <w:rPr>
          <w:rFonts w:ascii="Arial" w:cs="Arial" w:eastAsia="Arial" w:hAnsi="Arial"/>
          <w:sz w:val="17"/>
          <w:szCs w:val="17"/>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8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4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rPr>
              <w:t>DELL TECHNOLOGIES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40" w:type="dxa"/>
            <w:vAlign w:val="bottom"/>
            <w:gridSpan w:val="11"/>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4"/>
          </w:tcPr>
          <w:p>
            <w:pPr>
              <w:ind w:left="400"/>
              <w:spacing w:after="0"/>
              <w:rPr>
                <w:sz w:val="20"/>
                <w:szCs w:val="20"/>
                <w:color w:val="auto"/>
              </w:rPr>
            </w:pPr>
            <w:r>
              <w:rPr>
                <w:rFonts w:ascii="Arial" w:cs="Arial" w:eastAsia="Arial" w:hAnsi="Arial"/>
                <w:sz w:val="18"/>
                <w:szCs w:val="18"/>
                <w:b w:val="1"/>
                <w:bCs w:val="1"/>
                <w:color w:val="auto"/>
                <w:w w:val="83"/>
              </w:rPr>
              <w:t>Page</w:t>
            </w:r>
          </w:p>
        </w:tc>
      </w:tr>
      <w:tr>
        <w:trPr>
          <w:trHeight w:val="229"/>
        </w:trPr>
        <w:tc>
          <w:tcPr>
            <w:tcW w:w="60" w:type="dxa"/>
            <w:vAlign w:val="bottom"/>
          </w:tcPr>
          <w:p>
            <w:pPr>
              <w:spacing w:after="0"/>
              <w:rPr>
                <w:sz w:val="19"/>
                <w:szCs w:val="19"/>
                <w:color w:val="auto"/>
              </w:rPr>
            </w:pPr>
          </w:p>
        </w:tc>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920" w:type="dxa"/>
            <w:vAlign w:val="bottom"/>
            <w:gridSpan w:val="6"/>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40" w:type="dxa"/>
            <w:vAlign w:val="bottom"/>
            <w:gridSpan w:val="2"/>
          </w:tcPr>
          <w:p>
            <w:pPr>
              <w:jc w:val="center"/>
              <w:ind w:left="4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7">
              <w:r>
                <w:rPr>
                  <w:rFonts w:ascii="Arial" w:cs="Arial" w:eastAsia="Arial" w:hAnsi="Arial"/>
                  <w:sz w:val="18"/>
                  <w:szCs w:val="18"/>
                  <w:color w:val="0000EE"/>
                  <w:w w:val="83"/>
                </w:rPr>
                <w:t>Item 1A.</w:t>
              </w:r>
            </w:hyperlink>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20" w:type="dxa"/>
            <w:vAlign w:val="bottom"/>
            <w:gridSpan w:val="3"/>
          </w:tcPr>
          <w:p>
            <w:pPr>
              <w:jc w:val="center"/>
              <w:ind w:left="37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720" w:type="dxa"/>
            <w:vAlign w:val="bottom"/>
            <w:gridSpan w:val="3"/>
          </w:tcPr>
          <w:p>
            <w:pPr>
              <w:jc w:val="center"/>
              <w:ind w:left="3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2.</w:t>
              </w:r>
            </w:hyperlink>
          </w:p>
        </w:tc>
        <w:tc>
          <w:tcPr>
            <w:tcW w:w="80" w:type="dxa"/>
            <w:vAlign w:val="bottom"/>
          </w:tcPr>
          <w:p>
            <w:pPr>
              <w:spacing w:after="0"/>
              <w:rPr>
                <w:sz w:val="21"/>
                <w:szCs w:val="21"/>
                <w:color w:val="auto"/>
              </w:rPr>
            </w:pPr>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6440" w:type="dxa"/>
            <w:vAlign w:val="bottom"/>
            <w:gridSpan w:val="11"/>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3.</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7160" w:type="dxa"/>
            <w:vAlign w:val="bottom"/>
            <w:gridSpan w:val="15"/>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4.</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Mine Safety Disclosures</w:t>
              </w:r>
            </w:hyperlink>
          </w:p>
        </w:tc>
        <w:tc>
          <w:tcPr>
            <w:tcW w:w="6760" w:type="dxa"/>
            <w:vAlign w:val="bottom"/>
            <w:gridSpan w:val="13"/>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840" w:type="dxa"/>
            <w:vAlign w:val="bottom"/>
            <w:gridSpan w:val="5"/>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5.</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8080" w:type="dxa"/>
            <w:vAlign w:val="bottom"/>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Registrant’s Common Equity, Related Stockholder Matters and Issuer Purchases of Equity Securities</w:t>
              </w:r>
            </w:hyperlink>
          </w:p>
        </w:tc>
        <w:tc>
          <w:tcPr>
            <w:tcW w:w="400" w:type="dxa"/>
            <w:vAlign w:val="bottom"/>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6.</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Item 7.</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37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82">
              <w:r>
                <w:rPr>
                  <w:rFonts w:ascii="Arial" w:cs="Arial" w:eastAsia="Arial" w:hAnsi="Arial"/>
                  <w:sz w:val="18"/>
                  <w:szCs w:val="18"/>
                  <w:color w:val="0000EE"/>
                  <w:w w:val="83"/>
                </w:rPr>
                <w:t>Item 7A.</w:t>
              </w:r>
            </w:hyperlink>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720" w:type="dxa"/>
            <w:vAlign w:val="bottom"/>
            <w:gridSpan w:val="3"/>
          </w:tcPr>
          <w:p>
            <w:pPr>
              <w:jc w:val="center"/>
              <w:ind w:left="37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82</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Item 8.</w:t>
              </w:r>
            </w:hyperlink>
          </w:p>
        </w:tc>
        <w:tc>
          <w:tcPr>
            <w:tcW w:w="80" w:type="dxa"/>
            <w:vAlign w:val="bottom"/>
          </w:tcPr>
          <w:p>
            <w:pPr>
              <w:spacing w:after="0"/>
              <w:rPr>
                <w:sz w:val="21"/>
                <w:szCs w:val="21"/>
                <w:color w:val="auto"/>
              </w:rPr>
            </w:pPr>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4120" w:type="dxa"/>
            <w:vAlign w:val="bottom"/>
            <w:gridSpan w:val="6"/>
          </w:tcPr>
          <w:p>
            <w:pPr>
              <w:spacing w:after="0"/>
              <w:rPr>
                <w:sz w:val="21"/>
                <w:szCs w:val="21"/>
                <w:color w:val="auto"/>
              </w:rPr>
            </w:pPr>
          </w:p>
        </w:tc>
        <w:tc>
          <w:tcPr>
            <w:tcW w:w="720" w:type="dxa"/>
            <w:vAlign w:val="bottom"/>
            <w:gridSpan w:val="3"/>
          </w:tcPr>
          <w:p>
            <w:pPr>
              <w:jc w:val="center"/>
              <w:ind w:left="37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87"/>
              </w:rPr>
            </w:pPr>
            <w:hyperlink w:anchor="page184">
              <w:r>
                <w:rPr>
                  <w:rFonts w:ascii="Arial" w:cs="Arial" w:eastAsia="Arial" w:hAnsi="Arial"/>
                  <w:sz w:val="18"/>
                  <w:szCs w:val="18"/>
                  <w:color w:val="0000EE"/>
                  <w:w w:val="87"/>
                </w:rPr>
                <w:t>Item 9.</w:t>
              </w:r>
            </w:hyperlink>
          </w:p>
        </w:tc>
        <w:tc>
          <w:tcPr>
            <w:tcW w:w="100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6520" w:type="dxa"/>
            <w:vAlign w:val="bottom"/>
            <w:gridSpan w:val="16"/>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Changes in and Disagreements With Accountants on Accounting and Financial Disclosure</w:t>
              </w:r>
            </w:hyperlink>
          </w:p>
        </w:tc>
        <w:tc>
          <w:tcPr>
            <w:tcW w:w="1960" w:type="dxa"/>
            <w:vAlign w:val="bottom"/>
            <w:gridSpan w:val="3"/>
          </w:tcPr>
          <w:p>
            <w:pPr>
              <w:spacing w:after="0"/>
              <w:rPr>
                <w:sz w:val="21"/>
                <w:szCs w:val="21"/>
                <w:color w:val="auto"/>
              </w:rPr>
            </w:pPr>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184</w:t>
              </w:r>
            </w:hyperlink>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84">
              <w:r>
                <w:rPr>
                  <w:rFonts w:ascii="Arial" w:cs="Arial" w:eastAsia="Arial" w:hAnsi="Arial"/>
                  <w:sz w:val="18"/>
                  <w:szCs w:val="18"/>
                  <w:color w:val="0000EE"/>
                  <w:w w:val="83"/>
                </w:rPr>
                <w:t>Item 9A.</w:t>
              </w:r>
            </w:hyperlink>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4"/>
              </w:rPr>
            </w:pPr>
            <w:hyperlink w:anchor="page184">
              <w:r>
                <w:rPr>
                  <w:rFonts w:ascii="Arial" w:cs="Arial" w:eastAsia="Arial" w:hAnsi="Arial"/>
                  <w:sz w:val="18"/>
                  <w:szCs w:val="18"/>
                  <w:color w:val="0000EE"/>
                  <w:w w:val="84"/>
                </w:rPr>
                <w:t>Controls and Procedures</w:t>
              </w:r>
            </w:hyperlink>
          </w:p>
        </w:tc>
        <w:tc>
          <w:tcPr>
            <w:tcW w:w="6760" w:type="dxa"/>
            <w:vAlign w:val="bottom"/>
            <w:gridSpan w:val="13"/>
          </w:tcPr>
          <w:p>
            <w:pPr>
              <w:spacing w:after="0"/>
              <w:rPr>
                <w:sz w:val="21"/>
                <w:szCs w:val="21"/>
                <w:color w:val="auto"/>
              </w:rPr>
            </w:pPr>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184</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86">
              <w:r>
                <w:rPr>
                  <w:rFonts w:ascii="Arial" w:cs="Arial" w:eastAsia="Arial" w:hAnsi="Arial"/>
                  <w:sz w:val="18"/>
                  <w:szCs w:val="18"/>
                  <w:color w:val="0000EE"/>
                  <w:w w:val="83"/>
                </w:rPr>
                <w:t>Item 9B.</w:t>
              </w:r>
            </w:hyperlink>
          </w:p>
        </w:tc>
        <w:tc>
          <w:tcPr>
            <w:tcW w:w="920" w:type="dxa"/>
            <w:vAlign w:val="bottom"/>
            <w:gridSpan w:val="6"/>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91"/>
              </w:rPr>
            </w:pPr>
            <w:hyperlink w:anchor="page186">
              <w:r>
                <w:rPr>
                  <w:rFonts w:ascii="Arial" w:cs="Arial" w:eastAsia="Arial" w:hAnsi="Arial"/>
                  <w:sz w:val="18"/>
                  <w:szCs w:val="18"/>
                  <w:color w:val="0000EE"/>
                  <w:w w:val="91"/>
                </w:rPr>
                <w:t>Other Information</w:t>
              </w:r>
            </w:hyperlink>
          </w:p>
        </w:tc>
        <w:tc>
          <w:tcPr>
            <w:tcW w:w="400" w:type="dxa"/>
            <w:vAlign w:val="bottom"/>
            <w:gridSpan w:val="2"/>
          </w:tcPr>
          <w:p>
            <w:pPr>
              <w:spacing w:after="0"/>
              <w:rPr>
                <w:sz w:val="21"/>
                <w:szCs w:val="21"/>
                <w:color w:val="auto"/>
              </w:rPr>
            </w:pPr>
          </w:p>
        </w:tc>
        <w:tc>
          <w:tcPr>
            <w:tcW w:w="6760" w:type="dxa"/>
            <w:vAlign w:val="bottom"/>
            <w:gridSpan w:val="13"/>
          </w:tcPr>
          <w:p>
            <w:pPr>
              <w:spacing w:after="0"/>
              <w:rPr>
                <w:sz w:val="21"/>
                <w:szCs w:val="21"/>
                <w:color w:val="auto"/>
              </w:rPr>
            </w:pPr>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186</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86">
              <w:r>
                <w:rPr>
                  <w:rFonts w:ascii="Arial" w:cs="Arial" w:eastAsia="Arial" w:hAnsi="Arial"/>
                  <w:sz w:val="18"/>
                  <w:szCs w:val="18"/>
                  <w:b w:val="1"/>
                  <w:bCs w:val="1"/>
                  <w:color w:val="0000EE"/>
                </w:rPr>
                <w:t>PART III</w:t>
              </w:r>
            </w:hyperlink>
          </w:p>
        </w:tc>
        <w:tc>
          <w:tcPr>
            <w:tcW w:w="78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Item 10.</w:t>
              </w:r>
            </w:hyperlink>
          </w:p>
        </w:tc>
        <w:tc>
          <w:tcPr>
            <w:tcW w:w="8760" w:type="dxa"/>
            <w:vAlign w:val="bottom"/>
            <w:gridSpan w:val="20"/>
          </w:tcPr>
          <w:p>
            <w:pPr>
              <w:ind w:left="280"/>
              <w:spacing w:after="0"/>
              <w:rPr>
                <w:rFonts w:ascii="Arial" w:cs="Arial" w:eastAsia="Arial" w:hAnsi="Arial"/>
                <w:sz w:val="18"/>
                <w:szCs w:val="18"/>
                <w:color w:val="0000EE"/>
              </w:rPr>
            </w:pPr>
            <w:hyperlink w:anchor="page186">
              <w:r>
                <w:rPr>
                  <w:rFonts w:ascii="Arial" w:cs="Arial" w:eastAsia="Arial" w:hAnsi="Arial"/>
                  <w:sz w:val="18"/>
                  <w:szCs w:val="18"/>
                  <w:color w:val="0000EE"/>
                </w:rPr>
                <w:t>Directors, Executive Officers and Corporate Governance</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186</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Item 11.</w:t>
              </w:r>
            </w:hyperlink>
          </w:p>
        </w:tc>
        <w:tc>
          <w:tcPr>
            <w:tcW w:w="8760" w:type="dxa"/>
            <w:vAlign w:val="bottom"/>
            <w:gridSpan w:val="20"/>
          </w:tcPr>
          <w:p>
            <w:pPr>
              <w:ind w:left="280"/>
              <w:spacing w:after="0"/>
              <w:rPr>
                <w:rFonts w:ascii="Arial" w:cs="Arial" w:eastAsia="Arial" w:hAnsi="Arial"/>
                <w:sz w:val="18"/>
                <w:szCs w:val="18"/>
                <w:color w:val="0000EE"/>
              </w:rPr>
            </w:pPr>
            <w:hyperlink w:anchor="page187">
              <w:r>
                <w:rPr>
                  <w:rFonts w:ascii="Arial" w:cs="Arial" w:eastAsia="Arial" w:hAnsi="Arial"/>
                  <w:sz w:val="18"/>
                  <w:szCs w:val="18"/>
                  <w:color w:val="0000EE"/>
                </w:rPr>
                <w:t>Executive Compensation</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187</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Item 12.</w:t>
              </w:r>
            </w:hyperlink>
          </w:p>
        </w:tc>
        <w:tc>
          <w:tcPr>
            <w:tcW w:w="8760" w:type="dxa"/>
            <w:vAlign w:val="bottom"/>
            <w:gridSpan w:val="20"/>
          </w:tcPr>
          <w:p>
            <w:pPr>
              <w:ind w:left="280"/>
              <w:spacing w:after="0"/>
              <w:rPr>
                <w:rFonts w:ascii="Arial" w:cs="Arial" w:eastAsia="Arial" w:hAnsi="Arial"/>
                <w:sz w:val="18"/>
                <w:szCs w:val="18"/>
                <w:color w:val="0000EE"/>
              </w:rPr>
            </w:pPr>
            <w:hyperlink w:anchor="page187">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187</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Item 13.</w:t>
              </w:r>
            </w:hyperlink>
          </w:p>
        </w:tc>
        <w:tc>
          <w:tcPr>
            <w:tcW w:w="8760" w:type="dxa"/>
            <w:vAlign w:val="bottom"/>
            <w:gridSpan w:val="20"/>
          </w:tcPr>
          <w:p>
            <w:pPr>
              <w:ind w:left="280"/>
              <w:spacing w:after="0"/>
              <w:rPr>
                <w:rFonts w:ascii="Arial" w:cs="Arial" w:eastAsia="Arial" w:hAnsi="Arial"/>
                <w:sz w:val="18"/>
                <w:szCs w:val="18"/>
                <w:color w:val="0000EE"/>
              </w:rPr>
            </w:pPr>
            <w:hyperlink w:anchor="page187">
              <w:r>
                <w:rPr>
                  <w:rFonts w:ascii="Arial" w:cs="Arial" w:eastAsia="Arial" w:hAnsi="Arial"/>
                  <w:sz w:val="18"/>
                  <w:szCs w:val="18"/>
                  <w:color w:val="0000EE"/>
                </w:rPr>
                <w:t>Certain Relationships and Related Transactions, and Director Independence</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187</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Item 14.</w:t>
              </w:r>
            </w:hyperlink>
          </w:p>
        </w:tc>
        <w:tc>
          <w:tcPr>
            <w:tcW w:w="8760" w:type="dxa"/>
            <w:vAlign w:val="bottom"/>
            <w:gridSpan w:val="20"/>
          </w:tcPr>
          <w:p>
            <w:pPr>
              <w:ind w:left="280"/>
              <w:spacing w:after="0"/>
              <w:rPr>
                <w:rFonts w:ascii="Arial" w:cs="Arial" w:eastAsia="Arial" w:hAnsi="Arial"/>
                <w:sz w:val="18"/>
                <w:szCs w:val="18"/>
                <w:color w:val="0000EE"/>
              </w:rPr>
            </w:pPr>
            <w:hyperlink w:anchor="page187">
              <w:r>
                <w:rPr>
                  <w:rFonts w:ascii="Arial" w:cs="Arial" w:eastAsia="Arial" w:hAnsi="Arial"/>
                  <w:sz w:val="18"/>
                  <w:szCs w:val="18"/>
                  <w:color w:val="0000EE"/>
                </w:rPr>
                <w:t>Principal Accounting Fees and Services</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187</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b w:val="1"/>
                <w:bCs w:val="1"/>
                <w:color w:val="0000EE"/>
              </w:rPr>
            </w:pPr>
            <w:hyperlink w:anchor="page188">
              <w:r>
                <w:rPr>
                  <w:rFonts w:ascii="Arial" w:cs="Arial" w:eastAsia="Arial" w:hAnsi="Arial"/>
                  <w:sz w:val="18"/>
                  <w:szCs w:val="18"/>
                  <w:b w:val="1"/>
                  <w:bCs w:val="1"/>
                  <w:color w:val="0000EE"/>
                </w:rPr>
                <w:t>PART IV</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720" w:type="dxa"/>
            <w:vAlign w:val="bottom"/>
            <w:tcBorders>
              <w:top w:val="single" w:sz="8" w:color="0000EE"/>
            </w:tcBorders>
            <w:gridSpan w:val="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Item 15.</w:t>
              </w:r>
            </w:hyperlink>
          </w:p>
        </w:tc>
        <w:tc>
          <w:tcPr>
            <w:tcW w:w="800" w:type="dxa"/>
            <w:vAlign w:val="bottom"/>
            <w:gridSpan w:val="4"/>
          </w:tcPr>
          <w:p>
            <w:pPr>
              <w:spacing w:after="0"/>
              <w:rPr>
                <w:sz w:val="21"/>
                <w:szCs w:val="21"/>
                <w:color w:val="auto"/>
              </w:rPr>
            </w:pPr>
          </w:p>
        </w:tc>
        <w:tc>
          <w:tcPr>
            <w:tcW w:w="8760" w:type="dxa"/>
            <w:vAlign w:val="bottom"/>
            <w:gridSpan w:val="20"/>
          </w:tcPr>
          <w:p>
            <w:pPr>
              <w:ind w:left="280"/>
              <w:spacing w:after="0"/>
              <w:rPr>
                <w:rFonts w:ascii="Arial" w:cs="Arial" w:eastAsia="Arial" w:hAnsi="Arial"/>
                <w:sz w:val="18"/>
                <w:szCs w:val="18"/>
                <w:color w:val="0000EE"/>
              </w:rPr>
            </w:pPr>
            <w:hyperlink w:anchor="page188">
              <w:r>
                <w:rPr>
                  <w:rFonts w:ascii="Arial" w:cs="Arial" w:eastAsia="Arial" w:hAnsi="Arial"/>
                  <w:sz w:val="18"/>
                  <w:szCs w:val="18"/>
                  <w:color w:val="0000EE"/>
                </w:rPr>
                <w:t>Exhibits, Financial Statement Schedules</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88">
              <w:r>
                <w:rPr>
                  <w:rFonts w:ascii="Arial" w:cs="Arial" w:eastAsia="Arial" w:hAnsi="Arial"/>
                  <w:sz w:val="18"/>
                  <w:szCs w:val="18"/>
                  <w:color w:val="0000EE"/>
                  <w:w w:val="86"/>
                </w:rPr>
                <w:t>188</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Item 16.</w:t>
              </w:r>
            </w:hyperlink>
          </w:p>
        </w:tc>
        <w:tc>
          <w:tcPr>
            <w:tcW w:w="8760" w:type="dxa"/>
            <w:vAlign w:val="bottom"/>
            <w:gridSpan w:val="20"/>
          </w:tcPr>
          <w:p>
            <w:pPr>
              <w:ind w:left="280"/>
              <w:spacing w:after="0"/>
              <w:rPr>
                <w:rFonts w:ascii="Arial" w:cs="Arial" w:eastAsia="Arial" w:hAnsi="Arial"/>
                <w:sz w:val="18"/>
                <w:szCs w:val="18"/>
                <w:color w:val="0000EE"/>
              </w:rPr>
            </w:pPr>
            <w:hyperlink w:anchor="page196">
              <w:r>
                <w:rPr>
                  <w:rFonts w:ascii="Arial" w:cs="Arial" w:eastAsia="Arial" w:hAnsi="Arial"/>
                  <w:sz w:val="18"/>
                  <w:szCs w:val="18"/>
                  <w:color w:val="0000EE"/>
                </w:rPr>
                <w:t>Form 10-K Summary</w:t>
              </w:r>
            </w:hyperlink>
          </w:p>
        </w:tc>
        <w:tc>
          <w:tcPr>
            <w:tcW w:w="780" w:type="dxa"/>
            <w:vAlign w:val="bottom"/>
            <w:gridSpan w:val="4"/>
          </w:tcPr>
          <w:p>
            <w:pPr>
              <w:jc w:val="center"/>
              <w:ind w:left="310"/>
              <w:spacing w:after="0"/>
              <w:rPr>
                <w:rFonts w:ascii="Arial" w:cs="Arial" w:eastAsia="Arial" w:hAnsi="Arial"/>
                <w:sz w:val="18"/>
                <w:szCs w:val="18"/>
                <w:color w:val="0000EE"/>
                <w:w w:val="86"/>
              </w:rPr>
            </w:pPr>
            <w:hyperlink w:anchor="page196">
              <w:r>
                <w:rPr>
                  <w:rFonts w:ascii="Arial" w:cs="Arial" w:eastAsia="Arial" w:hAnsi="Arial"/>
                  <w:sz w:val="18"/>
                  <w:szCs w:val="18"/>
                  <w:color w:val="0000EE"/>
                  <w:w w:val="86"/>
                </w:rPr>
                <w:t>196</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Signatures</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912"/>
        </w:trPr>
        <w:tc>
          <w:tcPr>
            <w:tcW w:w="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13"/>
          </w:tcPr>
          <w:p>
            <w:pPr>
              <w:jc w:val="center"/>
              <w:ind w:left="3610"/>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108" w:right="4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January 31, 2020, February 1, 2019, and February 2, 2018 as “Fiscal 2020,” “Fiscal 2019,” and “Fiscal 2018,” respectively. Fiscal 2020, Fiscal 2019 and Fiscal 2018 included 52 weeks.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Dell Technologies is a leading global end-to-end technology provider, with a comprehensive portfolio of IT hardware, software and services solutions spanning both traditional infrastructure and emerging, multi-cloud technologies that enable our customers to build their digital future and transform how they work and live. We operate globally across key functional areas such as technology and product development, marketing, go-to-market and global services, and are supported by Dell Financial Services. We continue to seamlessly deliver differentiated and holistic IT solutions to our customers, which has driven significant revenue growth and share gains.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Dell Technologies operates with significant scale and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manage and operate in a multi-cloud world,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edge to the core to the cloud, and we are at the forefront of the software-defined and cloud native infrastructure era. Our end-to-end portfolio is supported by a differentiated go-to-market engine, which includes a 43,000-person sales force, a global network of channel partners, and a world-class supply chain that together drive revenue growth and operating 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w:t>
      </w:r>
    </w:p>
    <w:p>
      <w:pPr>
        <w:spacing w:after="0" w:line="170" w:lineRule="exact"/>
        <w:rPr>
          <w:sz w:val="20"/>
          <w:szCs w:val="20"/>
          <w:color w:val="auto"/>
        </w:rPr>
      </w:pPr>
    </w:p>
    <w:p>
      <w:pPr>
        <w:ind w:left="660" w:right="20" w:hanging="328"/>
        <w:spacing w:after="0" w:line="288"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Infrastructure Solutions Group (“ISG”)</w:t>
      </w:r>
      <w:r>
        <w:rPr>
          <w:rFonts w:ascii="Arial" w:cs="Arial" w:eastAsia="Arial" w:hAnsi="Arial"/>
          <w:sz w:val="16"/>
          <w:szCs w:val="16"/>
          <w:i w:val="1"/>
          <w:iCs w:val="1"/>
          <w:color w:val="auto"/>
        </w:rPr>
        <w:t xml:space="preserve"> </w:t>
      </w:r>
      <w:r>
        <w:rPr>
          <w:rFonts w:ascii="Arial" w:cs="Arial" w:eastAsia="Arial" w:hAnsi="Arial"/>
          <w:sz w:val="16"/>
          <w:szCs w:val="16"/>
          <w:color w:val="auto"/>
        </w:rPr>
        <w:t>— ISG enables the digital transformation of our customers through our trusted multi-cloud and big data</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We have simplified our storage portfolio to ensure that we deliver the technology needed for our customers’ digital transformation. Our server portfolio includes high-performance rack, blade, tower, and hyperscale servers, optimized for artificial intelligence and machine learning workloads.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68" w:lineRule="exact"/>
        <w:rPr>
          <w:rFonts w:ascii="Arial" w:cs="Arial" w:eastAsia="Arial" w:hAnsi="Arial"/>
          <w:sz w:val="16"/>
          <w:szCs w:val="16"/>
          <w:i w:val="1"/>
          <w:iCs w:val="1"/>
          <w:color w:val="auto"/>
        </w:rPr>
      </w:pPr>
    </w:p>
    <w:p>
      <w:pPr>
        <w:ind w:left="660" w:right="60"/>
        <w:spacing w:after="0" w:line="257" w:lineRule="auto"/>
        <w:rPr>
          <w:rFonts w:ascii="Arial" w:cs="Arial" w:eastAsia="Arial" w:hAnsi="Arial"/>
          <w:sz w:val="16"/>
          <w:szCs w:val="16"/>
          <w:i w:val="1"/>
          <w:iCs w:val="1"/>
          <w:color w:val="auto"/>
        </w:rPr>
      </w:pPr>
      <w:r>
        <w:rPr>
          <w:rFonts w:ascii="Arial" w:cs="Arial" w:eastAsia="Arial" w:hAnsi="Arial"/>
          <w:sz w:val="18"/>
          <w:szCs w:val="18"/>
          <w:color w:val="auto"/>
        </w:rPr>
        <w:t>We recently unveiled the Dell Technologies Cloud, a new set of cloud infrastructure solutions to make hybrid cloud environments simpler to deploy and manage. The Dell Technologies Cloud portfolio consists of the new Dell Technologies Cloud Platforms and the new Data Center-as-a-Service offering referred to as VMware Cloud on Dell EMC. These solutions enable a flexible range of IT and management options with tight integration and a single vendor experience for purchasing, deployment, services, and financing, giving customers more control as the operational hub of their hybrid clouds.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sz w:val="20"/>
          <w:szCs w:val="20"/>
          <w:color w:val="auto"/>
        </w:rPr>
      </w:pPr>
    </w:p>
    <w:p>
      <w:pPr>
        <w:ind w:left="660" w:right="160" w:hanging="328"/>
        <w:spacing w:after="0" w:line="25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CSG includes branded hardware (such as desktops, workstations, and notebooks) and branded peripherals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through Dell Financial Services. CSG also offers attached software, peripherals, and services, including support and deployment, configuration, and extended warranty services.</w:t>
      </w:r>
    </w:p>
    <w:p>
      <w:pPr>
        <w:spacing w:after="0" w:line="191" w:lineRule="exact"/>
        <w:rPr>
          <w:rFonts w:ascii="Arial" w:cs="Arial" w:eastAsia="Arial" w:hAnsi="Arial"/>
          <w:sz w:val="18"/>
          <w:szCs w:val="18"/>
          <w:i w:val="1"/>
          <w:iCs w:val="1"/>
          <w:color w:val="auto"/>
        </w:rPr>
      </w:pPr>
    </w:p>
    <w:p>
      <w:pPr>
        <w:ind w:left="660" w:right="7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0" w:hanging="328"/>
        <w:spacing w:after="0" w:line="273"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VMware</w:t>
      </w:r>
      <w:r>
        <w:rPr>
          <w:rFonts w:ascii="Arial" w:cs="Arial" w:eastAsia="Arial" w:hAnsi="Arial"/>
          <w:sz w:val="17"/>
          <w:szCs w:val="17"/>
          <w:i w:val="1"/>
          <w:iCs w:val="1"/>
          <w:color w:val="auto"/>
        </w:rPr>
        <w:t xml:space="preserve"> </w:t>
      </w:r>
      <w:r>
        <w:rPr>
          <w:rFonts w:ascii="Arial" w:cs="Arial" w:eastAsia="Arial" w:hAnsi="Arial"/>
          <w:sz w:val="17"/>
          <w:szCs w:val="17"/>
          <w:color w:val="auto"/>
        </w:rPr>
        <w:t>— The VMware reportable segment (“VMware”) reflects the operations of VMware, Inc. (NYSE: VMW) within Dell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 VMware’s portfolio supports and addresses the key IT priorities of customers: accelerating their cloud journey, modernizing their applications, empowering digital workspaces, transforming networking, and embracing intrinsic security. VMware enables its customers to digitally transform their operations as they ready their applications, infrastructure, and employees for constantly evolving business needs.</w:t>
      </w:r>
    </w:p>
    <w:p>
      <w:pPr>
        <w:spacing w:after="0" w:line="177" w:lineRule="exact"/>
        <w:rPr>
          <w:rFonts w:ascii="Arial" w:cs="Arial" w:eastAsia="Arial" w:hAnsi="Arial"/>
          <w:sz w:val="17"/>
          <w:szCs w:val="17"/>
          <w:i w:val="1"/>
          <w:iCs w:val="1"/>
          <w:color w:val="auto"/>
        </w:rPr>
      </w:pPr>
    </w:p>
    <w:p>
      <w:pPr>
        <w:ind w:left="660" w:right="26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During the third quarter of Fiscal 2020, VMware, Inc. completed the acquisition of Carbon Black, Inc. (“Carbon Black”), a developer of cloud-native endpoint protection.</w:t>
      </w:r>
    </w:p>
    <w:p>
      <w:pPr>
        <w:spacing w:after="0" w:line="170" w:lineRule="exact"/>
        <w:rPr>
          <w:rFonts w:ascii="Arial" w:cs="Arial" w:eastAsia="Arial" w:hAnsi="Arial"/>
          <w:sz w:val="17"/>
          <w:szCs w:val="17"/>
          <w:i w:val="1"/>
          <w:iCs w:val="1"/>
          <w:color w:val="auto"/>
        </w:rPr>
      </w:pPr>
    </w:p>
    <w:p>
      <w:pPr>
        <w:ind w:left="660" w:right="16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On December 30, 2019, VMware, Inc. completed its acquisition of Pivotal Software, Inc. (“Pivotal”). Before the transaction, Pivotal was a majority-owned subsidiary of Dell Technologies through EMC and VMware, Inc. Pivotal provides a leading cloud-native platform that makes software development and IT operations a strategic advantage for customers. Pivotal’s cloud-native platform, Pivotal Cloud Foundry, accelerates and streamlines software development by reducing the complexity of building, deploying, and operating new cloud-native applications, and modernizing legacy applications. With the acquisition, which aligns key software assets, VMware, Inc. will drive and build on a comprehensive development platform with Kubernetes.</w:t>
      </w:r>
    </w:p>
    <w:p>
      <w:pPr>
        <w:spacing w:after="0" w:line="192" w:lineRule="exact"/>
        <w:rPr>
          <w:rFonts w:ascii="Arial" w:cs="Arial" w:eastAsia="Arial" w:hAnsi="Arial"/>
          <w:sz w:val="17"/>
          <w:szCs w:val="17"/>
          <w:i w:val="1"/>
          <w:iCs w:val="1"/>
          <w:color w:val="auto"/>
        </w:rPr>
      </w:pPr>
    </w:p>
    <w:p>
      <w:pPr>
        <w:ind w:left="660" w:right="6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Under the terms of the transaction, each outstanding share of Pivotal’s Class A common stock (other than shares held by Pivotal stockholders who properly exercised their appraisal rights under Delaware law) was converted into the right to receive $15.00 in cash, and each outstanding share of Pivotal’s Class B common stock was converted into the right to receive 0.0550 of a share of Class B common stock of VMware, Inc. Dell Technologies, which held all outstanding shares of Pivotal’s Class B common stock, received approximately 7.2 million shares of Class B common stock of VMware, Inc. in the transaction.</w:t>
      </w:r>
    </w:p>
    <w:p>
      <w:pPr>
        <w:spacing w:after="0" w:line="187" w:lineRule="exact"/>
        <w:rPr>
          <w:rFonts w:ascii="Arial" w:cs="Arial" w:eastAsia="Arial" w:hAnsi="Arial"/>
          <w:sz w:val="17"/>
          <w:szCs w:val="17"/>
          <w:i w:val="1"/>
          <w:iCs w:val="1"/>
          <w:color w:val="auto"/>
        </w:rPr>
      </w:pPr>
    </w:p>
    <w:p>
      <w:pPr>
        <w:ind w:left="660" w:right="240"/>
        <w:spacing w:after="0" w:line="301" w:lineRule="auto"/>
        <w:rPr>
          <w:rFonts w:ascii="Arial" w:cs="Arial" w:eastAsia="Arial" w:hAnsi="Arial"/>
          <w:sz w:val="17"/>
          <w:szCs w:val="17"/>
          <w:i w:val="1"/>
          <w:iCs w:val="1"/>
          <w:color w:val="auto"/>
        </w:rPr>
      </w:pPr>
      <w:r>
        <w:rPr>
          <w:rFonts w:ascii="Arial" w:cs="Arial" w:eastAsia="Arial" w:hAnsi="Arial"/>
          <w:sz w:val="16"/>
          <w:szCs w:val="16"/>
          <w:color w:val="auto"/>
        </w:rPr>
        <w:t>The purchase of the controlling interest in Pivotal from Dell Technologies was accounted for as a transaction between entities under common control. Assets and liabilities of Pivotal remained at their historical carrying amounts on the date of the transaction, with no new goodwill being recognized. This transaction required retrospective combination of the VMware, Inc. and Pivotal entities for all periods presented, as if the combination had been in effect since the inception of common control on the date of the EMC merger transaction in September 2016.</w:t>
      </w:r>
    </w:p>
    <w:p>
      <w:pPr>
        <w:spacing w:after="0" w:line="157" w:lineRule="exact"/>
        <w:rPr>
          <w:rFonts w:ascii="Arial" w:cs="Arial" w:eastAsia="Arial" w:hAnsi="Arial"/>
          <w:sz w:val="17"/>
          <w:szCs w:val="17"/>
          <w:i w:val="1"/>
          <w:iCs w:val="1"/>
          <w:color w:val="auto"/>
        </w:rPr>
      </w:pPr>
    </w:p>
    <w:p>
      <w:pPr>
        <w:ind w:left="660" w:right="240"/>
        <w:spacing w:after="0" w:line="286" w:lineRule="auto"/>
        <w:rPr>
          <w:rFonts w:ascii="Arial" w:cs="Arial" w:eastAsia="Arial" w:hAnsi="Arial"/>
          <w:sz w:val="17"/>
          <w:szCs w:val="17"/>
          <w:i w:val="1"/>
          <w:iCs w:val="1"/>
          <w:color w:val="auto"/>
        </w:rPr>
      </w:pPr>
      <w:r>
        <w:rPr>
          <w:rFonts w:ascii="Arial" w:cs="Arial" w:eastAsia="Arial" w:hAnsi="Arial"/>
          <w:sz w:val="17"/>
          <w:szCs w:val="17"/>
          <w:color w:val="auto"/>
        </w:rPr>
        <w:t>Effective as of the transaction date, Dell Technologies reports Pivotal results within the VMware reportable segment, and the historical segment results have been recast to reflect this change. Pivotal results were previously reported within other businesses. See Note 19 of the Notes to the Consolidated Financial Statements included in this report for the recast of segment results.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Our other businesses, described below, consist of product and service offerings of Secureworks, Virtustream, Boomi, and RSA Security,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w:t>
      </w:r>
    </w:p>
    <w:p>
      <w:pPr>
        <w:spacing w:after="0" w:line="165" w:lineRule="exact"/>
        <w:rPr>
          <w:sz w:val="20"/>
          <w:szCs w:val="20"/>
          <w:color w:val="auto"/>
        </w:rPr>
      </w:pPr>
    </w:p>
    <w:p>
      <w:pPr>
        <w:ind w:left="660" w:right="8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protecting its clients from cyberattacks.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 Beginning in the first quarter of Fiscal 2019, Virtustream results are reported within other businesses, rather than within ISG. This change in reporting structure did not impact our previously reported consolidated financial results, but our prior period segment results have been recast to reflect the change.</w:t>
      </w:r>
    </w:p>
    <w:p>
      <w:pPr>
        <w:spacing w:after="0" w:line="186"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processes are optimized, data is accurate and workflow is reliable.</w:t>
      </w:r>
    </w:p>
    <w:p>
      <w:pPr>
        <w:spacing w:after="0" w:line="170"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RSA Security </w:t>
      </w:r>
      <w:r>
        <w:rPr>
          <w:rFonts w:ascii="Arial" w:cs="Arial" w:eastAsia="Arial" w:hAnsi="Arial"/>
          <w:sz w:val="16"/>
          <w:szCs w:val="16"/>
          <w:color w:val="auto"/>
        </w:rPr>
        <w:t>provides essential cybersecurity solutions engineered to enable organizations to detect, investigate, and respond to advanced attacks,</w:t>
      </w:r>
      <w:r>
        <w:rPr>
          <w:rFonts w:ascii="Arial" w:cs="Arial" w:eastAsia="Arial" w:hAnsi="Arial"/>
          <w:sz w:val="16"/>
          <w:szCs w:val="16"/>
          <w:i w:val="1"/>
          <w:iCs w:val="1"/>
          <w:color w:val="auto"/>
        </w:rPr>
        <w:t xml:space="preserve"> </w:t>
      </w:r>
      <w:r>
        <w:rPr>
          <w:rFonts w:ascii="Arial" w:cs="Arial" w:eastAsia="Arial" w:hAnsi="Arial"/>
          <w:sz w:val="16"/>
          <w:szCs w:val="16"/>
          <w:color w:val="auto"/>
        </w:rPr>
        <w:t>confirm and manage identities, and, ultimately, help reduce IP theft, fraud, and cybercrime. In February 2020, Dell Technologies announced its entry into a definitive agreement to sell RSA Security to a consortium of investors in an all-cash transaction for approximately $2.075 billion, subject to certain closing adjustments. The transaction is intended to further simplify our product portfolio and corporate structure.</w:t>
      </w:r>
    </w:p>
    <w:p>
      <w:pPr>
        <w:spacing w:after="0" w:line="15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believe the collaboration, innovation, and coordination of the operations and strategies across all segments of our business,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all segments of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See Note 19 of the Notes to the Consolidated Financial Statements included in this report for more information about our reportable segments.</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“Part II — Item 7 — Management’s Discussion and Analysis of Financial Condition and Results of Operations — Results of Operations — Business Unit Results” for a discussion of our reportable segment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of our product, software, and service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The results of these operations are allocated to our segments based on the underlying product or service financed. For additional information about our financing arrangements, see Note 4 of the Notes to the Consolidated Financial Statements included in this report.</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focus on developing scalable technology solutions that incorporate highly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We manage our research and development (“R&amp;D”) spending by targeting those innovations and products that we believe are most valuable to our customers and by relying on the capabilities of our strategic relationships. Through this collaborative, customer-focused approach, we strive to deliver new and relevant products to the market quickly and efficiently. Additionally, from time to time, we make strategic investments in publicly-traded and privately-held companies that develop software, hardware, and other technologies or provide services supporting our technologies.</w:t>
      </w:r>
    </w:p>
    <w:p>
      <w:pPr>
        <w:spacing w:after="0" w:line="16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VMware represents a significant portion of our R&amp;D activities and has assembled an experienced group of developers with expertise in software-defined data centers, hybrid and multiple public clouds, the modernization, migration and management of applications, networking, security, and digital workspaces. VMware also has strong ties to leading academic institutions around the world and invests in joint research with academia. Product development efforts are prioritized through a combination of engineering-driven innovation and customer- and market-driven feedback.</w:t>
      </w:r>
    </w:p>
    <w:p>
      <w:pPr>
        <w:spacing w:after="0" w:line="17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Dell Technologies has a global R&amp;D presence, with total R&amp;D expenses of $5.0 billion, $4.6 billion, and $4.4 billion, for Fiscal 2020, Fiscal 2019, and Fiscal 2018, respectively. These investments reflect our commitment to R&amp;D activities that ultimately support our mission: to help our customers build their digital future and to transform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Materials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8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enhancing our world-class supply chain.</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available. We also have implemented Lean Six Sigma and 7S (Customer, Safety, Quality, Delivery, Cost, Team, and Green) methodologies to ensure that the quality of our designs, manufacturing, test processes, and supplier relationships are continually improved.</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maintain a robust Supplier Code of Conduct, actively manage recycling processes for our returned products, and are certified by the Environmental Protection Agency as a Smartway Transport Partner.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 Factors Relating to Our Business and Our Industry — Reliance on vendors for products and components, many of which are single-source or limited-source suppliers, could harm Dell Technologies’ business by adversely affecting product availability, delivery, reliability, and cost” for information about the risks associated with Dell Technologies’ use of single- or limited-source suppliers.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amount of net revenue we generated from our operations outside of the United States during the last three fiscal years, see Note 19 of the Notes to the Consolidated Financial Statements included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markets in which we compete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“Item 1A — Risk Factors — Risk Factors Relating to Our Business and Our Industry” for information about our competitive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a diversified business model, with the majority of our revenue and operating income derived from commercial clients that consist of large enterprises, small and medium-sized businesses, and public sector customers. We sell products and services directly to customers and through other sales channels, such as value-added resellers, system integrators, distributors, and retailers. During Fiscal 2020, our other sales channels contributed over 50% of our net revenue.</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customers include large global and national corporate businesses, public institutions that include government, educational institutions, healthcare organizations, and law enforcement agencies, small and medium-sized businesses, and consumers. Our sales efforts are organized around the evolving needs of our customers, and our marketing initiatives reflect this focus. We believe that our unified global sales and marketing team creates a sales organization that is more customer-focused, collaborative, and innovative. Our go-to-market strategy includes a direct business model, as well as channel distribution. Our direct business model emphasizes direct communication with customers, thereby allowing us to refine our products and marketing programs for specific customers groups, and we continue to pursue this strategy.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to our direct business model, we rely on our network of channel partners to sell our products and services, enabling us to efficiently serve a greater number of customers. Sales through channel partners have grown over the past several years, particularly as a result of the EMC merger transaction and expansion in the business. The Dell Technologies partner program contributes to growth in channel sales by providing appropriate incentives for revenue generation. We also provide our channel partners access to third-party financing to help manage their working capital. We believe that building long-term relationships with our channel partners enhances our ability to deliver an excellent customer experience.</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We market our products and services to small and medium-sized businesses and consumers through various advertising media. To react quickly to our customers’ needs, we track our Net Promoter Score, a customer loyalty metric that is widely used across various industries. We also engage with customers through our social media communities on </w:t>
      </w:r>
      <w:r>
        <w:rPr>
          <w:rFonts w:ascii="Arial" w:cs="Arial" w:eastAsia="Arial" w:hAnsi="Arial"/>
          <w:sz w:val="18"/>
          <w:szCs w:val="18"/>
          <w:u w:val="single" w:color="auto"/>
          <w:color w:val="auto"/>
        </w:rPr>
        <w:t>www.delltechnologies.com</w:t>
      </w:r>
      <w:r>
        <w:rPr>
          <w:rFonts w:ascii="Arial" w:cs="Arial" w:eastAsia="Arial" w:hAnsi="Arial"/>
          <w:sz w:val="18"/>
          <w:szCs w:val="18"/>
          <w:color w:val="auto"/>
        </w:rPr>
        <w:t xml:space="preserve"> and in external social media channels.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large business and institutional customers,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January 31, 2020, we held a worldwide portfolio of 19,002 patents and had an additional 10,025 patent applications pending. Of those intellectual property rights, VMware, Inc. held 4,140 patents and had an additional 3,095 patent applications pending. We also hold licenses to use numerous third-party patents. To replace expiring patents, we obtain new patents through our ongoing research and development activities. The inventions claimed in our patents and patent applications cover aspects of our current and possible future computer system and software products, manufacturing processes, and related technologies. Our product and process patents may establish barriers to entry. Although we use our patented inventions and also license them to others, we are not substantially dependent on any single patent or group of related patents. We have entered into a variety of intellectual property licensing and cross-licensing agreements and software licensing agreements with other companies. We anticipate that our worldwide patent portfolio will continue to be of value in negotiating intellectual property rights with others in the industry.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obtained U.S. federal trademark registration for Dell Technologies, Dell word mark and logo mark, and the VMware word and logo mark. We have pending applications to register Dell EMC word marks. As of January 31, 2020, we owned registrations for approximately 314 of our other trademarks in the United States and had pending applications for registration of approximately 75 other trademarks. We believe that Dell Technologies, DELL, Dell EMC, VMware, Alienware, RSA Security, Secureworks, Pivotal, and Virtustream word marks and logo marks in the United States are material to our operations. As of January 31, 2020, we also had applied for, or obtained registration of, the DELL word mark and several other marks in approximately 186 other countries.</w:t>
      </w:r>
    </w:p>
    <w:p>
      <w:pPr>
        <w:spacing w:after="0" w:line="19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From time to time, other companies and individuals assert exclusive patent, copyright, trademark, or other intellectual property rights to technologies or marks that are alleged to be relevant to the technology industry or our business. We evaluate each claim relating to our products and, if appropriate, seek a license to use the protected technology. The licensing agreements generally do not require the licensor to assist us in duplicating the licensor’s patented technology, nor do the agreements protect us from trade secret, copyright, or other violations by us or our suppliers in developing or selling the licensed products. Unless otherwise noted, trademarks appearing in this report are owned by us. We disclaim proprietary interest in the marks and names of others. Net Promoter Score is a trademark of Satmetrix Systems, Inc., Bain &amp; Company, Inc., and Fred Reichheld.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We were not assessed any material environmental fines, nor did we have any material environmental remediation or other environmental costs, during Fiscal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Impact and Sustainability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Dell is committed to driving human progress by putting our technology and expertise to work where it can do the most good for people and the planet. As highlighted in our most recent Corporate Social Responsibility Report, we:</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Used 100 million pounds of sustainable materials in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Helped 16 million people grow and thrive through the use of our technology and expertise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Recovered 2 billion pounds of used electronics for reuse, remanufacturing, or recycling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the energy intensity of our product portfolio by 64%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Volunteered 5 million hours of team member service in support of community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89% team member satisfaction at Dell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Reached a 60% use rate for flexible work options among global team members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on our achievements, see our most recent Corporate Responsibility Report, which is available at legacyofgood.dell.com.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Dell Technologies launched its Social Impact Plan for 2030 (the “2030 Plan”) after its success in achieving prior social impact and sustainability goals. Our goals under the new plan represent an extension of our purpose as a Company — to create technologies that drive human progress. We will use these goals to build our social impact strategies over the next decade. The 2030 Plan has four critical areas of focus: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i w:val="1"/>
          <w:iCs w:val="1"/>
          <w:color w:val="auto"/>
        </w:rPr>
        <w:t xml:space="preserve">Advancing Sustainability </w:t>
      </w:r>
      <w:r>
        <w:rPr>
          <w:rFonts w:ascii="Arial" w:cs="Arial" w:eastAsia="Arial" w:hAnsi="Arial"/>
          <w:sz w:val="16"/>
          <w:szCs w:val="16"/>
          <w:color w:val="auto"/>
        </w:rPr>
        <w:t>— We believe we have a responsibility to protect and enrich our planet together with our customers, suppliers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communities. Dell Technologies will continue working across our business ecosystem, valuing natural resources, and minimizing our impact. With the power of our global supply chain, Dell Technologies has the scale and responsibility to drive the highest standards of sustainability and ethical practices.</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Cultivating Inclusion </w:t>
      </w:r>
      <w:r>
        <w:rPr>
          <w:rFonts w:ascii="Arial" w:cs="Arial" w:eastAsia="Arial" w:hAnsi="Arial"/>
          <w:sz w:val="18"/>
          <w:szCs w:val="18"/>
          <w:color w:val="auto"/>
        </w:rPr>
        <w:t>— We view diversity and inclusion as a business imperative that will enable us to build and empower our future workforce.</w:t>
      </w:r>
      <w:r>
        <w:rPr>
          <w:rFonts w:ascii="Arial" w:cs="Arial" w:eastAsia="Arial" w:hAnsi="Arial"/>
          <w:sz w:val="18"/>
          <w:szCs w:val="18"/>
          <w:i w:val="1"/>
          <w:iCs w:val="1"/>
          <w:color w:val="auto"/>
        </w:rPr>
        <w:t xml:space="preserve"> </w:t>
      </w:r>
      <w:r>
        <w:rPr>
          <w:rFonts w:ascii="Arial" w:cs="Arial" w:eastAsia="Arial" w:hAnsi="Arial"/>
          <w:sz w:val="18"/>
          <w:szCs w:val="18"/>
          <w:color w:val="auto"/>
        </w:rPr>
        <w:t>It is essential that our workforce be fully representative of the diversity in our global customer base. Diversity of leadership increases innovation and ensures company decisions reflect a wide variety of perspectives.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 xml:space="preserve">Transforming Lives </w:t>
      </w:r>
      <w:r>
        <w:rPr>
          <w:rFonts w:ascii="Arial" w:cs="Arial" w:eastAsia="Arial" w:hAnsi="Arial"/>
          <w:sz w:val="18"/>
          <w:szCs w:val="18"/>
          <w:color w:val="auto"/>
        </w:rPr>
        <w:t>— We believe our scale, support, and the innovative application of our portfolio can play an important role in addressing</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societal challenges, including improving health, education, and economic opportunities for the underserved. We endeavor to harness the power of technology to create a future that is capable of fully realizing human potential.</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 xml:space="preserve">Upholding Ethics and Privacy </w:t>
      </w:r>
      <w:r>
        <w:rPr>
          <w:rFonts w:ascii="Arial" w:cs="Arial" w:eastAsia="Arial" w:hAnsi="Arial"/>
          <w:sz w:val="18"/>
          <w:szCs w:val="18"/>
          <w:color w:val="auto"/>
        </w:rPr>
        <w:t>— Ethics and privacy play a critical role in establishing a strong foundation for positive social impact.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invest in our advanced privacy governance and risk-management technology. And we will continue to select, evaluate, and do business with third parties who share our level of dedication to privacy.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Dell Technologies Social Impact Plan for 2030 is available at https://corporate.delltechnologies.com/en-us/social-impact.htm.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Backlog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Product backlog represents the value of unfulfilled manufacturing orders. Our business model generally gives us the ability to optimize product backlog at any point in time, for example, expediting shipping or prioritizing customer orders toward products that have shorter lead times. Because product backlog at any point in time may not result in the generation of any predictable amount of net revenue in any subsequent period, we do not believe product backlog to be a meaningful indicator of future net revenue. Product backlog is included as a component of remaining performance obligation to the extent we determine that the manufacturing orders are non-cancelable.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31, 2020, we had approximately 165,000 total full-time employees, approximately 31,000 of whom were employees of VMware, Inc. In comparison, as of February 1, 2019, we had approximately 157,000 total full-time employees, approximately 24,000 of whom were employees of VMware, Inc. As of January 31, 2020, approximately 37% of our full-time employees were located in the United States and approximately 63% were located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 holding company that conducts our operations through subsidiaries.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were incorporated in the state of Delaware on January 31, 2013 under the name Denali Holding Inc. in connection with Dell’s going-private transaction, which was completed in October 2013. We changed our name to Dell Technologies Inc. on August 25, 2016. The mailing address of our principal executive offices is One Dell Way, Round Rock, Texas 78682. Our telephone number is 1-800-289-3355.</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www.delltechnologies.com</w:t>
      </w:r>
      <w:r>
        <w:rPr>
          <w:rFonts w:ascii="Arial" w:cs="Arial" w:eastAsia="Arial" w:hAnsi="Arial"/>
          <w:sz w:val="18"/>
          <w:szCs w:val="18"/>
          <w:color w:val="auto"/>
        </w:rPr>
        <w:t>. We make available free of charge through our website our annual reports on Form 10-K, quarterly reports on Form 10-Q, and current reports on Form 8-K, and all amendments to those reports, as soon as reasonably practicable after we electronically file such material with, or furnish it to, the Securities and Exchange Commission (“SEC”). The contents of our website referred to above and the contents of any other website we refer to herein are not a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our senior secured credit facilities, proceeds of a margin loan financing in an aggregate principal amount of $1.35 billion, proceeds of Dell Technologies’ pro-rata portion, in the amount of $8.87 billion, of a special $11 billion cash dividend paid by VMware, Inc. in connection with the Class V transaction, and cash on hand at Dell Technologies and its subsidiaries. See Note 6 of the Notes to the Consolidated Financial Statements included in this report for information about the debt we incurred to finance the Class V transaction.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February 25, 2020, information about our executive officers, who are appointed by our board of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S. Dell</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Jeffrey W. Clarke</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Operating Officer and Vice Chairman</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Allison Dew</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Marketing Officer</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Howard D. Elias</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President, Services and Digital</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H. Price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Human Resources Officer</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Karen H. Quintos</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Customer Officer</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Rory Read</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Operating Executive, Dell Technologies and President, Virtustream</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Richard J. Rothberg</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General Counsel</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F. Scannell</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Global Sales and Customer Operations</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Thomas W. Sweet</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i w:val="1"/>
          <w:iCs w:val="1"/>
          <w:color w:val="auto"/>
        </w:rPr>
        <w:t xml:space="preserve">Michael S. Dell </w:t>
      </w:r>
      <w:r>
        <w:rPr>
          <w:rFonts w:ascii="Arial" w:cs="Arial" w:eastAsia="Arial" w:hAnsi="Arial"/>
          <w:sz w:val="18"/>
          <w:szCs w:val="18"/>
          <w:color w:val="auto"/>
        </w:rPr>
        <w:t>— Mr. Dell serves as Chairman of the Board and Chief Executive Officer of Dell Technologies. Mr. Dell served as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Dell Inc., a wholly-owned subsidiary of Dell Technologies, from 1984 until July 2004 and resumed that role in January 2007. In 1998, Mr. Dell formed MSD Capital, L.P.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U.S. Business Council and the Business Roundtable. He also serves on the advisory board of Tsinghua University’s School of Economics and Management in Beijing, China, on the governing board of the Indian School of Business in Hyderabad, India, and on the board of Catalyst, Inc., a non-profit organization that promotes inclusive workplaces for women. Mr. Dell is also Chairman of the Board of VMware, Inc. and Non-Executive Chairman of SecureWorks Corp. Mr. Dell was a board member of Pivotal Software, Inc. from September 2016 until it was acquired by VMware, Inc. in December 2019.</w:t>
      </w:r>
    </w:p>
    <w:p>
      <w:pPr>
        <w:spacing w:after="0" w:line="19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Jeffrey W. Clarke </w:t>
      </w:r>
      <w:r>
        <w:rPr>
          <w:rFonts w:ascii="Arial" w:cs="Arial" w:eastAsia="Arial" w:hAnsi="Arial"/>
          <w:sz w:val="17"/>
          <w:szCs w:val="17"/>
          <w:color w:val="auto"/>
        </w:rPr>
        <w:t>— Mr. Clarke serves as Chief Operating Officer and Vice Chairman of Dell Technologies, responsible for running day-to-day</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operations, shaping the Company’s strategic agenda, and aligning priorities across the Dell Technologies executive leadership team. Mr. Clarke oversees the Company’s operations, including its global manufacturing, procurement, and supply chain activities. Mr. Clarke has served as Chief Operating Officer since December 2019 and Vice Chairman, Products and Operations since September 2017, before which he served as Vice Chairman and President, Operations and Client Solutions with Dell Technologies and, previously, Dell, since January 2009. In these roles, Mr. Clarke has been responsible for global manufacturing, procurement, and supply chain activities worldwide, as well as the engineering, design, and development of servers, storage and networking products, as well as engineering, design, development and sales of computer desktops, notebooks, workstations, cloud client computing and end-user computing software solutions.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w:t>
      </w:r>
    </w:p>
    <w:p>
      <w:pPr>
        <w:spacing w:after="0" w:line="182"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i w:val="1"/>
          <w:iCs w:val="1"/>
          <w:color w:val="auto"/>
        </w:rPr>
        <w:t xml:space="preserve">Allison Dew </w:t>
      </w:r>
      <w:r>
        <w:rPr>
          <w:rFonts w:ascii="Arial" w:cs="Arial" w:eastAsia="Arial" w:hAnsi="Arial"/>
          <w:sz w:val="18"/>
          <w:szCs w:val="18"/>
          <w:color w:val="auto"/>
        </w:rPr>
        <w:t>— Ms. Dew serves as the Chief Marketing Officer of Dell Technologies. In this role, in which she has served since March 2018, Ms.</w:t>
      </w:r>
      <w:r>
        <w:rPr>
          <w:rFonts w:ascii="Arial" w:cs="Arial" w:eastAsia="Arial" w:hAnsi="Arial"/>
          <w:sz w:val="18"/>
          <w:szCs w:val="18"/>
          <w:i w:val="1"/>
          <w:iCs w:val="1"/>
          <w:color w:val="auto"/>
        </w:rPr>
        <w:t xml:space="preserve"> </w:t>
      </w:r>
      <w:r>
        <w:rPr>
          <w:rFonts w:ascii="Arial" w:cs="Arial" w:eastAsia="Arial" w:hAnsi="Arial"/>
          <w:sz w:val="18"/>
          <w:szCs w:val="18"/>
          <w:color w:val="auto"/>
        </w:rPr>
        <w:t>Dew is directly responsible for Dell Technologies’ global marketing organization and strategy and all aspects of our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prior to her current position, Ms. Dew led marketing for the Dell Technologies Client Solutions Group from December 2013 to March 2018. Before joining Dell Technologies, Ms. Dew served in various marketing leadership roles at Microsoft Corporation, a global technology company. Ms. Dew also worked in a regional advertising agency in Tokyo, Japan and with an independent multi-cultural advertising agency in New York City.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Howard D. Elias </w:t>
      </w:r>
      <w:r>
        <w:rPr>
          <w:rFonts w:ascii="Arial" w:cs="Arial" w:eastAsia="Arial" w:hAnsi="Arial"/>
          <w:sz w:val="16"/>
          <w:szCs w:val="16"/>
          <w:color w:val="auto"/>
        </w:rPr>
        <w:t>— Mr. Elias serves as President, Services and Digital of Dell Technologies, overseeing global support, deployment,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education and managed services, the IT organization, and Virtustream. Mr. Elias </w:t>
      </w:r>
      <w:r>
        <w:rPr>
          <w:rFonts w:ascii="Arial" w:cs="Arial" w:eastAsia="Arial" w:hAnsi="Arial"/>
          <w:sz w:val="16"/>
          <w:szCs w:val="16"/>
          <w:color w:val="444444"/>
        </w:rPr>
        <w:t>also co-leads Dell Technologies Select, an elite sales team focused on</w:t>
      </w:r>
      <w:r>
        <w:rPr>
          <w:rFonts w:ascii="Arial" w:cs="Arial" w:eastAsia="Arial" w:hAnsi="Arial"/>
          <w:sz w:val="16"/>
          <w:szCs w:val="16"/>
          <w:color w:val="auto"/>
        </w:rPr>
        <w:t xml:space="preserve"> </w:t>
      </w:r>
      <w:r>
        <w:rPr>
          <w:rFonts w:ascii="Arial" w:cs="Arial" w:eastAsia="Arial" w:hAnsi="Arial"/>
          <w:sz w:val="16"/>
          <w:szCs w:val="16"/>
          <w:color w:val="444444"/>
        </w:rPr>
        <w:t xml:space="preserve">serving some of Dell Technologies' largest customers. </w:t>
      </w:r>
      <w:r>
        <w:rPr>
          <w:rFonts w:ascii="Arial" w:cs="Arial" w:eastAsia="Arial" w:hAnsi="Arial"/>
          <w:sz w:val="16"/>
          <w:szCs w:val="16"/>
          <w:color w:val="000000"/>
        </w:rPr>
        <w:t>Mr. Elias previously served as President and Chief Operating Officer, EMC Global Enterprise</w:t>
      </w:r>
      <w:r>
        <w:rPr>
          <w:rFonts w:ascii="Arial" w:cs="Arial" w:eastAsia="Arial" w:hAnsi="Arial"/>
          <w:sz w:val="16"/>
          <w:szCs w:val="16"/>
          <w:color w:val="444444"/>
        </w:rPr>
        <w:t xml:space="preserve"> </w:t>
      </w:r>
      <w:r>
        <w:rPr>
          <w:rFonts w:ascii="Arial" w:cs="Arial" w:eastAsia="Arial" w:hAnsi="Arial"/>
          <w:sz w:val="16"/>
          <w:szCs w:val="16"/>
          <w:color w:val="000000"/>
        </w:rPr>
        <w:t>Services from January 2013 until EMC’s acquisition by Dell Technologies,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Before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currently serves as chairman of TEGNA Inc., a media and digital business company, and is a member of the Massachusetts Business Roundtable.</w:t>
      </w:r>
    </w:p>
    <w:p>
      <w:pPr>
        <w:spacing w:after="0" w:line="17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i w:val="1"/>
          <w:iCs w:val="1"/>
          <w:color w:val="auto"/>
        </w:rPr>
        <w:t xml:space="preserve">Steven H. Price </w:t>
      </w:r>
      <w:r>
        <w:rPr>
          <w:rFonts w:ascii="Arial" w:cs="Arial" w:eastAsia="Arial" w:hAnsi="Arial"/>
          <w:sz w:val="18"/>
          <w:szCs w:val="18"/>
          <w:color w:val="auto"/>
        </w:rPr>
        <w:t>— Mr. Price serves as Dell Technologies’ Chief Human Resources Officer, leading both human resources and global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In this role, Mr. Price is responsible for overall human resources strategy in support of the purpose, values, and business initiatives of Dell Technologies. He is also responsible for addressing the culture, leadership, talent, and performance challenges of the Company. Mr. Price previously served as Dell’s Senior Vice President, Human Resources from June 2010 to September 2016. Mr. Price joined Dell in February 1997 and has served in many key leadership roles throughout the HR organization, including Vice President of HR Operations, Global Talent Management, Vice President of HR for the global Consumer business, Vice President of HR Americas, and Vice President of HR EMEA. Before joining Dell in 1997, Mr. Price spent 13 years with SC Johnson Wax, a producer of consumer products based in Racine, Wisconsin. Having started his career there in sales, he later moved into human resources, where he held a variety of senior positions. Mr. Price also is the executive sponsor for the Black Employee Resource Group at Dell Technologies.</w:t>
      </w:r>
    </w:p>
    <w:p>
      <w:pPr>
        <w:spacing w:after="0" w:line="196"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i w:val="1"/>
          <w:iCs w:val="1"/>
          <w:color w:val="auto"/>
        </w:rPr>
        <w:t xml:space="preserve">Karen H. Quintos </w:t>
      </w:r>
      <w:r>
        <w:rPr>
          <w:rFonts w:ascii="Arial" w:cs="Arial" w:eastAsia="Arial" w:hAnsi="Arial"/>
          <w:sz w:val="17"/>
          <w:szCs w:val="17"/>
          <w:color w:val="auto"/>
        </w:rPr>
        <w:t>— Ms. Quintos serves as Chief Customer Officer of Dell Technologies, where she leads a global organization solely devoted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advocacy, and is responsible for setting and executing a total customer experience strategy. Ms. Quintos also leads the Diversity and Inclusion and Corporate Responsibility business imperatives, which encompass social responsibility, entrepreneurship, and diversity. Ms. Quintos previously served as Senior Vice President and Chief Marketing Officer (“CMO”) for Dell from September 2010 to September 2016, where she led marketing for the Company’s global commercial business, brand strategy, global communications, social media, corporate responsibility, customer insights, marketing talent development, and agency management. Before becoming CMO, Ms. Quintos served as Vice President of Dell’s global public business, from January 2008 to September 2010, and she also held various executive roles in marketing and in Dell’s Services and Supply Chain Management teams since joining Dell in 2000. Ms. Quintos came to Dell from Citigroup, Inc., an investment banking and financial services company, where she served as Vice President of Global Operations and Technology. She also spent 12 years with Merck &amp; Co., a manufacturer and distributor of pharmaceuticals, where she held a variety of marketing, operations, and supply chain leadership positions. She has served on multiple boards of directors and currently serves on the boards of Cummins Inc., Lennox International, and Penn State’s Smeal Business School. Ms. Quintos also is founder and executive sponsor of Dell Technologies’ Women in Action employee resource group.</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i w:val="1"/>
          <w:iCs w:val="1"/>
          <w:color w:val="auto"/>
        </w:rPr>
        <w:t xml:space="preserve">Rory Read </w:t>
      </w:r>
      <w:r>
        <w:rPr>
          <w:rFonts w:ascii="Arial" w:cs="Arial" w:eastAsia="Arial" w:hAnsi="Arial"/>
          <w:sz w:val="17"/>
          <w:szCs w:val="17"/>
          <w:color w:val="auto"/>
        </w:rPr>
        <w:t>— Mr. Read serves as Chief Operating Executive, Dell Technologies and as President of Virtustream. As Chief Operating Executive of</w:t>
      </w:r>
      <w:r>
        <w:rPr>
          <w:rFonts w:ascii="Arial" w:cs="Arial" w:eastAsia="Arial" w:hAnsi="Arial"/>
          <w:sz w:val="17"/>
          <w:szCs w:val="17"/>
          <w:i w:val="1"/>
          <w:iCs w:val="1"/>
          <w:color w:val="auto"/>
        </w:rPr>
        <w:t xml:space="preserve"> </w:t>
      </w:r>
      <w:r>
        <w:rPr>
          <w:rFonts w:ascii="Arial" w:cs="Arial" w:eastAsia="Arial" w:hAnsi="Arial"/>
          <w:sz w:val="17"/>
          <w:szCs w:val="17"/>
          <w:color w:val="auto"/>
        </w:rPr>
        <w:t>Dell Technologies, in which position he has served since October 2015, Mr. Read applies his executive leadership strength and operational expertise to critical areas of our business, driving key transformational objectives. As President of Virtustream, in which role he has served since May 2018, Mr. Read is responsible for overseeing the strategic direction of Virtustream and driving business execution excellence. Mr. Read was Chief Integration Officer from October 2015 until April 2018 and led the historic transaction to combine Dell Inc. and EMC. From March 2015 to October 2015, Mr. Read served as Chief Operating Officer and President of Worldwide Commercial Sales for Dell, where he was responsible for cross-business unit and country-level operational planning, building and leading the Company’s best-in-class sales engine, and overseeing the strategy for the Company’s global channel team, system integrator partners, and direct sales force. Prior to joining Dell in March 2015, Mr. Read served as President and Chief Executive Officer at Advanced Micro Devices, Inc., a technology company, from August 2011 to October 2014, where he also served as a member of the board of directors. Before that service, he spent over five years as President and Chief Operating Officer at Lenovo Group Ltd., a computer technology company, where he was responsible for driving growth, execution, profitability, and performance across an enterprise encompassing more than 160 countries. Mr. Read also spent 23 years at International Business Machines Corporation, a technology and consulting company, serving in various leadership roles in the Asia-Pacific region and globally.</w:t>
      </w:r>
    </w:p>
    <w:p>
      <w:pPr>
        <w:spacing w:after="0" w:line="18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Richard J. Rothberg </w:t>
      </w:r>
      <w:r>
        <w:rPr>
          <w:rFonts w:ascii="Arial" w:cs="Arial" w:eastAsia="Arial" w:hAnsi="Arial"/>
          <w:sz w:val="17"/>
          <w:szCs w:val="17"/>
          <w:color w:val="auto"/>
        </w:rPr>
        <w:t>— Mr. Rothberg serves as General Counsel and Secretary for Dell Technologies. In this role, in which he has served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spacing w:after="0" w:line="18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William F. Scannell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212529"/>
        </w:rPr>
        <w:t xml:space="preserve">Mr. Scannell serves as President, Global Sales and Customer Operations for Dell Technologies, leading the global go-to-market organization. In this role, in which he has served since February 2020, Mr. Scannell is responsible for global go-to-market strategy and driving share and revenue growth for the Company’s products, services and solutions in 180 countries around the world. </w:t>
      </w:r>
      <w:r>
        <w:rPr>
          <w:rFonts w:ascii="Arial" w:cs="Arial" w:eastAsia="Arial" w:hAnsi="Arial"/>
          <w:sz w:val="17"/>
          <w:szCs w:val="17"/>
          <w:color w:val="000000"/>
        </w:rPr>
        <w:t>Mr. Scannell previously served as</w:t>
      </w:r>
      <w:r>
        <w:rPr>
          <w:rFonts w:ascii="Arial" w:cs="Arial" w:eastAsia="Arial" w:hAnsi="Arial"/>
          <w:sz w:val="17"/>
          <w:szCs w:val="17"/>
          <w:color w:val="212529"/>
        </w:rPr>
        <w:t xml:space="preserve"> </w:t>
      </w:r>
      <w:r>
        <w:rPr>
          <w:rFonts w:ascii="Arial" w:cs="Arial" w:eastAsia="Arial" w:hAnsi="Arial"/>
          <w:sz w:val="17"/>
          <w:szCs w:val="17"/>
          <w:color w:val="000000"/>
        </w:rPr>
        <w:t>President, Global Enterprise Sales and Customer Operations for Dell Technologies from September 2017 to January 2020, leading the global go-to-market organization serving enterprise customers. In this role, Mr. Scannell led the Dell Technologies sales teams to deliver innovative and practical technology solutions to large enterprises and public institutions worldwide. Prior to his service in that position, Mr. Scannell served as President, Global Sales and Customer Operations at EMC Corporation. In this role, to which he was appointed in July 2012,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 xml:space="preserve">Thomas W. Sweet </w:t>
      </w:r>
      <w:r>
        <w:rPr>
          <w:rFonts w:ascii="Arial" w:cs="Arial" w:eastAsia="Arial" w:hAnsi="Arial"/>
          <w:sz w:val="16"/>
          <w:szCs w:val="16"/>
          <w:color w:val="auto"/>
        </w:rPr>
        <w:t>— Mr. Sweet serves as Chief Financial Officer of Dell Technologies. In this role, in which he has served since January 2014, he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responsible for all aspects of the Company’s finance function, including accounting, financial planning and analysis, tax, treasury, investor relations, and corporate strategy. </w:t>
      </w:r>
      <w:r>
        <w:rPr>
          <w:rFonts w:ascii="Arial" w:cs="Arial" w:eastAsia="Arial" w:hAnsi="Arial"/>
          <w:sz w:val="16"/>
          <w:szCs w:val="16"/>
          <w:color w:val="212529"/>
        </w:rPr>
        <w:t>He is also responsible for the global business operations function and Dell Financial Services.</w:t>
      </w:r>
      <w:r>
        <w:rPr>
          <w:rFonts w:ascii="Arial" w:cs="Arial" w:eastAsia="Arial" w:hAnsi="Arial"/>
          <w:sz w:val="16"/>
          <w:szCs w:val="16"/>
          <w:color w:val="auto"/>
        </w:rPr>
        <w:t xml:space="preserve"> From May 2007 to January 2014,</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this, he served in a variety of finance leadership positions, including as Vice President responsible for overall finance activities within the corporate business, education, government, and healthcare business units of Dell. Mr. Sweet also has served as the head of internal audit and in a number of sales leadership roles in education and corporate business units since joining Dell in 1997. </w:t>
      </w:r>
      <w:r>
        <w:rPr>
          <w:rFonts w:ascii="Arial" w:cs="Arial" w:eastAsia="Arial" w:hAnsi="Arial"/>
          <w:sz w:val="17"/>
          <w:szCs w:val="17"/>
          <w:color w:val="212529"/>
        </w:rPr>
        <w:t>Prior to joining Dell, Mr. Sweet was vice president, accounting and finance, for Telos Corporation, a</w:t>
      </w:r>
      <w:r>
        <w:rPr>
          <w:rFonts w:ascii="Arial" w:cs="Arial" w:eastAsia="Arial" w:hAnsi="Arial"/>
          <w:sz w:val="17"/>
          <w:szCs w:val="17"/>
          <w:color w:val="auto"/>
        </w:rPr>
        <w:t xml:space="preserve"> </w:t>
      </w:r>
      <w:r>
        <w:rPr>
          <w:rFonts w:ascii="Arial" w:cs="Arial" w:eastAsia="Arial" w:hAnsi="Arial"/>
          <w:sz w:val="17"/>
          <w:szCs w:val="17"/>
          <w:color w:val="212529"/>
        </w:rPr>
        <w:t>provider of security solutions. Before that, he spent 13 years with Price Waterhouse, a firm specializing in assurance, tax, and consulting services, in a variety of roles primarily focused on providing audit and accounting services to the technology industry.</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20" w:top="125" w:right="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Dell Technologies currently expects or seeks. The risks described below are not the only risks facing us. There are additional risks and uncertainties not currently known to us or that Dell Technologies currently deems to be immaterial that also may materially adversely affect our business, operating results, financial condition,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may adversely affect Dell Technologies’ industry unit share position, revenue, and profitability.</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Dell Technologies operates in an industry in which there are rapid technological advances in hardware, software, and services offerings. As a result, Dell Technologies faces aggressive product and price competition from both branded and generic competitors. Dell Technologies competes based on its ability to offer to its customers competitive integrated solutions that provide desired product and services features. Dell Technologies’ competitors may provide products that are less costly, perform better or include additional features that are not available with Dell Technologies’ products. Further, Dell Technologies’ product portfolios may quickly become outdated or that Dell Technologies’ market share may quickly erode. Efforts to balance the mix of products and services to optimize profitability, liquidity, and growth also may put pressure on Dell Technologies’ industry position.</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the technology industry continues to expand globally, there may be new and increased competition in different geographic regions. The generally low barriers to entry in the technology industry increase the potential for challenges from new industry competitors. There also may be increased competition from new types of products as the options for mobile and cloud computing solutions increase. In addition, companies with which Dell Technologies has strategic alliances may become competitors in other product areas, or current competitors may enter into new strategic relationships with new or existing competitors, all of which may further increase the competitive pressures on Dell Technologies.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Reliance on vendors for products and components, many of which are single-source or limited-source suppliers, could harm Dell Technologies’ business by adversely affecting product availability, delivery, reliability, and cost.</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Technologies maintains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Dell Technologies may not be able to replace the functionality provided by third-party software currently offered with its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Dell Technologies’ operating results.</w:t>
      </w:r>
    </w:p>
    <w:p>
      <w:pPr>
        <w:spacing w:after="0" w:line="1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Dell Technologies obtains many of its products and all of its components from third-party vendors, many of which are located outside of the United States. In addition, significant portions of Dell Technologies’ products are assembled by contract manufacturers, primarily in various locations in Asia. A significant concentration of such outsourced manufacturing currently is performed by only a few of Dell Technologies’ contract manufacturers, often in single locations. Dell Technologies sells components to these contract manufacturers and generates large non-trade accounts receivables, an arrangement that would present a risk of uncollectibility if the financial condition of a contract manufacturer should deteriorate.</w:t>
      </w:r>
    </w:p>
    <w:p>
      <w:pPr>
        <w:spacing w:after="0" w:line="1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Although these relationships generate cost efficiencies, they limit Dell Technologies’ direct control over production. The increasing reliance on vendors subjects Dell Technologies to a greater risk of shortages and reduced control over delivery schedules of components and products, as well as a greater risk of increases in product and component costs. Dell Technologies may experience supply shortages and price increases caused by changes to raw material availability, manufacturing capacity, labor shortages, public health issues, such as the outbreak of the coronavirus disease 2019 (COVID-19), tariffs, trade disputes and protectionist measures, natural catastrophes or the effects of climate change (such as extreme weather conditions, sea level</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25"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rise, drought, flooding and wildfires), and significant changes in the financial condition of Dell Technologies’ suppliers. Because Dell Technologies maintains minimal levels of component and product inventories, a disruption in component or product availability could harm its ability to satisfy customer needs. In addition, defective parts and products from these vendors could reduce product reliability and harm Dell Technologies’ reputation.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Dell Technologies fails to achieve favorable pricing from vendors, its profitability could be adversely affected.</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Dell Technologies’ profitability is affected by its ability to achieve favorable pricing from vendors and contract manufacturers, including through negotiations for vendor rebates, marketing funds, and other vendor funding received in the normal course of business. Because these supplier negotiations are continuous and reflect the evolving competitive environment, the variability in timing and amount of incremental vendor discounts and rebates can affect Dell Technologies’ profitability. The vendor programs may change periodically, potentially resulting in adverse profitability trends if Dell Technologies cannot adjust pricing or variable costs. An inability to establish a cost and product advantage, or determine alternative means to deliver value to customers, may adversely affect Dell Technologies’ revenue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global economic conditions may harm Dell Technologies’ business and result in reduced net revenue and profitability.</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global company with customers operating in a broad range of businesses and industries, Dell Technologies’ performance is affected by global economic conditions and the demand for technology products and services in international markets. Adverse economic conditions may negatively affect customer demand, and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due to international trade protection measures and disputes, such as those between the United States and China, or due to public health issues, such as the outbreak of COVID-19 discussed below, also could harm Dell Technologies’ business by contributing to product shortages or delays, supply chain disruptions, insolvency of key suppliers, customer and counterparty insolvencies, increased product costs and associated price increases, reduced global sales, and other adverse effects on Dell Technologies’ operations. Any such effects could have a negative impact on Dell Technologies’ net revenue and profitability.</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2019, COVID-19 was reported to have been detected in Wuhan, China, and since then has spread to many other countries, including the United States. The extent to which COVID-19 may affect our business, financial position, and results of operations depends on future developments, which are highly uncertain and cannot be predicted. The spread of COVID-19 may create global economic uncertainty, which may cause partners, suppliers, and potential customers to restrict spending or delay nonessential purchases. If COVID-19 continues to spread, Dell Technologies’ business operations could be adversely affected by potential reductions in sales, earnings, or productivity resulting from possible impacts of COVID-19 such as production delays or limitations; adverse effects on distributors; supply chain disruptions; delays or limitations on the ability of U.S. federal, state, and local governments and other customers to perform or make timely payments; adverse investment performance; disruptions in business travel; and workforce disruptions due to illness, quarantines, government actions, facility closures or other restrictions. Additionally, Dell Technologies may be unable to fully perform its contracts and its costs may increase as a result of the outbreak of COVID-19. Dell Technologies continues to work with its customers, employees, suppliers and local communities to address the impact of the COVID-19 outbreak and continues to assess further possible impacts to its business, supply chain, and customers.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results of operations may be adversely affected if it fails to successfully execute its strategy.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Dell Technologies’ strategy involves enabling the digital transformation of its customers while leading in the core infrastructure markets in which it competes. Accordingly, Dell Technologies must continue to expand its customer base through direct sales, new distribution channels, further developing relationships with resellers, and augmenting select business areas through targeted acquisitions and other commercial arrangements. As more customers are reached through new distribution channels and expanded reseller relationships, Dell Technologies may fail to manage effectively the increasingly difficult tasks of inventory management and demand forecasting. The ability to implement this strategy depends on a successful transitioning of sales capabilities, the successful addition to the breadth of Dell Technologies’ solutions capabilities through selective acquisitions of other businesses, and the effective management of the consequences of these strategic initiatives. If Dell Technologies is unable to meet these challenges, its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Dell Technologies is organized into three business units consisting of ISG, CSG, and VMware which are each important components of Dell Technologies’ strategy. ISG consists of a portfolio of storage, server, and networking solutions and faces intense competition from existing on-premises competitors and increasing competitive pressures from public cloud providers. Accordingly, Dell Technologies could be required to make additional investments to combat such competitive pressures and drive future growth. Such pressures could result in the erosion of revenue and operating income and adversely affect ISG’s results of operations. In order to address an industry trend toward hybrid-computing models, Dell Technologies has developed and continues to develop traditional, converged, and hyper-converged infrastructure solutions to address the expanding needs of its customers. ISG’s results of operations could be adversely affected if such solutions are not adopted by Dell Technologies’ customers or potential customers, or if customers move rapidly to adopt public cloud solutions.</w:t>
      </w:r>
    </w:p>
    <w:p>
      <w:pPr>
        <w:spacing w:after="0" w:line="17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For Fiscal 2020, CSG generated approximately 50% of Dell Technologies’ net revenue, and largely relied on sales of desktops, workstations, and notebooks. Revenue from CSG absorbs Dell Technologies’ overhead costs and allows for scaled procurement. CSG faces risk and uncertainties from fundamental changes in the personal computer (“PC”) market, including a decline in worldwide revenues for desktops, workstations, and notebooks, and lower shipment forecasts for these products due to a general lengthening of the replacement cycle. Any reduced demand for PC products or a significant increase in competition could cause operating income to fluctuate and adversely impact CSG’s results of operations.</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success of the VMware business unit depends increasingly on customer acceptance of VMware’s newer offerings. VMware’s solutions are primarily based on server virtualization and related compute technologies used for virtualizing on-premises data center servers, which form the foundation for private cloud computing. As the market for server virtualization continues to mature, the rate of growth in license sales of products such as VMware’s vSphere has declined. The VMware business unit has been increasingly directing its product development and marketing efforts toward solutions that enable businesses to utilize virtualization as the foundation for private, public, hybrid and multi-cloud-based computing and mobile computing. To the extent that VMware’s newer offerings are adopted by customers more slowly than revenue growth in the established server virtualization offerings declines, this segment’s revenue growth rates may slow materially or its revenue may decline, and VMware may fail to realize returns on its investments in new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its cost efficiency measures are not successful, Dell Technologies may become less competitive.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Dell Technologies continues to focus on minimizing operating expenses through cost improvements and simplification of its corporate structure. Certain factors may prevent the achievement of these goals, which may negatively affect Dell Technologies’ competitive position. For example, Dell Technologies may experience delays or unanticipated costs in implementing its cost efficiency plans, which could prevent the timely or full achievement of expected cost efficiencies.</w:t>
      </w:r>
    </w:p>
    <w:p>
      <w:pPr>
        <w:spacing w:after="0" w:line="183"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Dell Technologies’ inability to manage solutions and product and services transitions in an effective manner could reduce the demand for Dell Technologies’ solutions, products, and services, and negatively affect the profitability of Dell Technologies’ operations.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Continuing improvements in technology result in the frequent introduction of new solutions, products, and services, improvements in product performance characteristics, and short product life cycles. If Dell Technologies fails to manage in an effective manner transitions to new solutions and offerings, the products and services associated with such offerings and customer demand for Dell Technologies’ solutions, products, and services could diminish, and Dell Technologies’ profitability could suffer.</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Dell Technologies is increasingly sourcing new products and transitioning existing products through its contract manufacturers and manufacturing outsourcing relationships in order to generate cost efficiencies and better serve its customers. The success of product transitions depends on a number of factors, including the availability of sufficient quantities of components at attractive costs. Product transitions also present execution uncertainties and risks, including the risk that new or upgraded products may have quality issues or other defects.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deliver high-quality hardware, software, and services could lead to loss of customers and diminished profitability.</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Dell Technologies must identify and address quality issues associated with its hardware, software, and services, many of which include third-party components. Although quality testing is performed regularly to detect quality problems and implement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required solutions, failure to identify and correct significant product quality issues before the sale of such products to customers could result in lower sales, increased warranty or replacement expenses, and reduced customer confidence, which could harm Dell Technologies’ operating results.</w:t>
      </w:r>
    </w:p>
    <w:p>
      <w:pPr>
        <w:spacing w:after="0" w:line="14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Cyber attacks or other security incidents that disrupt Dell Technologies’ operations or result in the breach or other compromise of proprietary or confidential information about Dell Technologies or Dell Technologies’ workforce, customers, or other third parties could disrupt Dell Technologies’ business, harm its reputation, cause Dell Technologies to lose clients and expose Dell Technologies to costly regulatory enforcement and litigation.</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Dell Technologies manages, stores, and otherwise processes various proprietary information and sensitive or confidential data relating to its operations. In addition, Dell Technologies’ businesses routinely process, store, and transmit large amounts of data, including sensitive and personally identifiable information, for Dell Technologies’ customers. Criminal or other actors may be able to penetrate Dell Technologies’ security and misappropriate or compromise Dell Technologies’ confidential information or that of third parties, create system disruptions or cause shutdowns. Dell Technologies may experience breaches or other compromises of its information technology systems. Dell reported in November 2018 that it had detected and disrupted unauthorized activity on its network attempting to extract Dell.com customer information. Further, hardware and operating system software and applications that Dell Technologies produces or procures from third parties may contain defects in design or manufacture, including “bugs” and other problems that could unexpectedly interfere with the operation of such systems.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costs to address the foregoing security problems and security vulnerabilities before or after a security incident could be significant. Remediation efforts may not be successful and could result in interruptions, delays, or cessation of service and loss of existing or potential customers that may impede Dell Technologies’ sales, manufacturing, distribution, or other critical functions. Dell Technologies could lose existing or potential customers for outsourcing services or other information technology solutions in connection with any actual or perceived security vulnerabilities in Dell Technologies’ products. In addition, breaches of Dell Technologies’ security measures and the unapproved dissemination of proprietary information or sensitive or confidential data about Dell Technologies, its customers, or other third parties could expose Dell Technologies, its customers or other third parties affected to a risk of loss or misuse of this information, result in regulatory enforcement, litigation and potential liability for Dell Technologies, damage Dell Technologies’ brand and reputation or otherwise harm Dell Technologies’ business. Further, Dell Technologies relies on third-party data management providers and other vendors whose possible security problems and security vulnerabilities may have similar effects on Dell Technologies.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Dell Technologies is subject to laws, rules, and regulations in the United States and other countries relating to the collection, use, and security of user and other data. Dell Technologies’ ability to execute transactions and to possess and use personal information and data in conducting its business subjects it to legislative and regulatory burdens that may require Dell Technologies to notify regulators and customers, employees, or other individuals of a security breach, including in the European Union under the EU General Data Protection Regulation. Dell Technologies has incurred, and will continue to incur, significant expenses to comply with mandatory privacy and security standards and protocols imposed by law, regulation, industry standards, or contractual obligations, but despite such expenditures may face regulatory and other legal actions in the event of a data breach or perceived or actual non-compliance with such requirements.</w:t>
      </w:r>
    </w:p>
    <w:p>
      <w:pPr>
        <w:spacing w:after="0" w:line="19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Dell Technologies may not successfully implement its acquisition strategy, which could result in unforeseen operating difficulties and increased costs.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Technologies makes strategic acquisitions of other companies as part of its growth strategy. Dell Technologies could experience unforeseen operating difficulties in assimilating or integrating the businesses, technologies, services, products, personnel, or operations of acquired companies, especially if Dell Technologies is unable to retain the key personnel of an acquired company. Further, future acquisitions may result in a delay or reduction of sales for both Dell Technologies and the acquired company because of customer uncertainty about the continuity and effectiveness of solutions offered by either company and may disrupt Dell Technologies’ existing business by diverting resources and significant management attention that otherwise would be focused on development of the existing business. Acquisitions also may negatively affect Dell Technologies’ relationships with strategic partners if the acquisitions are seen as bringing Dell Technologies into competition with such partners.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complete an acquisition, Dell Technologies may be required to use substantial amounts of cash, engage in equity or debt financings, or enter into credit agreements to secure additional funds. Such debt financings could involve restrictive covenants that might limit Dell Technologies’ capital-raising activities and operating flexibility. Further, an acquisition may negatively affect Dell Technologies’ results of operations because it may expose Dell Technologies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16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addition, Dell Technologies periodically divests businesses, including businesses that are no longer a part of its strategic plan. These divestitures similarly require significant investment of time and resources, may disrupt Dell Technologies’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Dell Technologies’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ability to generate substantial non-U.S. net revenue is subject to additional risks and uncertainties.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Sales outside the United States accounted for approximately half of Dell Technologies’ consolidated net revenue for Fiscal 2020. Dell Technologies’ future growth rates and success are substantially dependent on the continued growth of Dell Technologies’ business outside of the United States. Dell Technologies’ international operations face many risks and uncertainties, including varied local economic and labor conditions; political instability; public health issues, such as the outbreak of COVID-19;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Dell Technologies’ ability to conduct business in non-U.S. markets; tax laws (including U.S. taxes on foreign operations); potential theft or other compromise of our technology, data, or intellectual property; copyright levies; and foreign currency exchange rates. Dell Technologies’ international operations could suffer as a result of the withdrawal of the United Kingdom from the European Union, effective on January 31, 2020, commonly referred to as Brexit. The unsettled terms of the withdrawal, which are subject to negotiation during an 11-month transition period, have created significant uncertainty in areas currently regulated by European Union law, such as cross-border data transfers. Further, trade, immigration, and commercial regulation may be modified during the transition period or permanently as a result of Brexit. Dell Technologies could incur additional operating costs, or sustain supply chain disruptions, due to any such changes. Any of these factors could negatively affect Dell Technologies’ international business results and prospects for growth.</w:t>
      </w:r>
    </w:p>
    <w:p>
      <w:pPr>
        <w:spacing w:after="0" w:line="1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Dell Technologies’ profitability may be adversely affected by changes in the mix of products and services, customers, or geographic sales, and by seasonal sales trends.</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Dell Technologies’ overall profitability for any period may be adversely affected by changes in the mix of products and services, customers, or geographic markets reflected in sales for that period, and by seasonal trends. Profit margins vary among products, services, customers, and geographic markets. For instance, services offerings generally have a higher profit margin than consumer products. In addition, parts of Dell Technologies’ business are subject to seasonal sales trends. Among the trends with the most significant impact on Dell Technologies’ operating results, sales to government customers (particularly the U.S. federal government) are typically stronger in Dell Technologies’ third fiscal quarter, sales in Europe, the Middle East and Africa are often weaker in Dell Technologies’ third fiscal quarter, and sales to consumers are typically strongest during Dell Technologies’ fourth fiscal quarter.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may lose revenue opportunities and experience gross margin pressure if sales channel participants fail to perform as expected.</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Dell Technologies relies on third-party value-added resellers, system integrators, distributors, retailers, and other sales channels to complement its direct sales organization in order to reach more end-users globally. Future operating results depend on the performance of sales channel participants and on Dell Technologies’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Dell Technologies’ products causes channel participants to reduce their orders for these products. Further, some channel participants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may consider the expansion of Dell Technologies’ direct sales initiatives to conflict with their business interests as distributors or resellers of Dell Technologies’ products, which could lead them to reduce their investment in the distribution and sale of such products, or to cease all sales of Dell Technologies’ products.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financial performance could suffer from reduced access to the capital markets by Dell Technologies or some of its customers.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Dell Technologies may access debt and capital sources to provide financing for customers and to obtain funds for general corporate purposes, including working capital, acquisitions, capital expenditures, and funding of customer receivables. In addition, Dell Technologies maintains customer financing relationships with some companies that rely on access to the debt and capital markets to meet significant funding needs. Any inability of these companies to access such markets could compel Dell Technologies to self-fund transactions with such companies or to forgo customer financing opportunities, which could harm Dell Technologies’ financial performance. The debt and capital markets may experience extreme volatility and disruption from time to time in the future, which could result in higher credit spreads in such markets and higher funding costs for Dell Technologies. The spread of COVID-19 has led to disruption and volatility in the global capital markets, which increases the cost of capital and adversely impacts access to capital. Deterioration in Dell Technologies’ business performance, a credit rating downgrade, volatility in the securitization markets, changes in financial services regulation, or adverse changes in the economy could lead to reductions in the availability of debt financing. In addition, these events could limit Dell Technologies’ ability to continue asset securitizations or other forms of financing from debt or capital sources, reduce the amount of financing receivables that Dell Technologies originates, or negatively affect the costs or terms on which Dell Technologies may be able to obtain capital. Any of these developments could adversely affect Dell Technologies’ net revenue, profitability, and cash flows.</w:t>
      </w:r>
    </w:p>
    <w:p>
      <w:pPr>
        <w:spacing w:after="0" w:line="16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If the value of goodwill or intangible assets is materially impaired, our results of operations and financial condition could be materially and adversely affected.</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January 31, 2020, goodwill and intangible assets, net had a combined carrying value of $59.8 billion, representing approximately 50%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and additional regulation could harm Dell Technologies’ financial services activities.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Dell Technologies’ financial services activities are negatively affected by adverse economic conditions that contribute to loan delinquencies and defaults. An increase in loan delinquencies and defaults would result in greater net credit losses, which may require Dell Technologies to increase its reserves for customer receivables.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the implementation of new financial services regulation, or the application of existing financial services regulation, in countries where Dell Technologies expands its financial services and related supporting activities, could unfavorably affect the profitability and cash flows of Dell Technologies’ consumer financing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is subject to counterparty default risks.</w:t>
      </w:r>
    </w:p>
    <w:p>
      <w:pPr>
        <w:spacing w:after="0" w:line="22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Dell Technologies has numerous arrangements with financial institutions that include cash and investment deposits, interest rate swap contracts, foreign currency option contracts, and forward contracts. As a result, Dell Technologies is subject to the risk that the counterparty to one or more of these arrangements will default, either voluntarily or involuntarily, on its performance under the terms of the arrangement. In times of market distress, a counterparty may default rapidly and without notice, and Dell Technologies may be unable to take action to cover its exposure, either because of lack of contractual ability to do so or because market conditions make it difficult to take effective action. If one of Dell Technologies’ counterparties becomes insolvent or files for bankruptcy, Dell Technologies’ ability eventually to recover any losses suffered as a result of that counterparty’s default may be limited by the impaired liquidity of the counterparty or the applicable legal regime governing the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bankruptcy proceeding. In the event of such a default, Dell Technologies could incur significant losses, which could harm Dell Technologies’ business and adversely affect its results of operations and financial condition.</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Dell Technologies’ performance and business could suffer if its contracts for ISG services and solutions fail to produce revenue at expected levels due to exercise of customer rights under the contracts, inaccurate estimation of costs, or customer defaults in payment.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Dell Technologies offers its ISG customers a range of consumption models for its services and solutions, including as-a-service, utility, leases, or immediate pay models, all designed to match customers’ consumption preferences. These solutions are generally multi-year agreements that typically result in recurring revenue streams over the term of the arrangement. Dell Technologies’ financial results and growth depend, in part, on its customers continuing to purchase its services and solutions over the contract life on the agreed terms. The contracts allow customers to take actions that may adversely affect Dell Technologies’ recurring revenue and profitability. These actions include terminating a contract if Dell Technologies’ performance does not meet specified services levels, requesting rate reductions, reducing the use of Dell Technologies’ services and solutions or terminating a contract early upon payment of agreed fees. In addition, Dell Technologies estimates the costs of delivering the services and solutions at the outset of the contract. If Dell Technologies fails to estimate such costs accurately and actual costs significantly exceed estimates, Dell Technologies may incur losses on the contracts. Dell Technologies also is subject to the risk of loss under its contracts as a result of a default, voluntarily or involuntarily, in payment by the customer, whether because of financial weakness or other reasons.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government contracts could harm Dell Technologies’ business.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Dell Technologies’ products and services. In addition, if Dell Technologies violates legal or regulatory requirements, the applicable government could suspend or disbar Dell Technologies as a contractor, which would unfavorably affect Dell Technologies’ net revenue and profitability.</w:t>
      </w:r>
    </w:p>
    <w:p>
      <w:pPr>
        <w:spacing w:after="0" w:line="17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Dell Technologies’ business could suffer if Dell Technologies does not develop and protect its proprietary intellectual property or obtain or protect licenses to intellectual property developed by others on commercially reasonable and competitive terms.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Dell Technologies or its suppliers are unable to develop or protect desirable technology or technology licenses, Dell Technologies may be prevented from marketing products, may have to market products without desirable features, or may incur substantial costs to redesign products. Dell Technologies also may have to defend or enforce legal actions or pay damages if Dell Technologies is found to have violated the intellectual property of other parties. Although Dell Technologies’ suppliers might be contractually obligated to obtain or protect such licenses and indemnify Dell Technologies against related expenses, those suppliers could be unable to meet their obligations. Dell Technologies invests in research and development and obtains additional intellectual property through acquisitions, but those activities do not guarantee that Dell Technologies will develop or obtain intellectual property necessary for profitable operations. Costs involved in developing and protecting rights in intellectual property may have a negative impact on Dell Technologies’ business. In addition, Dell Technologies’ operating costs could increase because of copyright levies or similar fees by rights holders and collection agencies in European and other countries.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disruptions could harm Dell Technologies’ business.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Dell Technologies depends on its information technology and manufacturing infrastructure to achieve its business objectives. Natural disasters, manufacturing failures, telecommunications system failures, or defective or improperly installed new or upgraded business management systems could lead to disruptions in this infrastructure. Portions of Dell Technologies’ IT infrastructure also may experience interruptions, delays, or cessations of service, or produce errors in connection with systems integration or migration work. Such disruptions may adversely affect Dell Technologies’ ability to receive or process orders, manufacture and ship products in a timely manner or otherwise conduct business in the normal course. Further, portions of Dell Technologies’ services business involve the processing, storage, and transmission of data, which also would be negatively affected by such an event. Disruptions in Dell Technologies’ infrastructure could lead to loss of customers and revenue,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particularly during a period of heavy demand for Dell Technologies’ products and services. Dell Technologies also could incur significant expense in repairing system damage and taking other remedial measures.</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Failure to hedge effectively Dell Technologies’ exposure to fluctuations in foreign currency exchange rates and interest rates could adversely affect Dell Technologies’ financial condition and results of operations.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Dell Technologies utilizes derivative instruments to hedge its exposure to fluctuations in foreign currency exchange rates and interest rates. Some of these instruments and contracts may involve elements of market and credit risk in excess of the amounts recognized in Dell Technologies’ financial statements. Global economic events, including trade disputes, economic sanctions and emerging market volatility, and associated uncertainty may cause currencies to fluctuate, which may contribute to variations in Dell Technologies’ sales of products and services in various jurisdictions. If Dell Technologies is not successful in monitoring its foreign exchange exposures and conducting an effective hedging program, Dell Technologies’ foreign currency hedging activities may not offset the impact of fluctuations in currency exchange rates on its future results of operations and financial position.</w:t>
      </w:r>
    </w:p>
    <w:p>
      <w:pPr>
        <w:spacing w:after="0" w:line="160"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Adverse legislative or regulatory tax changes, the expiration of tax holidays or favorable tax rate structures, or unfavorable outcomes in tax audits and other tax compliance matters could result in an increase in Dell Technologies’ tax expense or its effective income tax rate.</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Changes in tax laws (including any future Treasury notices or regulations related to the Tax Cuts and Jobs Act that was signed into law on December 22, 2017) could adversely affect Dell Technologies’ operations and profitability. In recent years, numerous legislative, judicial, and administrative changes have been made to tax laws applicable to Dell Technologies and companies similar to Dell Technologies. The Organisation for Economic Co-operation and Development (the “OECD”), an international association of 36 countries, including the United States, has issued guidelines that change long-standing tax principles. This may introduce tax uncertainty as countries amend their tax laws to adopt certain parts of the OECD guidelines. Additional changes to tax laws are likely to occur, and such changes may adversely affect Dell Technologies’ tax liability.</w:t>
      </w:r>
    </w:p>
    <w:p>
      <w:pPr>
        <w:spacing w:after="0" w:line="17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Portions of Dell Technologies’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Dell Technologies fails to satisfy the conditions of the reduced tax rate, its effective tax rate would be affected. Dell Technologies’ effective tax rate also could be impacted if Dell Technologies’ geographic sales mix changes. In addition, any actions by Dell Technologies to repatriate non-U.S. earnings for which it has not previously provided for U.S. taxes may affect the effective tax rate.</w:t>
      </w:r>
    </w:p>
    <w:p>
      <w:pPr>
        <w:spacing w:after="0" w:line="176"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Dell Technologies is continually under audit in various tax jurisdictions. Dell Technologies may not be successful in resolving potential tax claims that arise from these audits. An unfavorable outcome in certain of these matters could result in a substantial increase in Dell Technologies’ tax expense. In addition, Dell Technologies’ provision for income taxes could be adversely affected by changes in the valuation of deferred tax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profitability could suffer from any impairment of its portfolio investments.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Dell Technologies invests a significant portion of its available funds in a portfolio consisting primarily of debt securities of various types and maturities pending the deployment of these funds in Dell Technologies’ business. Dell Technologies’ earnings performance could suffer from any impairment of its investments. Dell Technologies’ portfolio securities generally are classified as available-for-sale and are recorded in Dell Technologies’ financial statements at fair value. If any such investments experience declines in market price and it is determined that such declines are other than temporary, Dell Technologies may have to recognize in earnings the decline in the fair market value of such investments below their cost or carrying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legal proceedings could harm Dell Technologies’ business and result in substantial costs.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Dell Technologies is involved in various claims, suits, investigations, and legal proceedings that arise from time to time in the ordinary course of business, as well as those that arose in connection with the Class V transaction, including those described elsewhere in this report. Additional legal claims or regulatory matters affecting Dell Technologies and its subsidiaries may arise in the future and could involve stockholder, consumer, regulatory, compliance, intellectual property, antitrust, tax, and other issues on a global basis. Litigation is inherently unpredictable. Regardless of the merits of the claims, litigation may be both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time-consuming and disruptive to Dell Technologies’ business. Dell Technologies could incur judgments or enter into settlements of claims that could adversely affect its operating results or cash flows in a particular period. In addition, Dell Technologies’ business, operating results, and financial condition could be adversely affected if any infringement or other intellectual property claim made against it by any third party is successful, or if Dell Technologies fails to develop non-infringing technology or license the proprietary rights on commercially reasonable terms and conditions.</w:t>
      </w:r>
    </w:p>
    <w:p>
      <w:pPr>
        <w:spacing w:after="0" w:line="16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Compliance requirements of current or future environmental and safety laws, or other laws, may increase costs, expose Dell Technologies to potential liability and otherwise harm Dell Technologies’ business.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Dell Technologies’ operations are subject to environmental and safety regulations in all areas in which Dell Technologies conducts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Dell Technologies fails to comply with applicable rules and regulations regarding the transportation, source, use, and sale of such regulated substances, Dell Technologies could be subject to liability. The costs and timing of costs under environmental and safety laws are difficult to predict, but could have an adverse impact on Dell Technologies’ business.</w:t>
      </w:r>
    </w:p>
    <w:p>
      <w:pPr>
        <w:spacing w:after="0" w:line="16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Dell Technologies and its subsidiaries are subject to various anti-corruption laws that prohibit improper payments or offers of payments to foreign governments and their officials for the purpose of obtaining or retaining business, and are also subject to export controls, customs, economic sanctions laws, and embargoes imposed by the U.S. government. Violations of the Foreign Corrupt Practices Act or other anti-corruption laws or export control, customs, or economic sanctions laws may result in severe criminal or civil sanctions and penalties, and Dell Technologies and its subsidiaries may be subject to other liabilities which could have a material adverse effect on their business, results of operations, and financial condition.</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Dell Technologies also is subject to provisions of the Dodd-Frank Wall Street Reform and Consumer Protection Act intended to improve transparency and accountability concerning the supply of minerals originating from the conflict zones of the Democratic Republic of Congo or adjoining countries. Dell Technologies incurs costs to comply with the disclosure requirements of this law and other costs relating to the sourcing and availability of minerals used in Dell Technologies’ products. Further, Dell Technologies may face reputational harm if its customers or other Dell Technologies stakeholders conclude that Dell Technologies is unable to sufficiently verify the origins of the minerals used in its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Armed hostilities, terrorism, natural disasters, climate change, or public health issues could harm Dell Technologies’ business.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Armed hostilities, terrorism, natural disasters, climate change or public health issues, such as the outbreak of COVID-19, whether in the United States or in other countries, could cause damage or disruption to Dell Technologies or Dell Technologies’ suppliers and customers, or could create political or economic instability, any of which could harm Dell Technologies’ business. For example, the earthquake and tsunami in Japan and severe flooding in Thailand which occurred during fiscal year 2012 caused damage to infrastructure and factories that disrupted the supply chain for a variety of components used in Dell’s products. Any such future events could cause a decrease in demand for Dell Technologies’ products, make it difficult or impossible to deliver products or for suppliers to deliver components, and create delays and inefficiencies in Dell Technologies’ supply chain.</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long-term effects of climate change on the technology industry and the global economy are unclear. Climate change could result in certain types of natural disasters occurring more frequently or with more intensity. Such events could affect Dell Technologies’ ability to provide its services and solutions to its customers and could result in reductions in sales, earnings, or productivity resulting from such potential impacts as production delays or limitations, adverse effects on distributors, supply chain disruptions, and reduced access to facilities.</w:t>
      </w:r>
    </w:p>
    <w:p>
      <w:pPr>
        <w:spacing w:after="0" w:line="16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Dell Technologies is highly dependent on the services of Michael S. Dell, its Chief Executive Officer, and its success depends on the ability to attract, retain, and motivate key employees.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Dell Technologies is highly dependent on the services of Michael S. Dell, its Chief Executive Officer and largest stockholder. If Dell Technologies loses the services of Mr. Dell, Dell Technologies may not be able to locate a suitable or qualified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replacement, and Dell Technologies may incur additional expenses to recruit a replacement, which could severely disrupt Dell Technologies’ business and growth. Further, Dell Technologies relies on key personnel, including other members of its executive leadership team, to support its business and increasingly complex product and services offerings. Dell Technologies may not be able to attract, retain, and motivate the key professional, technical, marketing, and staff resources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substantial level of indebtedness could adversely affect its financial condition.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Dell Technologies and its subsidiaries have a substantial amount of indebtedness, which requires significant interest and other debt service payments. As of January 31, 2020, Dell Technologies and its subsidiaries had approximately $52.7 billion aggregate principal amount of indebtedness. As of the same date, Dell Technologies and its subsidiaries also had an additional $6.0 billion available for borrowing under its revolving credit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substantial level of indebtedness could have important consequences, including the following:</w:t>
      </w:r>
    </w:p>
    <w:p>
      <w:pPr>
        <w:spacing w:after="0" w:line="225" w:lineRule="exact"/>
        <w:rPr>
          <w:sz w:val="20"/>
          <w:szCs w:val="20"/>
          <w:color w:val="auto"/>
        </w:rPr>
      </w:pPr>
    </w:p>
    <w:p>
      <w:pPr>
        <w:ind w:left="660" w:right="4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Dell Technologies must use a substantial portion of its cash flow from operations to pay interest and principal on its senior credit facilities, its senior secured and senior unsecured notes, and its other indebtedness, which reduces funds available to Dell Technologies for other purposes such as working capital, capital expenditures, other general corporate purposes, and potential acquisitions;</w:t>
      </w:r>
    </w:p>
    <w:p>
      <w:pPr>
        <w:spacing w:after="0" w:line="165"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Technologies’ ability to refinance such indebtedness or to obtain additional financing for working capital, capital expenditures, acquisitions, or other general corporate purposes may be impaired;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Dell Technologies is exposed to fluctuations in interest rates because Dell Technologies’ senior credit facilities have variable rates of interest;</w:t>
      </w:r>
    </w:p>
    <w:p>
      <w:pPr>
        <w:spacing w:after="0" w:line="248" w:lineRule="exact"/>
        <w:rPr>
          <w:rFonts w:ascii="Arial" w:cs="Arial" w:eastAsia="Arial" w:hAnsi="Arial"/>
          <w:sz w:val="16"/>
          <w:szCs w:val="16"/>
          <w:color w:val="auto"/>
        </w:rPr>
      </w:pPr>
    </w:p>
    <w:p>
      <w:pPr>
        <w:ind w:left="660" w:right="20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Dell Technologies’ level of indebtedness may be greater than that of some of its competitors, which may put Dell Technologies at a competitive disadvantage and reduce Dell Technologies’ flexibility in responding to current and changing industry and financial market conditions; and</w:t>
      </w:r>
    </w:p>
    <w:p>
      <w:pPr>
        <w:spacing w:after="0" w:line="123" w:lineRule="exact"/>
        <w:rPr>
          <w:rFonts w:ascii="Arial" w:cs="Arial" w:eastAsia="Arial" w:hAnsi="Arial"/>
          <w:sz w:val="16"/>
          <w:szCs w:val="16"/>
          <w:color w:val="auto"/>
        </w:rPr>
      </w:pPr>
    </w:p>
    <w:p>
      <w:pPr>
        <w:ind w:left="660" w:right="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Technologies may be unable to comply with financial and other restrictive covenants in its senior credit facilities, its senior notes, and other indebtedness that limit Dell Technologies’ ability to incur additional debt, make investments and sell assets, which could result in an event of default that, if not cured or waived, would have an adverse effect on Dell Technologies’ business and prospects and could force it into bankruptcy or liquidation.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Dell Technologies and its subsidiaries may be able to incur substantial additional indebtedness in the future, subject to the restrictions contained in Dell Technologies’ and its subsidiaries’ credit facilities and the indentures that govern the senior notes. If new indebtedness is added to the debt levels of Dell Technologies and its subsidiaries, the related risks that Dell Technologies now faces could intensify. Dell Technologies’ ability to access additional funding under its revolving credit facilities will depend upon, among other factors, the absence of a default under any such facility, including any default arising from a failure to comply with the related covenants. If Dell Technologies is unable to comply with its covenants under its revolving credit facilities, Dell Technologies’ liquidity may be adversely affected.</w:t>
      </w:r>
    </w:p>
    <w:p>
      <w:pPr>
        <w:spacing w:after="0" w:line="1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From time to time, when it believes it is advantageous to do so, Dell Technologies may seek to reduce its leverage by repaying certain of its indebtedness before the maturity dates of such indebtedness. Dell Technologies may be unable to generate operating cash flows and other cash necessary to achieve a level of debt reduction that will significantly enhance its credit quality and reduce the risks associated with its substantial indebtedness.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January 31, 2020, approximately $15.9 billion of Dell Technologies’ debt was variable-rate indebtedness and a 100 basis point increase in interest rates would have resulted in an increase of approximately $160 million in annual interest expense on such indebtedness. Dell Technologies’ ability to meet its expenses, to remain in compliance with its covenants under its debt instruments and to make future principal and interest payments in respect of its indebtedness depends on, among other factors, Dell Technologies’ operating performance, competitive developments, and financial market conditions, all of which are significantly affected by financial, business, economic, and other factors. Dell Technologies is not able to control many of these factors. Given current industry and economic conditions, Dell Technologies’ cash flow may not be sufficient to allow Dell Technologies to pay principal and interest on its debt and meet its other obligations.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Dell Technologies’ current outstanding variable-rate indebtedness uses the London Interbank Offered Rate (“LIBOR”) as a benchmark for establishing the interest rate. LIBOR is the subject of recent national, international, and other regulatory guidance and proposals for reform. These reforms may cause LIBOR to be eliminated entirely after 2021 or to perform differently than in the past. Reasonable alternatives to LIBOR may be created and implemented prior to the 2021 target date. Fallback provisions are being written into LIBOR-based contracts in an attempt to reduce the risk of sudden and unpredictable increases in the cost of outstanding variable-rate indebtedness. Dell Technologies, however, cannot predict the timing of these developments or their impact on its indebtedness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performance of Dell Technologies is affected by the financial performance of VMware, Inc.</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Dell Technologies consolidates the financial results of VMware, Inc., a publicly traded subsidiary, in its results of operations. As a result, Dell Technologies’ financial performance is affected by the financial performance of VMware, Inc. VMware, Inc.’s financial performance may be affected by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demand, adoption rates, sales cycles, and pricing levels for VMware, Inc.’s product and solutions offerings;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customer choices among VMware, Inc.’s on-premises and subscription and software-as-a-service (“SaaS”) offerings, which can impact VMware, Inc.’s rates of total revenue and license revenue growth;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customers’ budgets for information technology purchases and in the timing of its purchasing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administrative, and regulatory proceedings, claims, demands, and investigations relating to VMware Inc.’s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announcements or releases of new or upgraded products and solutions by VMware, Inc. or by its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size of business realignment plans and restructuring charges;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Inc.’s ability to maintain scalable internal systems for reporting, order processing, license fulfillment, product delivery, purchasing, billing, and general accounting, among other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Inc.’s ability to control costs, including its operating expenses;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risks of VMware, Inc.’s distributors, who account for a significant portion of VMware, Inc.’s product revenues and accounts receivable, and VMware, Inc.’s customers;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when sales orders are processed, which can cause fluctuations in VMware, Inc.’s backlog and impact VMware, Inc.’s sales and timing of revenue recognition;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seasonal factors, such as the end of fiscal period budget expenditures by VMware, Inc.’s customers and the timing of holiday and vacation periods;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renewal rates and the amounts of the renewals for enterprise agreements, as the original terms of such agreements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internally developed software development costs that may be capitalized;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unplanned events that could affect market perception of the quality or cost-effectiveness of VMware, Inc.’s products and solutions;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volatility in the provision for income taxes in periods where transfers of intellectual property between VMware, Inc.’s legal entities occur;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480" w:hanging="328"/>
        <w:spacing w:after="0" w:line="223"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VMware, Inc.’s ability to predict accurately the degree to which customers will elect to purchase its subscription</w:t>
      </w:r>
      <w:r>
        <w:rPr>
          <w:rFonts w:ascii="MS PGothic" w:cs="MS PGothic" w:eastAsia="MS PGothic" w:hAnsi="MS PGothic"/>
          <w:sz w:val="18"/>
          <w:szCs w:val="18"/>
          <w:color w:val="auto"/>
        </w:rPr>
        <w:t>‑</w:t>
      </w:r>
      <w:r>
        <w:rPr>
          <w:rFonts w:ascii="Arial" w:cs="Arial" w:eastAsia="Arial" w:hAnsi="Arial"/>
          <w:sz w:val="18"/>
          <w:szCs w:val="18"/>
          <w:color w:val="auto"/>
        </w:rPr>
        <w:t>based offerings in place of licenses to its on</w:t>
      </w:r>
      <w:r>
        <w:rPr>
          <w:rFonts w:ascii="MS PGothic" w:cs="MS PGothic" w:eastAsia="MS PGothic" w:hAnsi="MS PGothic"/>
          <w:sz w:val="18"/>
          <w:szCs w:val="18"/>
          <w:color w:val="auto"/>
        </w:rPr>
        <w:t>‑</w:t>
      </w:r>
      <w:r>
        <w:rPr>
          <w:rFonts w:ascii="Arial" w:cs="Arial" w:eastAsia="Arial" w:hAnsi="Arial"/>
          <w:sz w:val="18"/>
          <w:szCs w:val="18"/>
          <w:color w:val="auto"/>
        </w:rPr>
        <w:t>premises offerings.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Class C Common Stock</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price of Dell Technologies’ Class C Common Stock may be volatile, which could cause the value of an investment in the Class C Common Stock to decline.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trading prices of the securities of technology companies historically have experienced high levels of volatility. The trading price of Dell Technologies’ Class C Common Stock may fluctuate substantially as a result of the following factors, among others:</w:t>
      </w:r>
    </w:p>
    <w:p>
      <w:pPr>
        <w:spacing w:after="0" w:line="170" w:lineRule="exact"/>
        <w:rPr>
          <w:sz w:val="20"/>
          <w:szCs w:val="20"/>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products, services or technologies, commercial relationships, acquisitions, or other events by Dell Technologies or its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how customers perceive the effectiveness of Dell Technologies’ products, services,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Dell Technologies’ quarterly or annual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Dell Technologies’ financial guidance or estimates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information technology industry in particular;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trading volume of the Class C Common Stock or the size of the trading market for the Class C Common Stock held by non-affiliates;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involving Dell Technologies, its industry, or both, including disputes or other developments relating to Dell Technologies’ ability to obtain patent protection for its processes and technologies and to protect its other proprietary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 in which Dell Technologies operates;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factors, including market conditions in Dell Technologies’ industry or the industries of its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large blocks of the Class C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employees.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the market for stock of companies in the technology industry or the stock market in general experiences a loss of investor confidence, the trading price of the Class C Common Stock could decline for reasons unrelated to Dell Technologies’ business, results of operations, or financial condition. The market price of the Class C Common Stock also might decline in reaction to events that affect other companies in Dell Technologies’ industry, even if these events do not directly affect Dell Technologies.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often has been brought against that company. If Dell Technologies’ stock price is volatile, Dell Technologies may become the target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of securities litigation, which could cause it to incur substantial costs and divert its management’s attention and resources from Dell Technologies’ business.</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securities or industry analysts publish inaccurate or unfavorable research reports or cease to publish research reports about Dell Technologies and its business or prospects, the market price or trading volume of the Class C Common Stock could decline.</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trading market for the Class C Common Stock depends in part on the research and reports that securities or industry analysts publish about Dell Technologies and its business or prospects. Dell Technologies does not have any control over these analysts. If one or more of the analysts covering Dell Technologies downgrades the Class C Common Stock, expresses an adverse change of opinion regarding the Class C Common Stock or publishes inaccurate research about Dell Technologies, the market price of the Class C Common Stock could decline. If one or more of these analysts cease coverage of Dell Technologies or fail to publish reports on it on a regular basis, Dell Technologies could lose following in the financial markets, which could cause the market price or trading volume of the Class C Common Stock to decline.</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Dell Technologies’ multi-class common stock structure with different voting rights may adversely affect the trading price of the Class C Common Stock.</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share of Dell Technologies’ Class A Common Stock and each share of Dell Technologies’ Class B Common Stock has ten votes, while each share of Dell Technologies’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94.8% of the total voting power of Dell Technologies’ outstanding common stock as of January 31, 2020. The limited ability of holders of the Class C Common Stock to influence matters requiring stockholder approval may adversely affect the market price of the Class C Common Stock.</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in 2017, FTSE Russell and S&amp;P Dow Jones changed their eligibility criteria to exclude new companies with multiple classes of shares of common stock from being added to certain stock indices. FTSE Russell instituted a requirement that new and, beginning in September 2022, existing constituents of its indices have greater than 5% of their voting rights in the hands of public stockholders, as calculated by FTSE Russell, whereas S&amp;P Dow Jones announced that companies with multiple share classes, such as Dell Technologies, will not be eligible for inclusion in the S&amp;P 500, S&amp;P MidCap 400, and S&amp;P SmallCap 600, which together make up the S&amp;P Composite 1500. Other major stock indices might adopt similar requirements in the future. FTSE Russell has published an indicative list of companies affected by its policy, including its analysis of the percentage of each company’s voting rights in the hands of public stockholders. FTSE Russell’s calculation, in accordance with its analysis, of Dell Technologies’ voting rights in the hands of public stockholders, was approximately 11.5%, as disclosed in this indicative list. FTSE Russell’s determination may change at any time. Under the current criteria, at a minimum, Dell Technologies’ multi-class capital structure makes it ineligible for inclusion in the S&amp;P Dow Jones indices, including those making up the S&amp;P composite 1500, and, as a result, mutual funds, exchange-traded funds, and other investment vehicles that track these indices will not invest in the Class C Common Stock. It is unclear what effect, if any, exclusion from any indices will have on the valuations of the affected publicly-traded companies. It is possible that such policies may depress the valuations of public companies excluded from such indices compared to valuations of companies that are included.</w:t>
      </w:r>
    </w:p>
    <w:p>
      <w:pPr>
        <w:spacing w:after="0" w:line="18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Future sales, or the perception of future sales, of a substantial amount of shares of the Class C Common Stock could depress the trading price of the Class C Common Stock.</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Dell Technologies’ ability to sell equity securities in the future at a time and at a price Dell Technologies deems appropriate, and Dell Technologies’ ability to use Class C Common Stock as consideration for acquisitions of other businesses, investments, or other corporate purposes. As of January 31, 2020, Dell Technologies had a total of approximately 256 million shares of Class C Common Stock outstanding.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January 31, 2020, the 383,724,977 outstanding shares of Class A Common Stock held by the MD stockholders and the 101,685,217 outstanding shares of Class B Common Stock held by the SLP stockholders were convertible into shares of Class C Common Stock at any time on a one-to-one basis. Although the MD stockholders and the SLP stockholders generally were subject to agreements that restrict their sale or other transfer of common stock until June 27, 2021, thereafter such shares, upon any conversion into shares of Class C Common Stock, are eligible for resale in the public market pursuant to Rule 144 under the Securities Act, subject to volume, manner of sale, and other limitations under Rule 144.</w:t>
      </w:r>
    </w:p>
    <w:p>
      <w:pPr>
        <w:spacing w:after="0" w:line="17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addition, as of January 31, 2020, Dell Technologies had entered into a registration rights agreement with holders of 383,725,930 outstanding shares of Class A Common Stock (which are convertible into shares of Class C Common Stock), holders of all of the 101,685,217 outstanding shares of Class B Common Stock (which are convertible into shares of Class C Common Stock), and holders of 15,605,712 outstanding shares of Class C Common Stock, pursuant to which Dell Technologies has granted such holders and their permitted transferees shelf, demand and/or piggyback registration rights with respect to such shares. Registration of those shares under the Securities Act would permit such holders to sell the shares into the public market.</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 as of January 31, 2020, Dell Technologies had 32,885,130 shares of Class C Common Stock that may be issued upon the exercise, vesting, or settlement of outstanding stock options, restricted stock units, or deferred stock units under Dell Technologies’ stock incentive plans, all of which would have been, upon issuance, eligible for sale in the public market, subject where applicable to expiration or waiver of contractual transfer restrictions, and an additional 54,501,375 shares of Class C Common Stock that have been authorized and reserved for issuance pursuant to potential future awards under the stock incentive plans. Dell Technologies also may issue additional stock options in the future that may be exercised for additional shares of Class C Common Stock and additional restricted stock units or deferred stock units that may vest. Dell Technologies expects that all shares of Class C Common Stock issuable with respect to such awards will be registered under one or more registration statements on Form S-8 under the Securities Act and available for sale in the open market.</w:t>
      </w:r>
    </w:p>
    <w:p>
      <w:pPr>
        <w:spacing w:after="0" w:line="18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Dell Technologies’ issuance of additional Class C Common Stock in connection with financings, acquisitions, investments, its stock incentive plans, or otherwise will dilute all other stockholders.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Dell Technologies certificate of incorporation authorizes Dell Technologies to issue up to 7,900,000,000 shares of Class C Common Stock and up to 1,000,000 shares of preferred stock with such rights and preferences as may be determined by Dell Technologies’ board of directors. Subject to compliance with applicable law, Dell Technologies may issue shares of Class C Common Stock or securities convertible into Class C Common Stock from time to time in connection with financings, acquisitions, investments, Dell Technologies’ stock incentive plans, or otherwise. Dell Technologies may issue additional shares of Class C Common Stock from time to time at a discount to the market price of the Class C Common Stock at the time of issuance. Any issuance of Class C Common Stock could result in substantial dilution to Dell Technologies’ existing stockholders and cause the market price of the Class C Common Stock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does not presently intend to pay cash dividends on the Class C Common Stock.</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Dell Technologies does not presently intend to pay cash dividends on the Class C Common Stock. Accordingly, investors may have to rely on sales of the Class C Common Stock after price appreciation, which may never occur, as the only way to realize any gains on their investment in the Class C Common Stock.</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Dell Technologies’ operations are conducted almost entirely through its subsidiaries and its ability to generate cash to make future dividend payments, if any, is highly dependent on the cash flows and the receipt of funds from its subsidiaries via dividends or intercompany loans. To the extent that Dell Technologies determines in the future to pay dividends on the Class C Common Stock, the terms of existing and future agreements governing Dell Technologies’ or its subsidiaries’ indebtedness, including the existing credit facilities of, and existing senior notes issued by, subsidiaries of Dell Technologies, may significantly restrict the ability of Dell Technologies’ subsidiaries to pay dividends or otherwise make distributions or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Provisions of Dell Technologies’ organizational documents and Delaware law may make it difficult for a third party to acquire Dell Technologies even if doing so may be beneficial to Dell Technologies’ stockholders.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provisions of Dell Technologies’ certificate of incorporation and bylaws may discourage, delay, or prevent a change in control of Dell Technologies that a stockholder may consider favorable. These provisions include:</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advance notice requirements for nominations of candidates for election to the board of directors and for proposals for other businesses;</w:t>
      </w:r>
    </w:p>
    <w:p>
      <w:pPr>
        <w:spacing w:after="0" w:line="236" w:lineRule="exact"/>
        <w:rPr>
          <w:rFonts w:ascii="Arial" w:cs="Arial" w:eastAsia="Arial" w:hAnsi="Arial"/>
          <w:sz w:val="17"/>
          <w:szCs w:val="17"/>
          <w:color w:val="auto"/>
        </w:rPr>
      </w:pPr>
    </w:p>
    <w:p>
      <w:pPr>
        <w:ind w:left="660" w:right="30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authorization of 1,000,000 shares of “blank check” preferred stock, which could be issued by the board of directors without approval of the holders of the common stock to persons friendly to Dell Technologies’ management, thereby protecting the continuity of Dell Technologies’ management, or which could be used to dilute the stock ownership of persons seeking to obtain control of Dell Technologies;</w:t>
      </w:r>
    </w:p>
    <w:p>
      <w:pPr>
        <w:spacing w:after="0" w:line="148" w:lineRule="exact"/>
        <w:rPr>
          <w:rFonts w:ascii="Arial" w:cs="Arial" w:eastAsia="Arial" w:hAnsi="Arial"/>
          <w:sz w:val="16"/>
          <w:szCs w:val="16"/>
          <w:color w:val="auto"/>
        </w:rPr>
      </w:pPr>
    </w:p>
    <w:p>
      <w:pPr>
        <w:ind w:left="660" w:right="1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requirement that any stockholder written consent be signed by holders of a majority of Dell Technologies’ common stock beneficially owned by the MD stockholders and holders of a majority of Dell Technologies’ common stock beneficially owned by the SLP stockholders; and</w:t>
      </w:r>
    </w:p>
    <w:p>
      <w:pPr>
        <w:spacing w:after="0" w:line="123" w:lineRule="exact"/>
        <w:rPr>
          <w:rFonts w:ascii="Arial" w:cs="Arial" w:eastAsia="Arial" w:hAnsi="Arial"/>
          <w:sz w:val="16"/>
          <w:szCs w:val="16"/>
          <w:color w:val="auto"/>
        </w:rPr>
      </w:pPr>
    </w:p>
    <w:p>
      <w:pPr>
        <w:jc w:val="both"/>
        <w:ind w:left="660" w:right="2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(1) the holders of the Class A Common Stock, voting separately as a series, (2) the holders of the Class B Common Stock, voting separately as a series, and (3) the MD stockholders and SLP stockholders, in each case, so long as they own any common stock, approve amendments to certain provisions of Dell Technologies’ certificate of incorporation, including provisions related to authorized capital stock and the size and structure of the board of directors.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Further, as a Delaware corporation, Dell Technologies is subject to provisions of Delaware law that may deter a takeover attempt that its stockholders may find beneficial. These anti-takeover provisions and other provisions under Delaware law could discourage, delay, or prevent a transaction involving a change in control of Dell Technologies, including actions that its stockholders may deem advantageous, or negatively affect the trading price of its common stock, including the Class C Common Stock. These provisions also could discourage proxy contests and make it more difficult for Dell Technologies’ stockholders to elect directors of their choosing and to cause Dell Technologies to take other corporate actions that may be supported by its stockholders.</w:t>
      </w:r>
    </w:p>
    <w:p>
      <w:pPr>
        <w:spacing w:after="0" w:line="15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Dell Technologies is controlled by the MD stockholders, who, together with the SLP stockholders, collectively own a substantial majority of Dell Technologies’ common stock.</w:t>
      </w:r>
    </w:p>
    <w:p>
      <w:pPr>
        <w:spacing w:after="0" w:line="16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By reason of their ownership of Class A Common Stock possessing a majority of the aggregate votes entitled to be cast by holders of all outstanding shares of Dell Technologies’ common stock voting together as a single class, the MD stockholders have the ability to approve any matter submitted to the vote of all of the outstanding shares of the common stock voting together as a single class.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 their control of Dell Technologies, the MD stockholders are able to control actions to be taken by Dell Technologies, including actions related to the election of directors of Dell Technologies and its subsidiaries (including VMware, Inc. and its subsidiaries), amendments to Dell Technologies’ organizational documents, and the approval of significant corporate transactions, including mergers and sales of substantially all of Dell Technologies’ assets. For example, although the Dell Technologies bylaws provide that the number of directors will be fixed by resolution of the board of directors, the stockholders of Dell Technologies may adopt, amend, or repeal the bylaws in accordance with the Delaware General Corporation Law. Through their control of Dell Technologies, the MD stockholders therefore may amend the bylaws to change the number of directors (within the limits of the certificate of incorporation), notwithstanding any determination by the board of directors regarding board size.</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Further, as of January 31, 2020, the MD stockholders and the SLP stockholders collectively beneficially owned 65.4% of Dell Technologies’ outstanding common stock. This concentration of ownership together with the disparate voting rights of Dell Technologies’ common stock may delay or deter possible changes in control of Dell Technologies, which may reduce the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of an investment in the Class C Common Stock. So long as the MD stockholders and the SLP stockholders continue to own common stock representing a significant amount of the combined voting power of Dell Technologies’ outstanding common stock, even if such amount is, individually or in the aggregate, less than 50%, such stockholders will continue to be able to strongly influence Dell Technologies’ decisions.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the MD stockholders and the SLP stockholders, respectively, have the right to nominate a number of individuals for election as Group I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In addition,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18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where their interests conflict with interests of other stockholders or those of Dell Technologies. The Dell Technologies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Dell Technologies operates. The MD stockholders, the MSD Partners stockholders, and the SLP stockholders also may pursue acquisition opportunities that may be complementary to Dell Technologies’ business and, as a result, those acquisition opportunities may not be available to Dell Technologies.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16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Because Dell Technologies is a “controlled company” within the meaning of NYSE rules and, as a result, qualifies for, and relies on, exemptions from certain corporate governance requirements, holders of Class C Common Stock do not have the same protections afforded to stockholders of companies that are subject to such requirements.</w:t>
      </w:r>
    </w:p>
    <w:p>
      <w:pPr>
        <w:spacing w:after="0" w:line="1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Dell Technologies is a “controlled company” within the meaning of NYSE rules because the MD stockholders hold common stock representing more than 50% of the voting power in the election of directors. As a controlled company, Dell Technologies may elect not to comply with certain corporate governance requirements under NYSE rules, including the requirements that:</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Dell Technologies have a board that is composed of a majority of “independent directors,” as defined under NYSE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Dell Technologies have a compensation committee that is composed entirely of independent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Dell Technologies have a nominating/corporate governance committee that is composed entirely of independent directors.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Although Dell Technologies currently maintains a board composed of a majority of independent directors, it currently utilizes the exemptions relating to committee composition and expects to continue to utilize those exemptions. As a result, none of the committees of the board of directors, other than the audit committee, consists entirely of independent directors. Further, Dell Technologies may decide in the future to change its board membership so that the board is not composed of a majority of independent directors. Accordingly, holders of Class C Common Stock do not have the same protections afforded to stockholders of companies that are subject to all of the NYSE’s corporate governance requirements.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The Dell Technologies certificate of incorporation designates a state court of the State of Delaware or the federal district court for the District of Delaware as the sole and exclusive forum for certain types of actions and proceedings that may be initiated by Dell Technologies’ stockholders, which could limit the ability of the holders of Class C Common Stock to obtain a favorable judicial forum for disputes with Dell Technologies or with directors, officers, or the controlling stockholders of Dell Technologies.</w:t>
      </w:r>
    </w:p>
    <w:p>
      <w:pPr>
        <w:spacing w:after="0" w:line="1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Dell Technologies certificate of incorporation, unless Dell Technologies consents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Dell Technologies;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stockholder of Dell Technologies to Dell Technologies or Dell Technologies’ stockholders;</w:t>
      </w:r>
    </w:p>
    <w:p>
      <w:pPr>
        <w:spacing w:after="0" w:line="170" w:lineRule="exact"/>
        <w:rPr>
          <w:rFonts w:ascii="Arial" w:cs="Arial" w:eastAsia="Arial" w:hAnsi="Arial"/>
          <w:sz w:val="18"/>
          <w:szCs w:val="18"/>
          <w:color w:val="auto"/>
        </w:rPr>
      </w:pPr>
    </w:p>
    <w:p>
      <w:pPr>
        <w:ind w:left="660" w:right="54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action asserting a claim against Dell Technologies or any director or officer or stockholder of Dell Technologies arising pursuant to any provision of the Delaware General Corporation Law or of the certificate of incorporation or bylaws of Dell Technologies; or</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governed by the internal affairs doctrine.</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provisions of the Dell Technologies certificate of incorporation could limit the ability of the holders of the Class C Common Stock to obtain a favorable judicial forum for disputes with Dell Technologies or with directors, officers, or the controlling stockholders of Dell Technologies, which may discourage such lawsuits against Dell Technologies and its directors, officers, and stockholders. Alternatively, if a court were to find these provisions of its organizational documents inapplicable to, or unenforceable in respect of, one or more of the specified types of actions or proceedings, Dell Technologies may incur additional costs associated with resolving such matters in other jurisdictions, which could adversely affect its business, financial condition, and results of operations.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choice of forum provision is intended to apply to the fullest extent permitted by law to the above-specified types of actions and proceedings, including, to the extent permitted by the federal securities laws, to lawsuits asserting both the above-specified claims and claims under the federal securities laws. Application of the choice of forum provision may be limited in some instances by applicable law. Section 27 of the Exchange Act creates exclusive federal jurisdiction over all suits brought to enforce any duty or liability created by the Exchange Act or the rules and regulations thereunder. As a result, the choice of forum provision will not apply to actions arising under the Exchange Act or the rules and regulations thereunder. Section 22 of the Securities Act creates concurrent jurisdiction for federal and state courts over suits brought to enforce any duty or liability created by the Securities Act or the rules and regulations thereunder, subject to a limited exception for certain “covered class actions.” There is uncertainty, particularly in light of current litigation, as to whether a court would enforce the choice of forum provision with respect to claims under the Securities Act. Dell Technologies’ stockholders will not be deemed, by operation of the choice of forum provision, to have waived claims arising under the federal securities laws and the rules and regulations thereunder.</w:t>
      </w:r>
    </w:p>
    <w:p>
      <w:pPr>
        <w:spacing w:after="0" w:line="18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Dell Technologies is obligated to maintain proper and effective internal control over financial reporting and any failure to do so may adversely affect investor confidence in Dell Technologies and, as a result, the value of the Class C Common Stock.</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Dell Technologies is required by Section 404 of the Sarbanes-Oxley Act of 2002 to furnish an annual report by management on, among other matters, its assessment of the effectiveness of its internal control over financial reporting. The assessment must include disclosure of any material weaknesses identified by Dell Technologies’ management in its report. Dell Technologies also is required to disclose significant changes made in its internal control over financial reporting. In addition, Dell Technologies’ independent registered public accounting firm is required to express an opinion each year as to the effectiveness of Dell Technologies’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evaluation and testing process of its internal controls, if Dell Technologies identifies one or more material weaknesses in its internal control over financial reporting, Dell Technologies will be unable to assert that its internal control over financial reporting is effective. Dell Technologies may experience material weaknesses in its internal control over financial reporting in the future. Any failure to maintain internal control over financial reporting could severely inhibit Dell Technologies’ ability to issue accurate reports of its financial condition or results of operations. If Dell Technologies is unable to conclude that its internal control over financial reporting is effective, or if Dell Technologies’ independent registered public accounting firm determines that Dell Technologies has a material weakness or significant deficiencies in its internal control over financial reporting, investors could lose confidence in the accuracy and completeness of Dell Technologies’ financial reports, the market price of the Class C Common Stock could decline and Dell Technologies could be subject to sanctions or investigations by the SEC or other regulatory authorities. Failure to remedy any material weakness in Dell Technologies’ internal control over financial reporting, or to implement or maintain other effective control systems required of public companies, also could restrict future access to the capital markets by Dell Technologies or its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January 31, 2020, as shown in the following table, we owned or leased 31.9 million square feet of office, manufacturing, and warehouse space worldwide: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540" w:type="dxa"/>
            <w:vAlign w:val="bottom"/>
          </w:tcPr>
          <w:p>
            <w:pPr>
              <w:ind w:left="800"/>
              <w:spacing w:after="0"/>
              <w:rPr>
                <w:sz w:val="20"/>
                <w:szCs w:val="20"/>
                <w:color w:val="auto"/>
              </w:rPr>
            </w:pPr>
            <w:r>
              <w:rPr>
                <w:rFonts w:ascii="Arial" w:cs="Arial" w:eastAsia="Arial" w:hAnsi="Arial"/>
                <w:sz w:val="18"/>
                <w:szCs w:val="18"/>
                <w:b w:val="1"/>
                <w:bCs w:val="1"/>
                <w:color w:val="auto"/>
              </w:rPr>
              <w:t>Owned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(in millions)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facilities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International facilities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(a)  Includes 2.7 million square feet of subleased or vacant space.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January 31, 2020,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as of January 31, 2020, approximately 6.2 million square feet of space that house executive and administrative offices, research and development, sales and marketing functions, and data centers were used solely by our VMware segment.</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existing properties are suitable and adequate for our current needs and that we can readily meet our requirements for additional space at competitive rates by extending expiring leases or by finding alternative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information required by this Item 3 is incorporated herein by reference to the information set forth under the caption “Legal Matters” in Note 10 of the Notes to the Consolidated Financial Statements included in “Part II — Item 8 — Financial Statements and Supplementary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Class C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Class C Common Stock is listed and traded on the New York Stock Exchange under the symbol “DELL.” The Class C Common Stock began trading on the NYSE on a regular-way basis on December 28, 2018.</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In connection with the completion of the Class V transaction described under “Part I </w:t>
      </w:r>
      <w:r>
        <w:rPr>
          <w:rFonts w:ascii="Arial" w:cs="Arial" w:eastAsia="Arial" w:hAnsi="Arial"/>
          <w:sz w:val="18"/>
          <w:szCs w:val="18"/>
          <w:b w:val="1"/>
          <w:bCs w:val="1"/>
          <w:color w:val="auto"/>
        </w:rPr>
        <w:t>—</w:t>
      </w:r>
      <w:r>
        <w:rPr>
          <w:rFonts w:ascii="Arial" w:cs="Arial" w:eastAsia="Arial" w:hAnsi="Arial"/>
          <w:sz w:val="18"/>
          <w:szCs w:val="18"/>
          <w:color w:val="auto"/>
        </w:rPr>
        <w:t xml:space="preserve"> Item 1 — Business </w:t>
      </w:r>
      <w:r>
        <w:rPr>
          <w:rFonts w:ascii="Arial" w:cs="Arial" w:eastAsia="Arial" w:hAnsi="Arial"/>
          <w:sz w:val="18"/>
          <w:szCs w:val="18"/>
          <w:b w:val="1"/>
          <w:bCs w:val="1"/>
          <w:color w:val="auto"/>
        </w:rPr>
        <w:t>—</w:t>
      </w:r>
      <w:r>
        <w:rPr>
          <w:rFonts w:ascii="Arial" w:cs="Arial" w:eastAsia="Arial" w:hAnsi="Arial"/>
          <w:sz w:val="18"/>
          <w:szCs w:val="18"/>
          <w:color w:val="auto"/>
        </w:rPr>
        <w:t xml:space="preserve"> Class V Transaction,” our Class V Common Stock, which had been traded on the NYSE since the completion of the EMC merger transaction on September 7, 2016, ceased trading on the NYSE prior to the opening of trading on December 28, 2018.</w:t>
      </w:r>
    </w:p>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is no public market for our Class A Common Stock or Class B Common Stock. No shares of our Class D Common Stock were outstanding as of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March 20, 2020, there were 4,449 holders of record of our Class C Common Stock, 10 holders of record of our Class A Common Stock, and six holders of record of our Class B Common Stock. The number of record holders does not include individuals or entities that beneficially own shares of any class of our common stock, but whose shares are held of record by a broker, bank, or other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Since the listing of our Class C Common Stock on the NYSE on December 28, 2018, the Company has not paid or declared cash dividends on its common stock. The Company does not currently intend to pay cash dividends on its common stock in the foreseeable future. Any future determination to declare cash dividends will be made at the discretion of the Company’s board of directors and will depend upon the Company’s results of operations, financial condition and business prospects, limitations on the payment of dividends under the Company’s certificate of incorporation, the terms of its indebtedness and applicable law, and such other factors as the board of directors may deem relevant.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fourth quarter of Fiscal 2020, in addition to transactions previously reported, we issued to employees an aggregate of 824 shares of the Class C Common Stock for an aggregate purchase price of approximately $3 thousand pursuant to exercises of stock options granted under the Dell Inc. Amended and Restated 2002 Long-Term Incentive Plan. The foregoing transactions were effected without registration in reliance on the exemption from registration under the Securities Act of 1933 afforded by Rule 701 thereunder as transactions pursuant to compensatory benefit plans or contracts relating to compensation as provided under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C Common Stock</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graph compares the cumulative total return on the Company’s Class C Common Stock for the period from December 28, 2018, the date on which the Class C Common Stock began trading on the NYSE, through January 31, 2020, with the total return over the same period on the S&amp;P 500 Index and the S&amp;P 500 Systems Software Index. The graph assumes that $100 was invested on December 28, 2018 in the Class C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263515" cy="3326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351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S&amp;P 500 Systems Software</w:t>
            </w: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Class C Common Stock</w:t>
            </w:r>
          </w:p>
        </w:tc>
        <w:tc>
          <w:tcPr>
            <w:tcW w:w="2220" w:type="dxa"/>
            <w:vAlign w:val="bottom"/>
            <w:gridSpan w:val="2"/>
          </w:tcPr>
          <w:p>
            <w:pPr>
              <w:ind w:left="720"/>
              <w:spacing w:after="0"/>
              <w:rPr>
                <w:sz w:val="20"/>
                <w:szCs w:val="20"/>
                <w:color w:val="auto"/>
              </w:rPr>
            </w:pPr>
            <w:r>
              <w:rPr>
                <w:rFonts w:ascii="Arial" w:cs="Arial" w:eastAsia="Arial" w:hAnsi="Arial"/>
                <w:sz w:val="18"/>
                <w:szCs w:val="18"/>
                <w:b w:val="1"/>
                <w:bCs w:val="1"/>
                <w:color w:val="auto"/>
              </w:rPr>
              <w:t>S&amp;P 500</w:t>
            </w:r>
          </w:p>
        </w:tc>
        <w:tc>
          <w:tcPr>
            <w:tcW w:w="2240" w:type="dxa"/>
            <w:vAlign w:val="bottom"/>
          </w:tcPr>
          <w:p>
            <w:pPr>
              <w:jc w:val="right"/>
              <w:ind w:right="810"/>
              <w:spacing w:after="0"/>
              <w:rPr>
                <w:sz w:val="20"/>
                <w:szCs w:val="20"/>
                <w:color w:val="auto"/>
              </w:rPr>
            </w:pPr>
            <w:r>
              <w:rPr>
                <w:rFonts w:ascii="Arial" w:cs="Arial" w:eastAsia="Arial" w:hAnsi="Arial"/>
                <w:sz w:val="18"/>
                <w:szCs w:val="18"/>
                <w:b w:val="1"/>
                <w:bCs w:val="1"/>
                <w:color w:val="auto"/>
              </w:rPr>
              <w:t>Index</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w w:val="90"/>
              </w:rPr>
              <w:t>Fiscal Year 2019</w:t>
            </w:r>
          </w:p>
        </w:tc>
        <w:tc>
          <w:tcPr>
            <w:tcW w:w="3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December 28, 2018</w:t>
            </w:r>
          </w:p>
        </w:tc>
        <w:tc>
          <w:tcPr>
            <w:tcW w:w="22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February 1,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r>
      <w:tr>
        <w:trPr>
          <w:trHeight w:val="203"/>
        </w:trPr>
        <w:tc>
          <w:tcPr>
            <w:tcW w:w="20" w:type="dxa"/>
            <w:vAlign w:val="bottom"/>
          </w:tcPr>
          <w:p>
            <w:pPr>
              <w:spacing w:after="0"/>
              <w:rPr>
                <w:sz w:val="17"/>
                <w:szCs w:val="17"/>
                <w:color w:val="auto"/>
              </w:rPr>
            </w:pPr>
          </w:p>
        </w:tc>
        <w:tc>
          <w:tcPr>
            <w:tcW w:w="43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Fiscal Year 2020</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May 3,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August 2, 2019</w:t>
            </w:r>
          </w:p>
        </w:tc>
        <w:tc>
          <w:tcPr>
            <w:tcW w:w="2240" w:type="dxa"/>
            <w:vAlign w:val="bottom"/>
          </w:tcPr>
          <w:p>
            <w:pPr>
              <w:jc w:val="right"/>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$134.56</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November 1,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January 31, 2020</w:t>
            </w:r>
          </w:p>
        </w:tc>
        <w:tc>
          <w:tcPr>
            <w:tcW w:w="2240" w:type="dxa"/>
            <w:vAlign w:val="bottom"/>
          </w:tcPr>
          <w:p>
            <w:pPr>
              <w:jc w:val="right"/>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$164.89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V Common Stock</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following graph compares the cumulative total return on the Company’s Class V Common Stock for the period from May 5, 2017 through December 27, 2018, the last date on which the Class V Common Stock traded on the NYSE, with the total return over the same period on the S&amp;P 500 Index and the S&amp;P 500 Systems Software Index. The graph assumes that $100 was invested on May 5, 2017 in the Class V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263515" cy="3326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6351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rPr>
              <w:t>S&amp;P 500 Systems</w:t>
            </w: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Class V Common Stock</w:t>
            </w:r>
          </w:p>
        </w:tc>
        <w:tc>
          <w:tcPr>
            <w:tcW w:w="2180" w:type="dxa"/>
            <w:vAlign w:val="bottom"/>
            <w:gridSpan w:val="2"/>
          </w:tcPr>
          <w:p>
            <w:pPr>
              <w:ind w:left="700"/>
              <w:spacing w:after="0"/>
              <w:rPr>
                <w:sz w:val="20"/>
                <w:szCs w:val="20"/>
                <w:color w:val="auto"/>
              </w:rPr>
            </w:pPr>
            <w:r>
              <w:rPr>
                <w:rFonts w:ascii="Arial" w:cs="Arial" w:eastAsia="Arial" w:hAnsi="Arial"/>
                <w:sz w:val="18"/>
                <w:szCs w:val="18"/>
                <w:b w:val="1"/>
                <w:bCs w:val="1"/>
                <w:color w:val="auto"/>
              </w:rPr>
              <w:t>S&amp;P 500</w:t>
            </w: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Software Index</w:t>
            </w:r>
          </w:p>
        </w:tc>
      </w:tr>
      <w:tr>
        <w:trPr>
          <w:trHeight w:val="27"/>
        </w:trPr>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Year 2018</w:t>
            </w: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May 5, 2017</w:t>
            </w:r>
          </w:p>
        </w:tc>
        <w:tc>
          <w:tcPr>
            <w:tcW w:w="3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tcPr>
          <w:p>
            <w:pPr>
              <w:spacing w:after="0"/>
              <w:rPr>
                <w:sz w:val="21"/>
                <w:szCs w:val="21"/>
                <w:color w:val="auto"/>
              </w:rPr>
            </w:pPr>
          </w:p>
        </w:tc>
        <w:tc>
          <w:tcPr>
            <w:tcW w:w="2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tcPr>
          <w:p>
            <w:pPr>
              <w:spacing w:after="0"/>
              <w:rPr>
                <w:sz w:val="21"/>
                <w:szCs w:val="21"/>
                <w:color w:val="auto"/>
              </w:rPr>
            </w:pPr>
          </w:p>
        </w:tc>
        <w:tc>
          <w:tcPr>
            <w:tcW w:w="2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August 4, 2017</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November 3, 2017</w:t>
            </w:r>
          </w:p>
        </w:tc>
        <w:tc>
          <w:tcPr>
            <w:tcW w:w="2080" w:type="dxa"/>
            <w:vAlign w:val="bottom"/>
          </w:tcPr>
          <w:p>
            <w:pPr>
              <w:jc w:val="right"/>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$120.05</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February 2, 2018</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r>
      <w:tr>
        <w:trPr>
          <w:trHeight w:val="203"/>
        </w:trPr>
        <w:tc>
          <w:tcPr>
            <w:tcW w:w="2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Fiscal Year 2019</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May 4, 2018</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$132.35</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August 3, 2018</w:t>
            </w:r>
          </w:p>
        </w:tc>
        <w:tc>
          <w:tcPr>
            <w:tcW w:w="2080" w:type="dxa"/>
            <w:vAlign w:val="bottom"/>
          </w:tcPr>
          <w:p>
            <w:pPr>
              <w:jc w:val="right"/>
              <w:spacing w:after="0"/>
              <w:rPr>
                <w:sz w:val="20"/>
                <w:szCs w:val="20"/>
                <w:color w:val="auto"/>
              </w:rPr>
            </w:pPr>
            <w:r>
              <w:rPr>
                <w:rFonts w:ascii="Arial" w:cs="Arial" w:eastAsia="Arial" w:hAnsi="Arial"/>
                <w:sz w:val="18"/>
                <w:szCs w:val="18"/>
                <w:color w:val="auto"/>
              </w:rPr>
              <w:t>$138.34</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$147.30</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November 2, 2018</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December 27, 2018</w:t>
            </w:r>
          </w:p>
        </w:tc>
        <w:tc>
          <w:tcPr>
            <w:tcW w:w="2080" w:type="dxa"/>
            <w:vAlign w:val="bottom"/>
          </w:tcPr>
          <w:p>
            <w:pPr>
              <w:jc w:val="right"/>
              <w:spacing w:after="0"/>
              <w:rPr>
                <w:sz w:val="20"/>
                <w:szCs w:val="20"/>
                <w:color w:val="auto"/>
              </w:rPr>
            </w:pPr>
            <w:r>
              <w:rPr>
                <w:rFonts w:ascii="Arial" w:cs="Arial" w:eastAsia="Arial" w:hAnsi="Arial"/>
                <w:sz w:val="18"/>
                <w:szCs w:val="18"/>
                <w:color w:val="auto"/>
              </w:rPr>
              <w:t>$118.89</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$139.87</w:t>
            </w:r>
          </w:p>
        </w:tc>
      </w:tr>
    </w:tbl>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preceding stock performance graphs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selected consolidated financial data for the Company should be read in conjunction with “Item 7 — Management’s Discussion and Analysis of Financial Condition and Results of Operations” and “Item 8 — Financial Statements and Supplementary Data.” Consolidated results of operations and cash flow data for the fiscal years ended January 31, 2020, February 1, 2019, and February 2, 2018 and balance sheet data as of January 31, 2020 and February 1, 2019 have been derived from our audited consolidated financial statements included in “Item 8 — Financial Statements and Supplementary Data.”</w:t>
      </w:r>
    </w:p>
    <w:p>
      <w:pPr>
        <w:spacing w:after="0" w:line="18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For all periods preceding the fiscal year ended February 3, 2017, the financial results do not reflect the adoption of the new accounting standards for recognition of revenue and cash flows. For more detail regarding comparability of the data presented, see “Basis of Presentation”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for Fiscal 2020 and Thereafter</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Dell Technologies Common Stock </w:t>
      </w:r>
      <w:r>
        <w:rPr>
          <w:rFonts w:ascii="Arial" w:cs="Arial" w:eastAsia="Arial" w:hAnsi="Arial"/>
          <w:sz w:val="16"/>
          <w:szCs w:val="16"/>
          <w:color w:val="auto"/>
        </w:rPr>
        <w:t>— For Fiscal 2020, the Class A Common Stock, the Class B Common Stock, the Class C Common Stock, and the Class</w:t>
      </w:r>
      <w:r>
        <w:rPr>
          <w:rFonts w:ascii="Arial" w:cs="Arial" w:eastAsia="Arial" w:hAnsi="Arial"/>
          <w:sz w:val="16"/>
          <w:szCs w:val="16"/>
          <w:i w:val="1"/>
          <w:iCs w:val="1"/>
          <w:color w:val="auto"/>
        </w:rPr>
        <w:t xml:space="preserve"> </w:t>
      </w:r>
      <w:r>
        <w:rPr>
          <w:rFonts w:ascii="Arial" w:cs="Arial" w:eastAsia="Arial" w:hAnsi="Arial"/>
          <w:sz w:val="16"/>
          <w:szCs w:val="16"/>
          <w:color w:val="auto"/>
        </w:rPr>
        <w:t>D Common Stock, formerly collectively referred to as the DHI Group Common Stock, are collectively referred to as Dell Technologies Common Stock. The redesignation of such classes of common stock from DHI Group Common Stock to Dell Technologies Common Stock is intended to align the Company’s reporting with how such classes are referred to by securities analysts, investors, and other users of the financial statements since the completion on December 28, 2018 of the Class V transaction described under “Part 1 — Item 1 — Business — Class V Transaction.” As a result of the cancellation of all outstanding Class V Common Stock upon the closing of that transaction, there is no requirement after the fourth quarter of Fiscal 2019 to allocate net income (loss) between two separate groups of common stock denoted the DHI Group Common Stock and the Class V Common Stock or to report earnings (loss) per share for each such group. Accordingly, net income (loss), earnings (loss) per share and other relevant information are reported for Dell Technologies Common Stock for all fiscal periods beginning with the first quarter of Fiscal 2020 and, because of lack of comparability with the new reporting, are reported separately for the DHI Group and the Class V Common Stock, as applicable, for prior fiscal periods.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purposes of calculating earnings (loss) per share, the Company continues to use the two-class method. The Class A Common Stock, the Class B Common Stock, the Class C Common Stock, and the Class D Common Stock share equally in dividends declared or accumulated and have equal participation rights in undistributed earnings. As a result, earnings (loss) per share are the same for all classes of Dell Technologies Common Stock and are presented together.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Prior to Fiscal 2020</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DHI Group Comment Stock and DHI Group DHI Group </w:t>
      </w:r>
      <w:r>
        <w:rPr>
          <w:rFonts w:ascii="Arial" w:cs="Arial" w:eastAsia="Arial" w:hAnsi="Arial"/>
          <w:sz w:val="18"/>
          <w:szCs w:val="18"/>
          <w:color w:val="auto"/>
        </w:rPr>
        <w:t>— For the fiscal periods prior to Fiscal 2020, the Class A Common Stock, the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Class C Common Stock, and the Class D Common Stock were collectively referred to as the DHI Group Common Stock. Prior to the completion of the Class V transaction described under “Part 1 — Business — Class V Transaction,” the DHI Group generally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Class V transaction, the DHI Group refers to all classes of issued and outstanding DHI Group Common Stock.</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Class V Common Stock and Class V Group </w:t>
      </w:r>
      <w:r>
        <w:rPr>
          <w:rFonts w:ascii="Arial" w:cs="Arial" w:eastAsia="Arial" w:hAnsi="Arial"/>
          <w:sz w:val="16"/>
          <w:szCs w:val="16"/>
          <w:color w:val="auto"/>
        </w:rPr>
        <w:t>— The Class V Common Stock was a class of common stock intended to track the performance of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Dell Technologies’ economic interest in the Class V Group. The Class V Group consisted solely of VMware, Inc. common stock held by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described under “Part 1 — Item 1 — Business — Class V Transaction,” on December 28, 2018, the Company completed the Class V transaction in which it paid $14.0 billion in cash and issued 149,387,617 shares of Class C Common Stock to holders of the Class V Common Stock in exchange for all outstanding shares of Class V Common Stock. Pursuant to the Class V transaction, all outstanding shares of Class V Common Stock ceased to be outstanding, and the tracking stock feature of the Company’s capital structure was terminated. The Class C Common Stock issued to former holders of the Class V Common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 represents an interest in the Company’s entire business and, unlike the Class V Common Stock, is not intended to track the performance of any distinct assets or business.</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See Note 14 and Note 15 of the Notes to the Consolidated Financial Statements included in this report for more information regarding earnings per share, capitalization, the Class V transaction, and the former allocation of earnings from Dell Technologies’ interest in VMware between the DHI Group and the Class V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In February 2016, the Financial Accounting Standards Board (“FASB”) issued amended guidance on the accounting for leasing transactions.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objective of this update is to increase transparency and comparability among organizations by requiring lessees to recognize a lease liability for the obligation to make lease payments and a right-of-use (“ROU”) asset for the right to use the underlying asset for the lease term. The guidance also results in some changes to lessor accounting and requires additional disclosures about all leasing arrangements.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adopted the standard (the “new lease standard”) as of February 2, 2019 using the modified retrospective approach, with the cumulative-effect adjustment to the opening balance of stockholders’ equity (deficit) as of the adoption date. The Company elected to apply the practical expedient using the transition option whereby prior comparative periods were not retrospectively adjusted in the Consolidated Financial Statements. Accordingly, prior comparative periods have not been adjusted in the Consolidated Financial Statements. The Company also elected the package of practical expedients that does not require reassessment of initial direct costs, classification of a lease, and definition of a lease.</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adoption of the new lease standard resulted in the recognition of $1.6 billion in operating lease liabilities and related ROU assets on the Consolidated Statements of Financial Position. The Company recorded an immaterial adjustment to stockholders’ equity (deficit) as of February 2, 2019 to reflect the cumulative effect of adoption of the new lease standard. As of February 2, 2019, there were no material finance leases for which the Company was a lessee.</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area of lessor accounting, as of February 2, 2019, the Company began to originate operating leases due to the elimination of third-party residual value guarantee insurance from the sales-type lease classification test. Leases that commenced prior to the adoption of the new lease standard were not reassessed or restated pursuant to the practical expedients elected. Accordingly, there was no cumulative adjustment to stockholders’ equity (deficit) related to lessor accounting.</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 from Contracts with Customers — </w:t>
      </w:r>
      <w:r>
        <w:rPr>
          <w:rFonts w:ascii="Arial" w:cs="Arial" w:eastAsia="Arial" w:hAnsi="Arial"/>
          <w:sz w:val="18"/>
          <w:szCs w:val="18"/>
          <w:color w:val="auto"/>
        </w:rPr>
        <w:t>In May 2014, the FASB issued amended guidance on the recognition of revenue from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adopted the new accounting standard for revenue recognition set forth in ASC 606, “Revenue From Contracts With Customers,” during the three months ended May 4, 2018 using the full retrospective method. The Company has recast the consolidated results of operations and cash flow data consistent with the new revenue standard for the fiscal years ended February 2, 2018 and February 3, 2017 and balance sheet data as of February 2, 2018 and February 3, 2017.</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 xml:space="preserve">Classification of Certain Cash Receipts and Cash Payments </w:t>
      </w:r>
      <w:r>
        <w:rPr>
          <w:rFonts w:ascii="Arial" w:cs="Arial" w:eastAsia="Arial" w:hAnsi="Arial"/>
          <w:sz w:val="17"/>
          <w:szCs w:val="17"/>
          <w:color w:val="auto"/>
        </w:rPr>
        <w:t>— In August 2016, the FASB issued amended guidance on the presentation and 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eight specific cash flow issues with the objective of reducing existing diversity in practice. Companies are required to reflect any adjustments on a retrospective basis, if practicable; otherwise, adoption is required to be applied as of the earliest date practicable. Dell Technologies adopted this standard during the three months ended May 4, 2018. Amounts on the Consolidated Statements of Cash Flows for the fiscal years ended February 2, 2018 and February 3, 2017 have been recast to conform with the presentation under the new guidance.</w:t>
      </w:r>
    </w:p>
    <w:p>
      <w:pPr>
        <w:spacing w:after="0" w:line="1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Statement of Cash Flows, Restricted Cash </w:t>
      </w:r>
      <w:r>
        <w:rPr>
          <w:rFonts w:ascii="Arial" w:cs="Arial" w:eastAsia="Arial" w:hAnsi="Arial"/>
          <w:sz w:val="16"/>
          <w:szCs w:val="16"/>
          <w:color w:val="auto"/>
        </w:rPr>
        <w:t>— In November 2016, the FASB issued amended guidance requiring entities to include restricted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equivalents in cash balances on the cash flow statement, and also to provide a supplemental reconciliation of cash, cash equivalents, and restricted cash. The Company early adopted this standard during the three months ended May 4, 2018. See Note 20 of the Notes to the Consolidated Financial Statements included in this report for supplemental cash flow information. Amounts on the Consolidated Statements of Cash Flows for the fiscal years ended February 2, 2018 and February 3, 2017 have been recast to conform with the presentation under the new guidance.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the Consolidated Financial Statements included in this report for additional information on the new standards.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EMC Merger Transaction </w:t>
      </w:r>
      <w:r>
        <w:rPr>
          <w:rFonts w:ascii="Arial" w:cs="Arial" w:eastAsia="Arial" w:hAnsi="Arial"/>
          <w:sz w:val="17"/>
          <w:szCs w:val="17"/>
          <w:color w:val="auto"/>
        </w:rPr>
        <w:t>— On September 7, 2016, Dell Technologies completed its acquisition by merger of EMC Corporation, referred to as the “EMC</w:t>
      </w:r>
      <w:r>
        <w:rPr>
          <w:rFonts w:ascii="Arial" w:cs="Arial" w:eastAsia="Arial" w:hAnsi="Arial"/>
          <w:sz w:val="17"/>
          <w:szCs w:val="17"/>
          <w:i w:val="1"/>
          <w:iCs w:val="1"/>
          <w:color w:val="auto"/>
        </w:rPr>
        <w:t xml:space="preserve"> </w:t>
      </w:r>
      <w:r>
        <w:rPr>
          <w:rFonts w:ascii="Arial" w:cs="Arial" w:eastAsia="Arial" w:hAnsi="Arial"/>
          <w:sz w:val="17"/>
          <w:szCs w:val="17"/>
          <w:color w:val="auto"/>
        </w:rPr>
        <w:t>merger transaction.” As a result of the EMC merger transaction, Dell Technologies’ results of operations, comprehensive income (loss), and cash flows for the fiscal periods reflected in the selected consolidated financial data are not directly comparable. Further, periods preceding the fiscal year ended February 3, 2017 do not fully reflect the EMC merger transaction and, as a result, the Company did not recast financial information for the new revenue and cash flow accounting standards for those periods. The decision of Dell Technologies to not recast such periods is based on the belief that a revision of these periods would not be material to understanding the results of operations and trends of Dell Technologies.</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On January 23, 2017, EMC, a subsidiary of Dell Technologies, closed the divestiture of the Dell EMC Enterprise Content Division. Dell</w:t>
      </w:r>
      <w:r>
        <w:rPr>
          <w:rFonts w:ascii="Arial" w:cs="Arial" w:eastAsia="Arial" w:hAnsi="Arial"/>
          <w:sz w:val="18"/>
          <w:szCs w:val="18"/>
          <w:i w:val="1"/>
          <w:iCs w:val="1"/>
          <w:color w:val="auto"/>
        </w:rPr>
        <w:t xml:space="preserve"> </w:t>
      </w:r>
      <w:r>
        <w:rPr>
          <w:rFonts w:ascii="Arial" w:cs="Arial" w:eastAsia="Arial" w:hAnsi="Arial"/>
          <w:sz w:val="18"/>
          <w:szCs w:val="18"/>
          <w:color w:val="auto"/>
        </w:rPr>
        <w:t>Inc. (“Dell”) closed substantially all of the divestiture of Dell Services on November 2, 2016 and the divestiture of Dell Software Group on October 31, 2016. In accordance with applicable accounting guidance, the results of Dell Services, Dell Software Group, and the Dell EMC Enterprise Content Division, as well as the related gains or losses on sale, are presented as discontinued operations in the Consolidated Statements of Income (Loss) for the fiscal years ended February 3, 2017 and January 29, 2016 and, as such, have been excluded from continuing operations in the selected financial data presented below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125"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96"/>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February 3, 2017</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January 29, 2016</w:t>
            </w: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January 31, 2020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1, 2019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580" w:type="dxa"/>
            <w:vAlign w:val="bottom"/>
          </w:tcPr>
          <w:p>
            <w:pPr>
              <w:spacing w:after="0"/>
              <w:rPr>
                <w:sz w:val="20"/>
                <w:szCs w:val="20"/>
                <w:color w:val="auto"/>
              </w:rPr>
            </w:pPr>
          </w:p>
        </w:tc>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rPr>
              <w:t>(a)</w:t>
            </w:r>
          </w:p>
        </w:tc>
        <w:tc>
          <w:tcPr>
            <w:tcW w:w="44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(b)</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20" w:type="dxa"/>
            <w:vAlign w:val="bottom"/>
            <w:gridSpan w:val="4"/>
          </w:tcPr>
          <w:p>
            <w:pPr>
              <w:jc w:val="right"/>
              <w:ind w:right="30"/>
              <w:spacing w:after="0"/>
              <w:rPr>
                <w:sz w:val="20"/>
                <w:szCs w:val="20"/>
                <w:color w:val="auto"/>
              </w:rPr>
            </w:pPr>
            <w:r>
              <w:rPr>
                <w:rFonts w:ascii="Arial" w:cs="Arial" w:eastAsia="Arial" w:hAnsi="Arial"/>
                <w:sz w:val="18"/>
                <w:szCs w:val="18"/>
                <w:color w:val="auto"/>
              </w:rPr>
              <w:t>(in millions, except per share data)</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3"/>
                <w:shd w:val="clear" w:color="auto" w:fill="CCEEFF"/>
              </w:rPr>
              <w:t>Results of Operations and Cash Flow Data:</w:t>
            </w: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Net revenue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92,154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90,621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79,040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62,164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50,911</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28,933</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25,053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20,537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13,649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2,622</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(2,416)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w w:val="96"/>
              </w:rPr>
              <w:t>Net income (loss) from continuing operations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5,529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120" w:type="dxa"/>
            <w:vAlign w:val="bottom"/>
            <w:gridSpan w:val="3"/>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basic:</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3500" w:type="dxa"/>
            <w:vAlign w:val="bottom"/>
            <w:gridSpan w:val="2"/>
          </w:tcPr>
          <w:p>
            <w:pPr>
              <w:ind w:left="280"/>
              <w:spacing w:after="0"/>
              <w:rPr>
                <w:sz w:val="20"/>
                <w:szCs w:val="20"/>
                <w:color w:val="auto"/>
              </w:rPr>
            </w:pPr>
            <w:r>
              <w:rPr>
                <w:rFonts w:ascii="Arial" w:cs="Arial" w:eastAsia="Arial" w:hAnsi="Arial"/>
                <w:sz w:val="18"/>
                <w:szCs w:val="18"/>
                <w:color w:val="auto"/>
                <w:w w:val="96"/>
              </w:rPr>
              <w:t>Continuing operations - Class V Common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Continuing operations - DHI Group</w:t>
            </w: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324"/>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w w:val="97"/>
              </w:rPr>
              <w:t>Earnings (loss) per share attributable to Dell Technologies Inc. - diluted: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Dell Technologies Common Stock</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Continuing operations - Class V Common</w:t>
            </w: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w:t>
            </w:r>
          </w:p>
        </w:tc>
        <w:tc>
          <w:tcPr>
            <w:tcW w:w="8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Continuing operations - DHI Group</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300" w:type="dxa"/>
            <w:vAlign w:val="bottom"/>
            <w:gridSpan w:val="3"/>
          </w:tcPr>
          <w:p>
            <w:pPr>
              <w:ind w:left="40"/>
              <w:spacing w:after="0"/>
              <w:rPr>
                <w:sz w:val="20"/>
                <w:szCs w:val="20"/>
                <w:color w:val="auto"/>
              </w:rPr>
            </w:pPr>
            <w:r>
              <w:rPr>
                <w:rFonts w:ascii="Arial" w:cs="Arial" w:eastAsia="Arial" w:hAnsi="Arial"/>
                <w:sz w:val="18"/>
                <w:szCs w:val="18"/>
                <w:i w:val="1"/>
                <w:iCs w:val="1"/>
                <w:color w:val="auto"/>
                <w:w w:val="93"/>
              </w:rPr>
              <w:t>Number of weighted-average shares outstanding - basic:</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Class V Common Stock</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5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DHI Group</w:t>
            </w: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582</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324"/>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91"/>
              </w:rPr>
              <w:t>Number of weighted-average shares outstanding - diluted:</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Dell Technologies Common Stock</w:t>
            </w:r>
          </w:p>
        </w:tc>
        <w:tc>
          <w:tcPr>
            <w:tcW w:w="8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751</w:t>
            </w: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V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gridSpan w:val="2"/>
          </w:tcPr>
          <w:p>
            <w:pPr>
              <w:ind w:left="280"/>
              <w:spacing w:after="0"/>
              <w:rPr>
                <w:sz w:val="20"/>
                <w:szCs w:val="20"/>
                <w:color w:val="auto"/>
              </w:rPr>
            </w:pPr>
            <w:r>
              <w:rPr>
                <w:rFonts w:ascii="Arial" w:cs="Arial" w:eastAsia="Arial" w:hAnsi="Arial"/>
                <w:sz w:val="18"/>
                <w:szCs w:val="18"/>
                <w:color w:val="auto"/>
              </w:rPr>
              <w:t>DHI Group</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5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470</w:t>
            </w:r>
          </w:p>
        </w:tc>
        <w:tc>
          <w:tcPr>
            <w:tcW w:w="4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9,291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6,991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6,843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2,162</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9" w:lineRule="exact"/>
        <w:rPr>
          <w:rFonts w:ascii="Arial" w:cs="Arial" w:eastAsia="Arial" w:hAnsi="Arial"/>
          <w:sz w:val="18"/>
          <w:szCs w:val="18"/>
          <w:color w:val="auto"/>
        </w:rPr>
      </w:pPr>
    </w:p>
    <w:p>
      <w:pPr>
        <w:ind w:left="340" w:right="4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 and cash flow data for fiscal year ended January 29, 2016 presented in the table above have not been recast for, and do not reflect the adoption of, the amended guidance on the recognition of revenue from contracts with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12"/>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January 29, 2016</w:t>
            </w: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January 31, 2020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1, 2019</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2, 2018</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w:t>
            </w:r>
          </w:p>
        </w:tc>
        <w:tc>
          <w:tcPr>
            <w:tcW w:w="46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(a)</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9,302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9,676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13,942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9,474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6,322</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118,861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111,820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124,193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119,672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45,122</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Short-term debt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7,737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7,873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6,329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2,981</w:t>
            </w: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44,319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49,201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43,998</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43,061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10,650</w:t>
            </w:r>
          </w:p>
        </w:tc>
      </w:tr>
      <w:tr>
        <w:trPr>
          <w:trHeight w:val="229"/>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Total Dell Technologies Inc. stockholders’</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equity (deficit)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11,719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14,757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1,466</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ind w:left="340" w:right="60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 data as of January 29, 2016 presented in the table above have not been recast for, and do not reflect the adoption of, the amended guidance on the recognition of revenue from contracts with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This management’s discussion and analysis should be read in conjunction with the audited Consolidated Financial Statements and accompanying Notes included in this annual report on Form 10-K.</w:t>
      </w:r>
    </w:p>
    <w:p>
      <w:pPr>
        <w:spacing w:after="0" w:line="170"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fiscal year is the 52- or 53-week period ending on the Friday nearest January 31. We refer to our fiscal years ended January 31, 2020, February 1, 2019, and February 2, 2018 as “Fiscal 2020,” “Fiscal 2019,” and “Fiscal 2018,” respectively. All fiscal years presented included 52 weeks.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Dell Technologies is a leading global end-to-end technology provider, with a comprehensive portfolio of IT hardware, software and services solutions spanning both traditional infrastructure and emerging, multi-cloud technologies that enable our customers to build their digital future and transform how they work and live. We operate globally across key functional areas such as technology and product development, marketing, go-to-market and global services, and are supported by Dell Financial Services. We continue to seamlessly deliver differentiated and holistic IT solutions to our customers, which has driven significant revenue growth and share gains.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Dell Technologies operates with significant scale and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edge to the core to the cloud, and we are at the forefront of the software-defined and cloud native infrastructure era. Our end-to-end portfolio is supported by a differentiated go-to-market engine, which includes a 43,000-person sales force, a global network of channel partners, and a world-class supply chain that together drive revenue growth and operating efficiencies.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w:t>
      </w:r>
    </w:p>
    <w:p>
      <w:pPr>
        <w:spacing w:after="0" w:line="170"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Infrastructure Solutions Group (“ISG”)</w:t>
      </w:r>
      <w:r>
        <w:rPr>
          <w:rFonts w:ascii="Arial" w:cs="Arial" w:eastAsia="Arial" w:hAnsi="Arial"/>
          <w:sz w:val="18"/>
          <w:szCs w:val="18"/>
          <w:i w:val="1"/>
          <w:iCs w:val="1"/>
          <w:color w:val="auto"/>
        </w:rPr>
        <w:t xml:space="preserve"> </w:t>
      </w:r>
      <w:r>
        <w:rPr>
          <w:rFonts w:ascii="Arial" w:cs="Arial" w:eastAsia="Arial" w:hAnsi="Arial"/>
          <w:sz w:val="18"/>
          <w:szCs w:val="18"/>
          <w:color w:val="auto"/>
        </w:rPr>
        <w:t>— ISG enables the digital transformation of our customers through our trusted multi-cloud and big data</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We have simplified our storage portfolio to ensure that we deliver the technology needed for our customers’ digital transformation. Our server portfolio includes high-performance rack, blade, tower and hyperscale servers, optimized for artificial intelligence and machine learning workloads. Our networking portfolio helps our business customers transform and modernize their infrastructure, mobilize and enrich end-user experiences, and accelerate business applications and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87"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We recently unveiled the Dell Technologies Cloud, a new set of cloud infrastructure solutions to make hybrid cloud environments simpler to deploy and manage. The Dell Technologies Cloud portfolio consists of the new Dell Technologies Cloud Platforms and the new Data Center-as-a-Service offering referred to as VMware Cloud on Dell EMC. These solutions enable a flexible range of IT and management options with tight integration and a single vendor experience for purchasing, deployment, services, and financing, giving customers more control as the operational hub of their hybrid clouds.</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sz w:val="20"/>
          <w:szCs w:val="20"/>
          <w:color w:val="auto"/>
        </w:rPr>
      </w:pPr>
    </w:p>
    <w:p>
      <w:pPr>
        <w:ind w:left="660" w:right="160" w:hanging="328"/>
        <w:spacing w:after="0" w:line="25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CSG includes branded hardware (such as desktops, workstations, and notebooks) and branded peripherals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through Dell Financial Services. CSG also offers attached software, peripherals, and services, including support and deployment, configuration, and extended warranty services.</w:t>
      </w:r>
    </w:p>
    <w:p>
      <w:pPr>
        <w:spacing w:after="0" w:line="191" w:lineRule="exact"/>
        <w:rPr>
          <w:rFonts w:ascii="Arial" w:cs="Arial" w:eastAsia="Arial" w:hAnsi="Arial"/>
          <w:sz w:val="18"/>
          <w:szCs w:val="18"/>
          <w:i w:val="1"/>
          <w:iCs w:val="1"/>
          <w:color w:val="auto"/>
        </w:rPr>
      </w:pPr>
    </w:p>
    <w:p>
      <w:pPr>
        <w:ind w:left="660" w:right="7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0" w:hanging="328"/>
        <w:spacing w:after="0" w:line="273"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VMware</w:t>
      </w:r>
      <w:r>
        <w:rPr>
          <w:rFonts w:ascii="Arial" w:cs="Arial" w:eastAsia="Arial" w:hAnsi="Arial"/>
          <w:sz w:val="17"/>
          <w:szCs w:val="17"/>
          <w:i w:val="1"/>
          <w:iCs w:val="1"/>
          <w:color w:val="auto"/>
        </w:rPr>
        <w:t xml:space="preserve"> </w:t>
      </w:r>
      <w:r>
        <w:rPr>
          <w:rFonts w:ascii="Arial" w:cs="Arial" w:eastAsia="Arial" w:hAnsi="Arial"/>
          <w:sz w:val="17"/>
          <w:szCs w:val="17"/>
          <w:color w:val="auto"/>
        </w:rPr>
        <w:t>— The VMware reportable segment (“VMware”) reflects the operations of VMware, Inc. (NYSE: VMW) within Dell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 VMware’s portfolio supports and addresses the key IT priorities of customers: accelerating their cloud journey, modernizing their applications, empowering digital workspaces, transforming networking, and embracing intrinsic security. VMware enables its customers to digitally transform their operations as they ready their applications, infrastructure, and employees for constantly evolving business needs.</w:t>
      </w:r>
    </w:p>
    <w:p>
      <w:pPr>
        <w:spacing w:after="0" w:line="177" w:lineRule="exact"/>
        <w:rPr>
          <w:rFonts w:ascii="Arial" w:cs="Arial" w:eastAsia="Arial" w:hAnsi="Arial"/>
          <w:sz w:val="17"/>
          <w:szCs w:val="17"/>
          <w:i w:val="1"/>
          <w:iCs w:val="1"/>
          <w:color w:val="auto"/>
        </w:rPr>
      </w:pPr>
    </w:p>
    <w:p>
      <w:pPr>
        <w:ind w:left="660" w:right="32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During the third quarter of Fiscal 2020, VMware, Inc. completed its acquisition of Carbon Black, Inc. (“Carbon Black”), a developer of cloud-native endpoint protection.</w:t>
      </w:r>
    </w:p>
    <w:p>
      <w:pPr>
        <w:spacing w:after="0" w:line="170" w:lineRule="exact"/>
        <w:rPr>
          <w:rFonts w:ascii="Arial" w:cs="Arial" w:eastAsia="Arial" w:hAnsi="Arial"/>
          <w:sz w:val="17"/>
          <w:szCs w:val="17"/>
          <w:i w:val="1"/>
          <w:iCs w:val="1"/>
          <w:color w:val="auto"/>
        </w:rPr>
      </w:pPr>
    </w:p>
    <w:p>
      <w:pPr>
        <w:ind w:left="660" w:right="10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On December 30, 2019, VMware, Inc. completed its acquisition of Pivotal, Inc. (“Pivotal”). Before the transaction, Pivotal was a majority-owned subsidiary of Dell Technologies through EMC and VMware, Inc. Pivotal provides a leading cloud-native platform that makes software development and IT operations a strategic advantage for customers. Pivotal’s cloud-native platform, Pivotal Cloud Foundry, accelerates and streamlines software development by reducing the complexity of building, deploying and operating new cloud-native applications, and modernizing legacy applications. With the acquisition, which aligns key software assets, VMware, Inc. will drive and build on a comprehensive development platform with Kubernetes.</w:t>
      </w:r>
    </w:p>
    <w:p>
      <w:pPr>
        <w:spacing w:after="0" w:line="192" w:lineRule="exact"/>
        <w:rPr>
          <w:rFonts w:ascii="Arial" w:cs="Arial" w:eastAsia="Arial" w:hAnsi="Arial"/>
          <w:sz w:val="17"/>
          <w:szCs w:val="17"/>
          <w:i w:val="1"/>
          <w:iCs w:val="1"/>
          <w:color w:val="auto"/>
        </w:rPr>
      </w:pPr>
    </w:p>
    <w:p>
      <w:pPr>
        <w:ind w:left="660" w:right="6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Under the terms of the transaction, each outstanding share of Pivotal’s Class A common stock (other than shares held by Pivotal stockholders who properly exercised their appraisal rights under Delaware law) was converted into the right to receive $15.00 in cash, without interest, and each outstanding share of Pivotal’s Class B common stock was converted into the right to receive 0.0550 of a share of Class B common stock of VMware, Inc. Dell Technologies, which held all outstanding shares of Pivotal’s Class B common stock, received approximately 7.2 million shares of Class B common stock of VMware, Inc. in the transaction.</w:t>
      </w:r>
    </w:p>
    <w:p>
      <w:pPr>
        <w:spacing w:after="0" w:line="187" w:lineRule="exact"/>
        <w:rPr>
          <w:rFonts w:ascii="Arial" w:cs="Arial" w:eastAsia="Arial" w:hAnsi="Arial"/>
          <w:sz w:val="17"/>
          <w:szCs w:val="17"/>
          <w:i w:val="1"/>
          <w:iCs w:val="1"/>
          <w:color w:val="auto"/>
        </w:rPr>
      </w:pPr>
    </w:p>
    <w:p>
      <w:pPr>
        <w:ind w:left="660" w:right="24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The purchase of the controlling interest in Pivotal from Dell Technologies was accounted for as a transaction by entities under common control. Assets and liabilities of Pivotal remained at their historical carrying amounts on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spacing w:after="0" w:line="263" w:lineRule="auto"/>
        <w:rPr>
          <w:sz w:val="20"/>
          <w:szCs w:val="20"/>
          <w:color w:val="auto"/>
        </w:rPr>
      </w:pPr>
      <w:r>
        <w:rPr>
          <w:rFonts w:ascii="Arial" w:cs="Arial" w:eastAsia="Arial" w:hAnsi="Arial"/>
          <w:sz w:val="18"/>
          <w:szCs w:val="18"/>
          <w:color w:val="auto"/>
        </w:rPr>
        <w:t>date of the transaction, with no new goodwill being recognized. This transaction required retrospective combination of the VMware, Inc. and Pivotal results for all periods presented, as if the combination had been in effect since the inception of common control on the date of the EMC merger transaction in September 2016.</w:t>
      </w:r>
    </w:p>
    <w:p>
      <w:pPr>
        <w:spacing w:after="0" w:line="184"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Dell Technologies now reports Pivotal results within the VMware reportable segment, and the historical segment results have been recast to reflect this change. Pivotal results were previously reported within other businesses. See Note 19 of the Notes to the Consolidated Financial Statements included in this report for the recast of segment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Our other businesses, described below, consist of product and service offerings of Secureworks, Virtustream, Boomi, and RSA Security,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w:t>
      </w:r>
    </w:p>
    <w:p>
      <w:pPr>
        <w:spacing w:after="0" w:line="165" w:lineRule="exact"/>
        <w:rPr>
          <w:sz w:val="20"/>
          <w:szCs w:val="20"/>
          <w:color w:val="auto"/>
        </w:rPr>
      </w:pPr>
    </w:p>
    <w:p>
      <w:pPr>
        <w:ind w:left="660" w:right="4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protecting 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 Beginning in the first quarter of Fiscal 2019, Virtustream results are reported within other businesses, rather than within ISG. This change in reporting structure did not impact our previously reported consolidated financial results, but our prior period segment results have been recast to reflect the change.</w:t>
      </w:r>
    </w:p>
    <w:p>
      <w:pPr>
        <w:spacing w:after="0" w:line="186"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processes are optimized, data is accurate and workflow is reliable.</w:t>
      </w:r>
    </w:p>
    <w:p>
      <w:pPr>
        <w:spacing w:after="0" w:line="170"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RSA Security </w:t>
      </w:r>
      <w:r>
        <w:rPr>
          <w:rFonts w:ascii="Arial" w:cs="Arial" w:eastAsia="Arial" w:hAnsi="Arial"/>
          <w:sz w:val="16"/>
          <w:szCs w:val="16"/>
          <w:color w:val="auto"/>
        </w:rPr>
        <w:t>provides essential cybersecurity solutions engineered to enable organizations to detect, investigate, and respond to advanced attacks,</w:t>
      </w:r>
      <w:r>
        <w:rPr>
          <w:rFonts w:ascii="Arial" w:cs="Arial" w:eastAsia="Arial" w:hAnsi="Arial"/>
          <w:sz w:val="16"/>
          <w:szCs w:val="16"/>
          <w:i w:val="1"/>
          <w:iCs w:val="1"/>
          <w:color w:val="auto"/>
        </w:rPr>
        <w:t xml:space="preserve"> </w:t>
      </w:r>
      <w:r>
        <w:rPr>
          <w:rFonts w:ascii="Arial" w:cs="Arial" w:eastAsia="Arial" w:hAnsi="Arial"/>
          <w:sz w:val="16"/>
          <w:szCs w:val="16"/>
          <w:color w:val="auto"/>
        </w:rPr>
        <w:t>confirm and manage identities, and, ultimately, help reduce IP theft, fraud, and cybercrime. In February 2020, Dell Technologies announced its entry into a definitive agreement to sell RSA Security to a consortium of investors in an all-cash transaction for approximately $2.075 billion, subject to certain closing adjustments. The transaction is intended to further simplify our product portfolio and corporate structure.</w:t>
      </w:r>
    </w:p>
    <w:p>
      <w:pPr>
        <w:spacing w:after="0" w:line="15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believe the collaboration, innovation, and coordination of the operations and strategies across all segments of our business,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all segments of our business.</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 and Note 19 of the Notes to the Consolidated Financial Statements included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or use of our product, software, and service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The results of these operations are allocated to our segments based on the underlying product or service financed. For additional information about our financing arrangements, see Note 4 of the Notes to the Consolidated Financial Statements included in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part of our strategy, we will continue to evaluate opportunities for strategic investments through our venture capital investment arm, Dell Technologies Capital, with a focus on emerging technology areas that are relevant to the Dell Technologies unique family of businesses and that will complement our existing portfolio of solutions. Our investment areas include storage, software-defined networking, management and orchestration, security, machine learning and artificial intelligence, Big Data and analytics, cloud, Internet of Things (“IoT”), and software development operations. In addition to these investments, we also may make disciplined acquisitions targeting businesses that advance our strategic objectives. As of January 31, 2020 and February 1, 2019, Dell Technologies held strategic investments of $0.9 billion and $1.0 billion,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vision is to be an essential infrastructure company and leader in end-user computing, software-defined data center solutions, data management, virtualization, IoT, and cloud software. We believe that our results will benefit from an integrated go-to-market strategy, including enhanced coordination across all segments of our business, and from our differentiated products and solutions capabilities. We intend to continue to execute on our business model and seek to balance liquidity, profitability, and growth to position our company for long-term success.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seeing an accelerated rate of change in the IT industry. We seek to address our customers’ evolving needs and their broader digital transformation objectives as they embrace the hybrid multi-cloud environment of today. New technologies are being introduced and adopted quickly. In light of this rapid pace of innovation, we continue to invest in research and development, sales, and other key areas of our business to deliver superior products and solutions capabilities and to drive execution of long-term sustainable growth.</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expect that ISG will continue to be impacted by the changing nature of the IT infrastructure market and competitive environment. The overall server demand environment remains varied among international regions. We will continue to be selective in determining whether to pursue certain large hyperscale and other server transactions as we drive for balanced growth and profitability. With our scale and strong solutions portfolio, we believe we are well positioned to respond to ongoing competitive dynamics. We continue to focus on customer base expansion and lifetime value of customer measurements.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Cloud-native applications are expected to continue as a primary growth driver in the infrastructure market as IT organizations increasingly adopt cloud native architectures. We believe the complementary cloud solutions across our business strongly position us to meet these demands for our customers who are increasingly looking to leverage cloud native architectures, whether on-premises, private or public.</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unprecedented data growth throughout all industries is generating continued demand for our storage solutions and services. We benefit by offering solutions that address the emerging trends of enterprises deploying software-defined storage, hyper-converged infrastructure, and modular solutions based on server-centric architectures. These trends are changing the way customers are consuming our traditional storage offerings. We continue to expand our offerings in external storage arrays, which incorporate flexible, cloud-based functionality. Through our research and development efforts, we are developing new solutions in this rapidly changing industry that we believe will enable us to continue to provide superior solutions to our customers.</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customers are interested in new and innovative models that address how they consume our solutions. We offer options including as-a-service, utility, leases, or immediate pay models, all designed to match customers’ consumption preferences. These solutions are generally multi-year agreements that typically result in recurring revenue streams over the term of the arrangement. We expect these flexible consumption models will further strengthen our customer relationships and provide a foundation for growth in deferred revenue.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CSG offerings are an important element of our strategy, generating strong cash flow and opportunities for cross-selling of complementary solutions. Given current market trends, we expect that the CSG demand environment will continue to be cyclical. For instance, CSG demand was robust in Fiscal 2020 as we realized benefits from the Microsoft Windows 10 operating system refresh cycle. Although we expect continued strong demand into the early part of Fiscal 2021, we expect overall CSG demand will decelerate in Fiscal 2021 as the Windows 10 refresh cycle winds down. Competitive dynamics will continue to be a factor in our CSG business as we seek to balance profitability and growth. We are committed to a long-term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growth strategy, and beyond Fiscal 2021 we believe CSG will benefit from a steady demand environment due to the consolidation trends that are occurring in the markets in which we compete.</w:t>
      </w:r>
    </w:p>
    <w:p>
      <w:pPr>
        <w:spacing w:after="0" w:line="170"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During Fiscal 2020, we recognized benefits to our CSG and ISG operating results from significant component cost declines. We are seeing cost inflation across certain components, and we expect the overall environment to be inflationary, which may result in Fiscal 2021 consolidated operating results that trend more toward Fiscal 2019 levels. The component cost trends and forecasts are dependent on the strength or weakness of actual end user demand and supply dynamics, which will continue to evolve and ultimately impact the translation of the cost environment to pricing and operating results.</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Dell Technologies maintains limited-source supplier relationships for processors, because the relationships are advantageous in the areas of performance, quality, support, delivery, capacity, and price considerations. We have seen the impact of processor and other supply constraints in certain product offerings. Delays in the supply of limited-source components could affect the timing of shipments of certain products in desired quantities or configurations.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impacts of trade protection measures, including increases in tariffs and trade barriers due to the current geopolitical climate and changes in government policies and international trade arrangements, may affect our ability to conduct business in some non-U.S. markets. Among such impacts, we expect slower demand in China may affect our results in Fiscal 2021. We monitor and seek to mitigate these risks with adjustments to our manufacturing, supply chain and distribution networks.</w:t>
      </w:r>
    </w:p>
    <w:p>
      <w:pPr>
        <w:spacing w:after="0" w:line="18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business operations could be adversely affected by uncertainty and disruption resulting from the global spread of the coronavirus disease 2019 (COVID-19). While we are currently seeing heightened interest in work from home solutions and continuing execution in our global supply chain, we are unable to predict the extent to which the global COVID-19 pandemic may adversely impact our business operations, financial performance and results of operations for Fiscal 2021. We have taken precautionary measures to increase our cash position and preserve financial flexibility. We will continue to monitor global events and respond accordingly to any potential business disruptions that may occur.</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revenue by sales to customers outside of the United States during Fiscal 2020, Fiscal 2019, and Fiscal 2018. As a result, our revenue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key performance metrics are net revenue, operating income, adjusted EBITDA, and cash flows from operations, which are discussed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our senior secured credit facilities, proceeds of a margin loan financing in an aggregate principal amount of $1.35 billion, proceeds of Dell Technologies’ pro-rata portion, in the amount of $8.87 billion, of a special $11 billion cash dividend paid by VMware, Inc. in connection with the Class V transaction, and cash on hand at Dell Technologies and its subsidiaries. See Note 6 of the Notes to the Consolidated Financial Statements included in this report for information about the debt we incurred to finance the Class V transaction.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w:t>
      </w:r>
    </w:p>
    <w:p>
      <w:pPr>
        <w:spacing w:after="0" w:line="1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Revenue Reclassifications </w:t>
      </w:r>
      <w:r>
        <w:rPr>
          <w:rFonts w:ascii="Arial" w:cs="Arial" w:eastAsia="Arial" w:hAnsi="Arial"/>
          <w:sz w:val="18"/>
          <w:szCs w:val="18"/>
          <w:color w:val="auto"/>
        </w:rPr>
        <w:t>— During Fiscal 2020, Dell Technologies made certain reclassifications of net revenue and non-GAAP net revenue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categories. The reclassifications were made to provide a more meaningful representation of the nature of certain service and software-as-a-service offerings of VMware, Inc. Prior period results were recast to conform with these changes, and resulted in an increase to services revenue and an equal and offsetting decrease to product revenue in the following amounts: $584 million for the nine months ended November 1, 2019; $580 million for Fiscal 2019; and $353 million for Fiscal 2018. Total net revenue, total gross margin, total non-GAAP net revenue, and total non-GAAP gross margin as previously reported remain unchanged. The Company did not adjust cost of goods sold for the affected product offerings due to immateriality.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items excluded from the most comparable GAAP financial measures to calculate our non-GAAP financial measures:</w:t>
      </w:r>
    </w:p>
    <w:p>
      <w:pPr>
        <w:spacing w:after="0" w:line="248" w:lineRule="exact"/>
        <w:rPr>
          <w:sz w:val="20"/>
          <w:szCs w:val="20"/>
          <w:color w:val="auto"/>
        </w:rPr>
      </w:pPr>
    </w:p>
    <w:p>
      <w:pPr>
        <w:ind w:left="340" w:right="80" w:hanging="332"/>
        <w:spacing w:after="0" w:line="270"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Amortization of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Amortization of intangible assets primarily consists of amortization of customer relationships,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trade names. In connection with our acquisition by merger of EMC on September 7, 2016, referred to as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80" w:lineRule="exact"/>
        <w:rPr>
          <w:rFonts w:ascii="Arial" w:cs="Arial" w:eastAsia="Arial" w:hAnsi="Arial"/>
          <w:sz w:val="17"/>
          <w:szCs w:val="17"/>
          <w:color w:val="auto"/>
        </w:rPr>
      </w:pPr>
    </w:p>
    <w:p>
      <w:pPr>
        <w:ind w:left="340" w:right="20" w:hanging="332"/>
        <w:spacing w:after="0" w:line="288"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Impact of Purchase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impact of purchase accounting includes purchase accounting adjustments, related to the EMC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Although purchase accounting adjustments and related amortization of those adjustments are reflected in our GAAP results,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68" w:lineRule="exact"/>
        <w:rPr>
          <w:rFonts w:ascii="Arial" w:cs="Arial" w:eastAsia="Arial" w:hAnsi="Arial"/>
          <w:sz w:val="16"/>
          <w:szCs w:val="16"/>
          <w:i w:val="1"/>
          <w:iCs w:val="1"/>
          <w:color w:val="auto"/>
        </w:rPr>
      </w:pPr>
    </w:p>
    <w:p>
      <w:pPr>
        <w:ind w:left="340" w:right="20" w:hanging="332"/>
        <w:spacing w:after="0" w:line="273"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Transaction-related Expenses</w:t>
      </w:r>
      <w:r>
        <w:rPr>
          <w:rFonts w:ascii="Arial" w:cs="Arial" w:eastAsia="Arial" w:hAnsi="Arial"/>
          <w:sz w:val="17"/>
          <w:szCs w:val="17"/>
          <w:i w:val="1"/>
          <w:iCs w:val="1"/>
          <w:color w:val="auto"/>
        </w:rPr>
        <w:t xml:space="preserve"> — </w:t>
      </w:r>
      <w:r>
        <w:rPr>
          <w:rFonts w:ascii="Arial" w:cs="Arial" w:eastAsia="Arial" w:hAnsi="Arial"/>
          <w:sz w:val="17"/>
          <w:szCs w:val="17"/>
          <w:color w:val="auto"/>
        </w:rPr>
        <w:t>Transaction-related expenses consist of acquisition, integration, and divestiture related costs, as well as the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in the Class V transaction, and are expensed as incurred. These expenses primarily represent costs for legal, banking, consulting, and advisory services, as well as certain compensatory retention awards directly related to the EMC merger transaction. During Fiscal 2020, transaction expenses related to various acquisition costs, primarily costs of VMware, Inc.’s acquisitions of Carbon Black and Pivotal. During Fiscal 2019, we incurred expenses of approximately $316 million for the completion of the Class V transaction, approximately $116 million for customer evaluation units, and approximately $100 million for manufacturing and engineering inventory.</w:t>
      </w:r>
    </w:p>
    <w:p>
      <w:pPr>
        <w:spacing w:after="0" w:line="177" w:lineRule="exact"/>
        <w:rPr>
          <w:rFonts w:ascii="Arial" w:cs="Arial" w:eastAsia="Arial" w:hAnsi="Arial"/>
          <w:sz w:val="17"/>
          <w:szCs w:val="17"/>
          <w:color w:val="auto"/>
        </w:rPr>
      </w:pPr>
    </w:p>
    <w:p>
      <w:pPr>
        <w:ind w:left="340" w:hanging="332"/>
        <w:spacing w:after="0" w:line="287"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Stock-based Compensation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 Stock-based compensation expense consists of equity awards granted based on the estimated fair value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at grant date. We estimate the fair value of service-based stock options using the Black-Scholes valuation model. To estimate the fair value of performance-based awards containing a market condition, we use the Monte Carlo valuation model. For all other share-based awards, the fair value is based on the closing price of the Class C Common Stock as reported on the NYSE on the date of grant. Our non-GAAP adjustment for stock-based compensation expense was previously included within the non-GAAP adjustment for other corporate expenses. Due to the growth in our stock-based compensation expense, we have revised our presentation to present stock-based compensation expense separately in our reconciliations presented below. Although stock-based compensation is an important aspect of the compensation of the Company’s employees and executives, the fair value of the stock-based awards may bear little resemblance to the actual value realized upon the vesting or future exercise of the related stock-based awards. We believe that excluding stock-based compensation expense for purposes of calculating the non-GAAP financial measures presented below facilitates a more meaningful evaluation of our current operating performance and comparisons to our past operating performance. See Note 16 of the Notes to the Consolidated Financial Statements included in this report for additional information on equity award issuances.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line="270"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 of impairment charges, severance, facility action, and other costs. Virtustream non-cash gross impairment charges of $619 million and $190 million were recognized in Fiscal 2020 and Fiscal 2019, respectively. See Note 8 of the Notes to the Consolidated Financial Statements included in this report for additional information on Virtustream impairment charges. During Fiscal 2020, this category includes a VMware, Inc. legal accrual of $237 million related to patent litigation. Severance costs are primarily related to severance and benefits for employees terminated pursuant to cost savings initiatives. We continue to integrate owned and leased facilities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180" w:lineRule="exact"/>
        <w:rPr>
          <w:rFonts w:ascii="Arial" w:cs="Arial" w:eastAsia="Arial" w:hAnsi="Arial"/>
          <w:sz w:val="17"/>
          <w:szCs w:val="17"/>
          <w:i w:val="1"/>
          <w:iCs w:val="1"/>
          <w:color w:val="auto"/>
        </w:rPr>
      </w:pPr>
    </w:p>
    <w:p>
      <w:pPr>
        <w:ind w:left="340" w:right="180" w:hanging="332"/>
        <w:spacing w:after="0" w:line="255"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Fair Value Adjustments on Equity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adjustments on equity investments primarily consists of the gain (loss) on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includes the recurring fair value adjustments of investments in publicly-traded companies, as well as those in privately-held companies, which are adjusted for observable price changes, and to a lesser extent, any potential impairments. Given the volatility in the ongoing adjustments to the valuation of these strategic investments, we believe that excluding these gains or losses for purposes of calculating non-GAAP net income presented below facilitates a more meaningful evaluation of our current operating performance and comparisons to our past operating performance.</w:t>
      </w:r>
    </w:p>
    <w:p>
      <w:pPr>
        <w:spacing w:after="0" w:line="192" w:lineRule="exact"/>
        <w:rPr>
          <w:rFonts w:ascii="Arial" w:cs="Arial" w:eastAsia="Arial" w:hAnsi="Arial"/>
          <w:sz w:val="18"/>
          <w:szCs w:val="18"/>
          <w:color w:val="auto"/>
        </w:rPr>
      </w:pPr>
    </w:p>
    <w:p>
      <w:pPr>
        <w:ind w:left="340" w:right="20" w:hanging="332"/>
        <w:spacing w:after="0" w:line="272"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Aggregate Adjustment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 The aggregate adjustment for income taxes is the estimated combined income tax effect for the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as well as an adjustment for discrete tax items. Due to the variability in recognition of discrete tax items from period to period, we believe that excluding these benefits or charges for purposes of calculating non-GAAP net income facilitates a more meaningful evaluation of our current operating performance and comparisons to our past operating performance. The tax effects are determined based on the tax jurisdictions where the above items were incurred. This category includes discrete tax benefits of $4.9 billion related to intra-entity asset transfers, $351 million related to stock-based compensation, and $305 million related to an audit settlement. See Note 11 of the Notes to the Consolidated Financial Statements included in this report for additional information on our income taxes.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presents a reconciliation of each non-GAAP financial measure to the most directly comparable GAAP measure for each of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31,</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February 1,</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69,918</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70,707</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60,898</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69,937</w:t>
            </w:r>
          </w:p>
        </w:tc>
        <w:tc>
          <w:tcPr>
            <w:tcW w:w="14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70,768</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61,068</w:t>
            </w:r>
          </w:p>
        </w:tc>
        <w:tc>
          <w:tcPr>
            <w:tcW w:w="0" w:type="dxa"/>
            <w:vAlign w:val="bottom"/>
          </w:tcPr>
          <w:p>
            <w:pPr>
              <w:spacing w:after="0"/>
              <w:rPr>
                <w:sz w:val="1"/>
                <w:szCs w:val="1"/>
                <w:color w:val="auto"/>
              </w:rPr>
            </w:pPr>
          </w:p>
        </w:tc>
      </w:tr>
      <w:tr>
        <w:trPr>
          <w:trHeight w:val="311"/>
        </w:trPr>
        <w:tc>
          <w:tcPr>
            <w:tcW w:w="3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22,236</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19,914</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22,564</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20,556</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19,241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92,154</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90,621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79,040</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92,501</w:t>
            </w:r>
          </w:p>
        </w:tc>
        <w:tc>
          <w:tcPr>
            <w:tcW w:w="14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91,324</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80,309</w:t>
            </w:r>
          </w:p>
        </w:tc>
        <w:tc>
          <w:tcPr>
            <w:tcW w:w="0" w:type="dxa"/>
            <w:vAlign w:val="bottom"/>
          </w:tcPr>
          <w:p>
            <w:pPr>
              <w:spacing w:after="0"/>
              <w:rPr>
                <w:sz w:val="1"/>
                <w:szCs w:val="1"/>
                <w:color w:val="auto"/>
              </w:rPr>
            </w:pPr>
          </w:p>
        </w:tc>
      </w:tr>
      <w:tr>
        <w:trPr>
          <w:trHeight w:val="311"/>
        </w:trPr>
        <w:tc>
          <w:tcPr>
            <w:tcW w:w="3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15,393</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12,818</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2,081</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Non-GAAP product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17,523</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16,021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gross margin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13,540</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12,235</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Non-GAAP services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14,040</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13,001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vMerge w:val="restart"/>
          </w:tcPr>
          <w:p>
            <w:pPr>
              <w:jc w:val="right"/>
              <w:ind w:right="93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January 31,</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1,</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8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28,933</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25,053</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20,537</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Non-GAAP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31,563</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29,022</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25,668</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26,311</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25,244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22,953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(2,327)</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(3,255)</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(1,088)</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21,415</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20,168</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w:t>
            </w: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4,408</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Non-GAAP 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10,148</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8,854</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5,529</w:t>
            </w:r>
          </w:p>
        </w:tc>
        <w:tc>
          <w:tcPr>
            <w:tcW w:w="1400" w:type="dxa"/>
            <w:vAlign w:val="bottom"/>
            <w:vMerge w:val="restart"/>
          </w:tcPr>
          <w:p>
            <w:pPr>
              <w:jc w:val="right"/>
              <w:ind w:right="50"/>
              <w:spacing w:after="0"/>
              <w:rPr>
                <w:sz w:val="20"/>
                <w:szCs w:val="20"/>
                <w:color w:val="auto"/>
              </w:rPr>
            </w:pPr>
            <w:r>
              <w:rPr>
                <w:rFonts w:ascii="Arial" w:cs="Arial" w:eastAsia="Arial" w:hAnsi="Arial"/>
                <w:sz w:val="18"/>
                <w:szCs w:val="18"/>
                <w:color w:val="auto"/>
              </w:rPr>
              <w:t>354%</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(2,181)</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4,408</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6,138</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5"/>
              </w:rPr>
              <w:t>Fair value adjustments on equity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8"/>
                <w:szCs w:val="18"/>
                <w:color w:val="auto"/>
              </w:rPr>
              <w:t>Aggregate adjustment for income taxes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(6,772)</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Non-GAAP net income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6,089</w:t>
            </w:r>
          </w:p>
        </w:tc>
        <w:tc>
          <w:tcPr>
            <w:tcW w:w="14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4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1340" w:type="dxa"/>
            <w:vAlign w:val="bottom"/>
            <w:tcBorders>
              <w:bottom w:val="single" w:sz="8" w:color="auto"/>
            </w:tcBorders>
            <w:vMerge w:val="continue"/>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1340" w:type="dxa"/>
            <w:vAlign w:val="bottom"/>
            <w:tcBorders>
              <w:bottom w:val="single" w:sz="8" w:color="auto"/>
            </w:tcBorders>
            <w:vMerge w:val="continue"/>
            <w:shd w:val="clear" w:color="auto" w:fill="CCEEFF"/>
          </w:tcPr>
          <w:p>
            <w:pPr>
              <w:spacing w:after="0"/>
              <w:rPr>
                <w:sz w:val="12"/>
                <w:szCs w:val="12"/>
                <w:color w:val="auto"/>
              </w:rPr>
            </w:pPr>
          </w:p>
        </w:tc>
        <w:tc>
          <w:tcPr>
            <w:tcW w:w="14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13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impairment charges, and severance, facility action, and other costs, and stock-based compensation expense. We believe that, due to the non-operational nature of the purchase accounting entries, it is appropriate to exclude these adjustments.</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income (loss)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January 31,</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1,</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8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5,529</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Income tax benefit (b)</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(5,533)</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7,746</w:t>
            </w: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8,765</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7,555</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311"/>
        </w:trPr>
        <w:tc>
          <w:tcPr>
            <w:tcW w:w="3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8,765</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7,555</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(c)</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7"/>
        </w:trPr>
        <w:tc>
          <w:tcPr>
            <w:tcW w:w="374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11,787</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10,296</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11 of the Notes to the Consolidated Financial Statements included in this report for additional information on discrete tax items recorded in Fiscal 2020.</w:t>
      </w: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Transaction-related expenses consist of acquisition, integration, and divestiture related costs, as well as the costs incurred in the Class V transaction.</w:t>
      </w:r>
    </w:p>
    <w:p>
      <w:pPr>
        <w:spacing w:after="0" w:line="32" w:lineRule="exact"/>
        <w:rPr>
          <w:rFonts w:ascii="Arial" w:cs="Arial" w:eastAsia="Arial" w:hAnsi="Arial"/>
          <w:sz w:val="16"/>
          <w:szCs w:val="16"/>
          <w:color w:val="auto"/>
        </w:rPr>
      </w:pPr>
    </w:p>
    <w:p>
      <w:pPr>
        <w:ind w:left="340" w:right="660" w:hanging="332"/>
        <w:spacing w:after="0" w:line="26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severance, facility action, and other costs. See Note 8 of the Notes to the Consolidated Financial Statements included in this report for additional information on Virtustream impairment charges.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consolidated results for each of the periods presented. Unless otherwise indicated, all changes identified for the current period results represent comparisons to results for the prior corresponding fiscal period.</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Revenue Reclassifications </w:t>
      </w:r>
      <w:r>
        <w:rPr>
          <w:rFonts w:ascii="Arial" w:cs="Arial" w:eastAsia="Arial" w:hAnsi="Arial"/>
          <w:sz w:val="16"/>
          <w:szCs w:val="16"/>
          <w:color w:val="auto"/>
        </w:rPr>
        <w:t>— During Fiscal 2020, Dell Technologies made certain reclassifications of net revenue between the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Prior period results were recast to conform with these changes. The Company did not recast cost of goods sold for the related revenue reclassifications due to immateriality. Total net revenue, total gross margin, total non-GAAP net revenue, and total non-GAAP gross margin remain unchanged. See Note 1 of the Notes to the Consolidated Financial Statements included in this report for further information regarding the reclassifications.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Fiscal Year Ended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284"/>
              <w:spacing w:after="0"/>
              <w:rPr>
                <w:sz w:val="20"/>
                <w:szCs w:val="20"/>
                <w:color w:val="auto"/>
              </w:rPr>
            </w:pPr>
            <w:r>
              <w:rPr>
                <w:rFonts w:ascii="Arial" w:cs="Arial" w:eastAsia="Arial" w:hAnsi="Arial"/>
                <w:sz w:val="16"/>
                <w:szCs w:val="16"/>
                <w:b w:val="1"/>
                <w:bCs w:val="1"/>
                <w:color w:val="auto"/>
              </w:rPr>
              <w:t>January 31, 2020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3"/>
              </w:rPr>
              <w:t>February 1, 2019</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right"/>
              <w:ind w:right="304"/>
              <w:spacing w:after="0"/>
              <w:rPr>
                <w:sz w:val="20"/>
                <w:szCs w:val="20"/>
                <w:color w:val="auto"/>
              </w:rPr>
            </w:pPr>
            <w:r>
              <w:rPr>
                <w:rFonts w:ascii="Arial" w:cs="Arial" w:eastAsia="Arial" w:hAnsi="Arial"/>
                <w:sz w:val="16"/>
                <w:szCs w:val="16"/>
                <w:b w:val="1"/>
                <w:bCs w:val="1"/>
                <w:color w:val="auto"/>
              </w:rPr>
              <w:t>February 2, 2018</w:t>
            </w: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44"/>
              <w:spacing w:after="0" w:line="165" w:lineRule="exact"/>
              <w:rPr>
                <w:sz w:val="20"/>
                <w:szCs w:val="20"/>
                <w:color w:val="auto"/>
              </w:rPr>
            </w:pPr>
            <w:r>
              <w:rPr>
                <w:rFonts w:ascii="Arial" w:cs="Arial" w:eastAsia="Arial" w:hAnsi="Arial"/>
                <w:sz w:val="15"/>
                <w:szCs w:val="15"/>
                <w:b w:val="1"/>
                <w:bCs w:val="1"/>
                <w:color w:val="auto"/>
              </w:rPr>
              <w:t>% of</w:t>
            </w:r>
          </w:p>
        </w:tc>
        <w:tc>
          <w:tcPr>
            <w:tcW w:w="1120" w:type="dxa"/>
            <w:vAlign w:val="bottom"/>
          </w:tcPr>
          <w:p>
            <w:pPr>
              <w:jc w:val="right"/>
              <w:ind w:right="364"/>
              <w:spacing w:after="0" w:line="165"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5" w:lineRule="exact"/>
              <w:rPr>
                <w:sz w:val="20"/>
                <w:szCs w:val="20"/>
                <w:color w:val="auto"/>
              </w:rPr>
            </w:pPr>
            <w:r>
              <w:rPr>
                <w:rFonts w:ascii="Arial" w:cs="Arial" w:eastAsia="Arial" w:hAnsi="Arial"/>
                <w:sz w:val="15"/>
                <w:szCs w:val="15"/>
                <w:b w:val="1"/>
                <w:bCs w:val="1"/>
                <w:color w:val="auto"/>
              </w:rPr>
              <w:t>% of</w:t>
            </w:r>
          </w:p>
        </w:tc>
        <w:tc>
          <w:tcPr>
            <w:tcW w:w="960" w:type="dxa"/>
            <w:vAlign w:val="bottom"/>
          </w:tcPr>
          <w:p>
            <w:pPr>
              <w:jc w:val="right"/>
              <w:ind w:right="424"/>
              <w:spacing w:after="0" w:line="165"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4"/>
              <w:spacing w:after="0" w:line="165" w:lineRule="exact"/>
              <w:rPr>
                <w:sz w:val="20"/>
                <w:szCs w:val="20"/>
                <w:color w:val="auto"/>
              </w:rPr>
            </w:pPr>
            <w:r>
              <w:rPr>
                <w:rFonts w:ascii="Arial" w:cs="Arial" w:eastAsia="Arial" w:hAnsi="Arial"/>
                <w:sz w:val="15"/>
                <w:szCs w:val="15"/>
                <w:b w:val="1"/>
                <w:bCs w:val="1"/>
                <w:color w:val="auto"/>
              </w:rPr>
              <w:t>% of</w:t>
            </w:r>
          </w:p>
        </w:tc>
      </w:tr>
      <w:tr>
        <w:trPr>
          <w:trHeight w:val="202"/>
        </w:trPr>
        <w:tc>
          <w:tcPr>
            <w:tcW w:w="3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8"/>
              </w:rPr>
              <w:t>Dollars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Net Revenue</w:t>
            </w:r>
          </w:p>
        </w:tc>
        <w:tc>
          <w:tcPr>
            <w:tcW w:w="11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Change</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8"/>
              </w:rPr>
              <w:t>Dollars</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2"/>
              </w:rPr>
              <w:t>Net Revenue</w:t>
            </w:r>
          </w:p>
        </w:tc>
        <w:tc>
          <w:tcPr>
            <w:tcW w:w="9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Change</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8"/>
              </w:rPr>
              <w:t>Dollars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6"/>
              </w:rPr>
              <w:t>Net Revenue</w:t>
            </w:r>
          </w:p>
        </w:tc>
      </w:tr>
      <w:tr>
        <w:trPr>
          <w:trHeight w:val="250"/>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5"/>
                <w:szCs w:val="15"/>
                <w:color w:val="auto"/>
                <w:w w:val="92"/>
              </w:rPr>
              <w:t>(in millions, except percentages)</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Net revenue:</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69,918</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75.9%</w:t>
            </w: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70,707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78.0 %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60,898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77.0 %</w:t>
            </w: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22,236</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19,914</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w:t>
            </w: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18,142</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23.0 %</w:t>
            </w:r>
          </w:p>
        </w:tc>
      </w:tr>
      <w:tr>
        <w:trPr>
          <w:trHeight w:val="250"/>
        </w:trPr>
        <w:tc>
          <w:tcPr>
            <w:tcW w:w="3080" w:type="dxa"/>
            <w:vAlign w:val="bottom"/>
          </w:tcPr>
          <w:p>
            <w:pPr>
              <w:ind w:left="180"/>
              <w:spacing w:after="0"/>
              <w:rPr>
                <w:sz w:val="20"/>
                <w:szCs w:val="20"/>
                <w:color w:val="auto"/>
              </w:rPr>
            </w:pPr>
            <w:r>
              <w:rPr>
                <w:rFonts w:ascii="Arial" w:cs="Arial" w:eastAsia="Arial" w:hAnsi="Arial"/>
                <w:sz w:val="15"/>
                <w:szCs w:val="15"/>
                <w:color w:val="auto"/>
              </w:rPr>
              <w:t>Total net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92,154</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90,621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Pr>
          <w:p>
            <w:pPr>
              <w:spacing w:after="0"/>
              <w:rPr>
                <w:sz w:val="21"/>
                <w:szCs w:val="21"/>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79,040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Gross margin:</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Products (a)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15,393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22.0%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20 %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12,818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18.1 %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35%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9,465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15.5 %</w:t>
            </w: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13,540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61.4 %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w:t>
            </w: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61.0 %</w:t>
            </w:r>
          </w:p>
        </w:tc>
      </w:tr>
      <w:tr>
        <w:trPr>
          <w:trHeight w:val="250"/>
        </w:trPr>
        <w:tc>
          <w:tcPr>
            <w:tcW w:w="3080" w:type="dxa"/>
            <w:vAlign w:val="bottom"/>
          </w:tcPr>
          <w:p>
            <w:pPr>
              <w:ind w:left="180"/>
              <w:spacing w:after="0"/>
              <w:rPr>
                <w:sz w:val="20"/>
                <w:szCs w:val="20"/>
                <w:color w:val="auto"/>
              </w:rPr>
            </w:pPr>
            <w:r>
              <w:rPr>
                <w:rFonts w:ascii="Arial" w:cs="Arial" w:eastAsia="Arial" w:hAnsi="Arial"/>
                <w:sz w:val="15"/>
                <w:szCs w:val="15"/>
                <w:color w:val="auto"/>
              </w:rPr>
              <w:t>Total gross margin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28,933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31.4%</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15 %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25,053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27.6 %</w:t>
            </w:r>
          </w:p>
        </w:tc>
        <w:tc>
          <w:tcPr>
            <w:tcW w:w="180" w:type="dxa"/>
            <w:vAlign w:val="bottom"/>
          </w:tcPr>
          <w:p>
            <w:pPr>
              <w:spacing w:after="0"/>
              <w:rPr>
                <w:sz w:val="21"/>
                <w:szCs w:val="21"/>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20,537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26.0 %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26,311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25,244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27.8 %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29.1 %</w:t>
            </w: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2,622</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1120" w:type="dxa"/>
            <w:vAlign w:val="bottom"/>
          </w:tcPr>
          <w:p>
            <w:pPr>
              <w:jc w:val="right"/>
              <w:ind w:right="164"/>
              <w:spacing w:after="0"/>
              <w:rPr>
                <w:sz w:val="20"/>
                <w:szCs w:val="20"/>
                <w:color w:val="auto"/>
              </w:rPr>
            </w:pPr>
            <w:r>
              <w:rPr>
                <w:rFonts w:ascii="Arial" w:cs="Arial" w:eastAsia="Arial" w:hAnsi="Arial"/>
                <w:sz w:val="15"/>
                <w:szCs w:val="15"/>
                <w:color w:val="auto"/>
              </w:rPr>
              <w:t>NM</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92%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(2,416)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354 %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76"/>
        </w:trPr>
        <w:tc>
          <w:tcPr>
            <w:tcW w:w="3080" w:type="dxa"/>
            <w:vAlign w:val="bottom"/>
          </w:tcPr>
          <w:p>
            <w:pPr>
              <w:ind w:left="40"/>
              <w:spacing w:after="0"/>
              <w:rPr>
                <w:sz w:val="20"/>
                <w:szCs w:val="20"/>
                <w:color w:val="auto"/>
              </w:rPr>
            </w:pPr>
            <w:r>
              <w:rPr>
                <w:rFonts w:ascii="Arial" w:cs="Arial" w:eastAsia="Arial" w:hAnsi="Arial"/>
                <w:sz w:val="15"/>
                <w:szCs w:val="15"/>
                <w:color w:val="auto"/>
              </w:rPr>
              <w:t>Net income (loss) attributable to Dell</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3080" w:type="dxa"/>
            <w:vAlign w:val="bottom"/>
          </w:tcPr>
          <w:p>
            <w:pPr>
              <w:ind w:left="40"/>
              <w:spacing w:after="0"/>
              <w:rPr>
                <w:sz w:val="20"/>
                <w:szCs w:val="20"/>
                <w:color w:val="auto"/>
              </w:rPr>
            </w:pPr>
            <w:r>
              <w:rPr>
                <w:rFonts w:ascii="Arial" w:cs="Arial" w:eastAsia="Arial" w:hAnsi="Arial"/>
                <w:sz w:val="15"/>
                <w:szCs w:val="15"/>
                <w:color w:val="auto"/>
              </w:rPr>
              <w:t>Technologies Inc.</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4,616</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300 %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(2,310)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180" w:type="dxa"/>
            <w:vAlign w:val="bottom"/>
          </w:tcPr>
          <w:p>
            <w:pPr>
              <w:spacing w:after="0"/>
              <w:rPr>
                <w:sz w:val="17"/>
                <w:szCs w:val="17"/>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(2,849)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(3.6)%</w:t>
            </w:r>
          </w:p>
        </w:tc>
      </w:tr>
      <w:tr>
        <w:trPr>
          <w:trHeight w:val="301"/>
        </w:trPr>
        <w:tc>
          <w:tcPr>
            <w:tcW w:w="3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Non-GAAP Financial Information</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Non-GAAP net revenue:</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Product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69,937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75.6%</w:t>
            </w: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70,768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77.5 %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61,068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76.0 %</w:t>
            </w: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22,564</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20,556</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w:t>
            </w: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19,241</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24.0 %</w:t>
            </w:r>
          </w:p>
        </w:tc>
      </w:tr>
      <w:tr>
        <w:trPr>
          <w:trHeight w:val="250"/>
        </w:trPr>
        <w:tc>
          <w:tcPr>
            <w:tcW w:w="3080" w:type="dxa"/>
            <w:vAlign w:val="bottom"/>
          </w:tcPr>
          <w:p>
            <w:pPr>
              <w:ind w:left="180"/>
              <w:spacing w:after="0"/>
              <w:rPr>
                <w:sz w:val="20"/>
                <w:szCs w:val="20"/>
                <w:color w:val="auto"/>
              </w:rPr>
            </w:pPr>
            <w:r>
              <w:rPr>
                <w:rFonts w:ascii="Arial" w:cs="Arial" w:eastAsia="Arial" w:hAnsi="Arial"/>
                <w:sz w:val="15"/>
                <w:szCs w:val="15"/>
                <w:color w:val="auto"/>
              </w:rPr>
              <w:t>Total non-GAAP net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92,501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91,324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Pr>
          <w:p>
            <w:pPr>
              <w:spacing w:after="0"/>
              <w:rPr>
                <w:sz w:val="21"/>
                <w:szCs w:val="21"/>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80,309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Non-GAAP gross margin:</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Product (a)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17,523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25.1%</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16,021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22.6 %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13,408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22.0 %</w:t>
            </w: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14,040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13,001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63.2 %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w:t>
            </w: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63.7 %</w:t>
            </w:r>
          </w:p>
        </w:tc>
      </w:tr>
      <w:tr>
        <w:trPr>
          <w:trHeight w:val="250"/>
        </w:trPr>
        <w:tc>
          <w:tcPr>
            <w:tcW w:w="3080" w:type="dxa"/>
            <w:vAlign w:val="bottom"/>
          </w:tcPr>
          <w:p>
            <w:pPr>
              <w:ind w:left="180"/>
              <w:spacing w:after="0"/>
              <w:rPr>
                <w:sz w:val="20"/>
                <w:szCs w:val="20"/>
                <w:color w:val="auto"/>
              </w:rPr>
            </w:pPr>
            <w:r>
              <w:rPr>
                <w:rFonts w:ascii="Arial" w:cs="Arial" w:eastAsia="Arial" w:hAnsi="Arial"/>
                <w:sz w:val="15"/>
                <w:szCs w:val="15"/>
                <w:color w:val="auto"/>
              </w:rPr>
              <w:t>Total non-GAAP gross margin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31,563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34.1%</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29,022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31.8 %</w:t>
            </w:r>
          </w:p>
        </w:tc>
        <w:tc>
          <w:tcPr>
            <w:tcW w:w="180" w:type="dxa"/>
            <w:vAlign w:val="bottom"/>
          </w:tcPr>
          <w:p>
            <w:pPr>
              <w:spacing w:after="0"/>
              <w:rPr>
                <w:sz w:val="21"/>
                <w:szCs w:val="21"/>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25,668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32.0 %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Non-GAAP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21,415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20,168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22.3 %</w:t>
            </w: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Non-GAAP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10,148</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15 %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8,854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9.7 %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7,772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9.7 %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Non-GAAP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266"/>
        </w:trPr>
        <w:tc>
          <w:tcPr>
            <w:tcW w:w="3080" w:type="dxa"/>
            <w:vAlign w:val="bottom"/>
          </w:tcPr>
          <w:p>
            <w:pPr>
              <w:ind w:left="40"/>
              <w:spacing w:after="0"/>
              <w:rPr>
                <w:sz w:val="20"/>
                <w:szCs w:val="20"/>
                <w:color w:val="auto"/>
              </w:rPr>
            </w:pPr>
            <w:r>
              <w:rPr>
                <w:rFonts w:ascii="Arial" w:cs="Arial" w:eastAsia="Arial" w:hAnsi="Arial"/>
                <w:sz w:val="15"/>
                <w:szCs w:val="15"/>
                <w:color w:val="auto"/>
              </w:rPr>
              <w:t>EBITDA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8,765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9.5%</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16 %</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7,555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8.3 %</w:t>
            </w:r>
          </w:p>
        </w:tc>
        <w:tc>
          <w:tcPr>
            <w:tcW w:w="1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6,218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7.7 %</w:t>
            </w:r>
          </w:p>
        </w:tc>
      </w:tr>
      <w:tr>
        <w:trPr>
          <w:trHeight w:val="274"/>
        </w:trPr>
        <w:tc>
          <w:tcPr>
            <w:tcW w:w="3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11,787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218"/>
        </w:trPr>
        <w:tc>
          <w:tcPr>
            <w:tcW w:w="3080" w:type="dxa"/>
            <w:vAlign w:val="bottom"/>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ind w:left="340" w:right="600" w:hanging="332"/>
        <w:spacing w:after="0" w:line="264"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340" w:right="46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spacing w:after="0"/>
        <w:rPr>
          <w:sz w:val="20"/>
          <w:szCs w:val="20"/>
          <w:color w:val="auto"/>
        </w:rPr>
      </w:pPr>
      <w:r>
        <w:rPr>
          <w:rFonts w:ascii="Arial" w:cs="Arial" w:eastAsia="Arial" w:hAnsi="Arial"/>
          <w:sz w:val="18"/>
          <w:szCs w:val="18"/>
          <w:color w:val="auto"/>
        </w:rPr>
        <w:t>NM Not meaningful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 xml:space="preserve">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revenue are calculated based on non-GAAP net revenue. See </w:t>
      </w:r>
      <w:r>
        <w:rPr>
          <w:rFonts w:ascii="Arial" w:cs="Arial" w:eastAsia="Arial" w:hAnsi="Arial"/>
          <w:sz w:val="15"/>
          <w:szCs w:val="15"/>
          <w:color w:val="auto"/>
        </w:rPr>
        <w:t>“</w:t>
      </w: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r>
        <w:rPr>
          <w:rFonts w:ascii="Arial" w:cs="Arial" w:eastAsia="Arial" w:hAnsi="Arial"/>
          <w:sz w:val="15"/>
          <w:szCs w:val="15"/>
          <w:color w:val="auto"/>
        </w:rPr>
        <w:t>”</w:t>
      </w:r>
      <w:r>
        <w:rPr>
          <w:rFonts w:ascii="Arial" w:cs="Arial" w:eastAsia="Arial" w:hAnsi="Arial"/>
          <w:sz w:val="17"/>
          <w:szCs w:val="17"/>
          <w:color w:val="auto"/>
        </w:rPr>
        <w:t xml:space="preserve">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Fiscal 2020, our net revenue and non-GAAP net revenue increased 2% and 1%, respectively. The increases in net revenue and non-GAAP net revenue were attributable to increases in net revenue in CSG and VMware, which were partially offset by declines in ISG net revenue. The increase in CSG revenue primarily resulted from the Microsoft Windows 10 operating system refresh cycle combined with strong execution by the business. VMware net revenue increased due to growth in software license revenue and strong renewals of VMware enterprise agreements, maintenance contracts sold in previous periods, and additional maintenance contracts sold in conjunction with new software license sales. ISG net revenue decreased primarily because of weakness in servers and networking. During Fiscal 2020, we benefited from the strength of our broad IT solutions portfolio, which helped us navigate market volatility and competitive pressures. We believe we are well-positioned for long-term profitable growth while also maintaining the ability to adjust as needed to changing market conditions with complementary solutions across our businesses.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2020 and Fiscal 2019, our operating income was $2.6 billion and operating loss was $0.2 billion, respectively. The increase in our operating income for Fiscal 2020 was primarily attributable to an increase in operating income for CSG, resulting mainly from lower component costs and a decrease in amortization of intangible assets. These benefits were partially offset by an increase in other corporate expenses, which primarily included Virtustream impairment charges.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of intangible assets and other corporate expenses that impacted operating income totaled $5.6 billion and $6.6 billion for Fiscal 2020 and Fiscal 2019, respectively. Excluding these costs, the impact of purchase accounting, transaction-related expenses, and stock-based compensation expense, our non-GAAP operating income increased 15% to $10.1 billion during Fiscal 2020. The increase in non-GAAP operating income for Fiscal 2020 was primarily due to an increase in operating income for CSG.</w:t>
      </w:r>
    </w:p>
    <w:p>
      <w:pPr>
        <w:spacing w:after="0" w:line="18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Cash provided by operating activities was $9.3 billion and $7.0 billion during Fiscal 2020 and Fiscal 2019, respectively. The increase in operating cash flows during Fiscal 2020 was primarily driven by improved profitability and continued working capital discipline. See “Market Conditions, Liquidity, Capital Commitments, and Contractual Cash Obligations” for further information on our cash flow 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Fiscal 2020, our net revenue and non-GAAP net revenue increased 2% and 1%, respectively. The increases in net revenue and non-GAAP net revenue were attributable to increases in net revenue in CSG and VMware, which were partially offset by declines in ISG net revenue. See “Business Unit Results” for further information.</w:t>
      </w:r>
    </w:p>
    <w:p>
      <w:pPr>
        <w:spacing w:after="0" w:line="184" w:lineRule="exact"/>
        <w:rPr>
          <w:sz w:val="20"/>
          <w:szCs w:val="20"/>
          <w:color w:val="auto"/>
        </w:rPr>
      </w:pPr>
    </w:p>
    <w:p>
      <w:pPr>
        <w:ind w:left="340" w:right="40" w:hanging="332"/>
        <w:spacing w:after="0" w:line="286"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Product net revenue includes revenue from the sale of hardware products and software licenses. During Fiscal 2020, both</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net revenue and non-GAAP product net revenue decreased 1%. These decreases were primarily driven by decreases in product net revenue for ISG servers and networking, which were partially offset by increases in product net revenue for CSG and VMware.</w:t>
      </w:r>
    </w:p>
    <w:p>
      <w:pPr>
        <w:spacing w:after="0" w:line="165" w:lineRule="exact"/>
        <w:rPr>
          <w:rFonts w:ascii="Arial" w:cs="Arial" w:eastAsia="Arial" w:hAnsi="Arial"/>
          <w:sz w:val="17"/>
          <w:szCs w:val="17"/>
          <w:color w:val="auto"/>
        </w:rPr>
      </w:pPr>
    </w:p>
    <w:p>
      <w:pPr>
        <w:ind w:left="340" w:hanging="332"/>
        <w:spacing w:after="0" w:line="27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Services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Services net revenue includes revenue from our services offerings and support services related to hardware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licenses. During Fiscal 2020, services net revenue and non-GAAP services net revenue increased 12% and 10%, respectively. These increases were primarily attributable to an increase in services revenue for hardware support and deployment and software maintenance due to growth in CSG and VMware. A substantial portion of services net revenue is derived from offerings that have been deferred over a period of time, and, as a result, reported services net revenue growth rates will be different than product net revenue growth rates.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a geographical perspective, net revenue generated by sales to customers in the Americas increased during Fiscal 2020 due to strong performance in CSG and VMware. In EMEA, net revenue from sales to customers remained flat during Fiscal 2020. Net revenue from sales to customers in APJ decreased slightly during Fiscal 2020, primarily as the result of a weaker demand environment for ISG servers and networking, particularly in China.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Fiscal 2019, our net revenue and non-GAAP net revenue increased 15% and 14%, respectively. The increases in net revenue and non-GAAP net revenue were attributable to increases in net revenue across all three business units. See “Business Unit Results” for further information.</w:t>
      </w:r>
    </w:p>
    <w:p>
      <w:pPr>
        <w:spacing w:after="0" w:line="124" w:lineRule="exact"/>
        <w:rPr>
          <w:sz w:val="20"/>
          <w:szCs w:val="20"/>
          <w:color w:val="auto"/>
        </w:rPr>
      </w:pPr>
    </w:p>
    <w:p>
      <w:pPr>
        <w:ind w:left="340" w:right="4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2019, both product net revenue and non-GAAP product net revenue increased 16%. These increases were</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an increase in product revenue across all three business units, driven by strength in sales across all product categories.</w:t>
      </w:r>
    </w:p>
    <w:p>
      <w:pPr>
        <w:spacing w:after="0" w:line="123" w:lineRule="exact"/>
        <w:rPr>
          <w:rFonts w:ascii="Arial" w:cs="Arial" w:eastAsia="Arial" w:hAnsi="Arial"/>
          <w:sz w:val="16"/>
          <w:szCs w:val="16"/>
          <w:color w:val="auto"/>
        </w:rPr>
      </w:pPr>
    </w:p>
    <w:p>
      <w:pPr>
        <w:ind w:left="340" w:right="16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2019, services net revenue and non-GAAP services net revenue increased 10% and 7%, respectively.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primarily due to an increase in services revenue for hardware support and deployment and software maintenance due to growth in the business.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in Fiscal 2019 due to strong performance globally in all three business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Fiscal 2020, our gross margin increased 15% to $28.9 billion, and our gross margin percentage increased 380 basis points to 31.4%. The increase in our gross margin percentage during Fiscal 2020 was primarily attributable to a deflationary component cost environment for both ISG and CSG, a greater contribution of VMware gross margin in the gross margin mix, and a decrease in amortization of intangibles and purchase accounting adjustments.</w:t>
      </w:r>
    </w:p>
    <w:p>
      <w:pPr>
        <w:spacing w:after="0" w:line="1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gross margin for Fiscal 2020 and Fiscal 2019 included the impact of amortization of intangibles and purchase accounting adjustments of $2.4 billion and $3.6 billion, respectively. Excluding these costs, transaction-related expenses, stock-based compensation expense, and other corporate expenses, non-GAAP gross margin for Fiscal 2020 increased 9% to $31.6 billion, and non-GAAP gross margin percentage increased 230 basis points to 34.1%. The increase in our non-GAAP gross margin was attributable to increases in gross margin for CSG and VMware. The increase in our non-GAAP gross margin percentage was primarily due to higher gross margin percentages for both ISG and CSG which benefited from the deflationary component cost environment and a greater contribution of VMware gross margin in the gross margin mix.</w:t>
      </w:r>
    </w:p>
    <w:p>
      <w:pPr>
        <w:spacing w:after="0" w:line="178" w:lineRule="exact"/>
        <w:rPr>
          <w:sz w:val="20"/>
          <w:szCs w:val="20"/>
          <w:color w:val="auto"/>
        </w:rPr>
      </w:pPr>
    </w:p>
    <w:p>
      <w:pPr>
        <w:ind w:left="3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2020, product gross margin increased 20% to $15.4 billion, and product gross margin percentage increased 390 basis points</w:t>
      </w:r>
      <w:r>
        <w:rPr>
          <w:rFonts w:ascii="Arial" w:cs="Arial" w:eastAsia="Arial" w:hAnsi="Arial"/>
          <w:sz w:val="18"/>
          <w:szCs w:val="18"/>
          <w:i w:val="1"/>
          <w:iCs w:val="1"/>
          <w:color w:val="auto"/>
        </w:rPr>
        <w:t xml:space="preserve"> </w:t>
      </w:r>
      <w:r>
        <w:rPr>
          <w:rFonts w:ascii="Arial" w:cs="Arial" w:eastAsia="Arial" w:hAnsi="Arial"/>
          <w:sz w:val="18"/>
          <w:szCs w:val="18"/>
          <w:color w:val="auto"/>
        </w:rPr>
        <w:t>to 22.0%. During Fiscal 2020, non-GAAP product gross margin increased 9% to $17.5 billion, and non-GAAP product gross margin percentage increased 250 basis points to 25.1%. The increases in product gross margin and non-GAAP product gross margin were driven primarily by the strength in sales of CSG commercial products and VMware software licenses and the deflationary component cost environment for ISG and CSG. Product gross margin also benefited from a decrease in amortization of intangibles and transaction-related costs. Product gross margin percentage and non-GAAP product gross margin percentage increased primarily due to the higher product gross margin percentages for both ISG and CSG, which benefited from the deflationary component cost environment.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0" w:hanging="332"/>
        <w:spacing w:after="0" w:line="254" w:lineRule="auto"/>
        <w:tabs>
          <w:tab w:leader="none" w:pos="3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2020, services gross margin increased 11% to $13.5 billion, and services gross margin percentage decreased slightly by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60.9%. Services gross margin increased due to growth in services gross margin in VMware software maintenance. Services gross margin also benefited from a decrease in purchase accounting adjustments, which totaled $0.3 billion and $0.6 billion during Fiscal 2020 and Fiscal 2019, respectively. Excluding these costs, transaction-related expenses, stock-based compensation expense, and other corporate expenses, non-GAAP services gross margin increased 8% to $14.0 billion, and non-GAAP services gross margin percentage decreased 100 basis points to 62.2%. The decrease in services gross margin percentage and non-GAAP services gross margin percentage was primarily attributable to a decline in services gross margin percentage for CSG.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2019, our gross margin increased 22% to $25.1 billion, and our gross margin percentage increased 160 basis points to 27.6%. The increase in our gross margin percentage during Fiscal 2020 was primarily attributable to a decrease in amortization of intangibles and purchase accounting adjustments, offset partially by gross margin rate pressure in CSG and product mix dynamics in ISG due to growth in sales of servers, which typically have a lower gross margin than storage products.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gross margin for Fiscal 2019 and Fiscal 2018 included the impact of amortization of intangibles and purchase accounting adjustments of $3.6 billion and $5.0 billion, respectively. Excluding these costs, transaction-related expenses, stock-based compensation expense, and other corporate expenses, non-GAAP gross margin for Fiscal 2019 increased 13% to $29.0 billion, and non-GAAP gross margin percentage decreased 20 basis points to 31.8%. The increase in our non-GAAP gross margin was attributable to increases in gross margin across all three business units. The decrease in our non-GAAP gross margin percentage was primarily due to product mix dynamics in ISG due to growth in sales of servers and gross margin rate pressure in CSG.</w:t>
      </w:r>
    </w:p>
    <w:p>
      <w:pPr>
        <w:spacing w:after="0" w:line="161" w:lineRule="exact"/>
        <w:rPr>
          <w:sz w:val="20"/>
          <w:szCs w:val="20"/>
          <w:color w:val="auto"/>
        </w:rPr>
      </w:pPr>
    </w:p>
    <w:p>
      <w:pPr>
        <w:ind w:left="340" w:right="20" w:hanging="332"/>
        <w:spacing w:after="0" w:line="272"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2019, product gross margin increased 35% to $12.8 billion, and product gross margin percentage increased 260 basis points</w:t>
      </w:r>
      <w:r>
        <w:rPr>
          <w:rFonts w:ascii="Arial" w:cs="Arial" w:eastAsia="Arial" w:hAnsi="Arial"/>
          <w:sz w:val="17"/>
          <w:szCs w:val="17"/>
          <w:i w:val="1"/>
          <w:iCs w:val="1"/>
          <w:color w:val="auto"/>
        </w:rPr>
        <w:t xml:space="preserve"> </w:t>
      </w:r>
      <w:r>
        <w:rPr>
          <w:rFonts w:ascii="Arial" w:cs="Arial" w:eastAsia="Arial" w:hAnsi="Arial"/>
          <w:sz w:val="17"/>
          <w:szCs w:val="17"/>
          <w:color w:val="auto"/>
        </w:rPr>
        <w:t>to 18.1%. The increases in both product gross margin and product gross margin percentage were primarily attributable to a decrease in amortization of intangibles and purchase accounting adjustments. During Fiscal 2019, non-GAAP product gross margin increased 19% to $16.0 billion, and non-GAAP product gross margin percentage increased 60 basis points to 22.6%. The increases in product gross margin and non-GAAP product gross margin were driven primarily by increases in product revenue in all three business units due to strength in sales of ISG servers and storage, CSG commercial products, and VMware software licenses. Product gross margin percentage and non-GAAP product gross margin percentage increased primarily as a result of higher product gross margin percentages for ISG and VMware.</w:t>
      </w:r>
    </w:p>
    <w:p>
      <w:pPr>
        <w:spacing w:after="0" w:line="177" w:lineRule="exact"/>
        <w:rPr>
          <w:rFonts w:ascii="Arial" w:cs="Arial" w:eastAsia="Arial" w:hAnsi="Arial"/>
          <w:sz w:val="17"/>
          <w:szCs w:val="17"/>
          <w:color w:val="auto"/>
        </w:rPr>
      </w:pPr>
    </w:p>
    <w:p>
      <w:pPr>
        <w:ind w:left="340"/>
        <w:spacing w:after="0" w:line="279" w:lineRule="auto"/>
        <w:rPr>
          <w:rFonts w:ascii="Arial" w:cs="Arial" w:eastAsia="Arial" w:hAnsi="Arial"/>
          <w:sz w:val="17"/>
          <w:szCs w:val="17"/>
          <w:color w:val="auto"/>
        </w:rPr>
      </w:pPr>
      <w:r>
        <w:rPr>
          <w:rFonts w:ascii="Arial" w:cs="Arial" w:eastAsia="Arial" w:hAnsi="Arial"/>
          <w:sz w:val="17"/>
          <w:szCs w:val="17"/>
          <w:color w:val="auto"/>
        </w:rPr>
        <w:t>Our gross margins include benefits relating primarily to settlements from certain vendors regarding their past pricing practices. During Fiscal 2018, we entered into a settlement agreement with a vendor to resolve a dispute regarding past pricing practices. Vendor settlements are allocated to our segments based on the relative amount of affected vendor products sold by each segment. Our gross margin for Fiscal 2018 included a benefit of $68 million related to receipt of payment under the settlement, which was entirely allocated to CSG.</w:t>
      </w:r>
    </w:p>
    <w:p>
      <w:pPr>
        <w:spacing w:after="0" w:line="171" w:lineRule="exact"/>
        <w:rPr>
          <w:rFonts w:ascii="Arial" w:cs="Arial" w:eastAsia="Arial" w:hAnsi="Arial"/>
          <w:sz w:val="17"/>
          <w:szCs w:val="17"/>
          <w:color w:val="auto"/>
        </w:rPr>
      </w:pPr>
    </w:p>
    <w:p>
      <w:pPr>
        <w:ind w:left="340" w:right="100" w:hanging="332"/>
        <w:spacing w:after="0" w:line="254" w:lineRule="auto"/>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2019, services gross margin increased 11% to $12.2 billion, and services gross margin percentage increased 40 basis points</w:t>
      </w:r>
      <w:r>
        <w:rPr>
          <w:rFonts w:ascii="Arial" w:cs="Arial" w:eastAsia="Arial" w:hAnsi="Arial"/>
          <w:sz w:val="18"/>
          <w:szCs w:val="18"/>
          <w:i w:val="1"/>
          <w:iCs w:val="1"/>
          <w:color w:val="auto"/>
        </w:rPr>
        <w:t xml:space="preserve"> </w:t>
      </w:r>
      <w:r>
        <w:rPr>
          <w:rFonts w:ascii="Arial" w:cs="Arial" w:eastAsia="Arial" w:hAnsi="Arial"/>
          <w:sz w:val="18"/>
          <w:szCs w:val="18"/>
          <w:color w:val="auto"/>
        </w:rPr>
        <w:t>to 61.4%. Services gross margin increased due to growth in services gross margin in CSG and VMware, particularly in hardware support and deployment and software maintenance. During Fiscal 2019 and Fiscal 2018, services gross margin also benefited from a decrease in purchase accounting adjustments, which totaled $0.6 billion and $1.1 billion, respectively. Excluding these costs, transaction-related expenses, stock-based compensation expense, and other corporate expenses, non-GAAP services gross margin increased 6% to $13.0 billion, and non-GAAP services gross margin percentage decreased 50 basis points to 63.2%. Services gross margin percentage decreased primarily due to lower services gross margin percentages in CSG and ISG.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2020 and Fiscal 2019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 No such settlements were recorded in Fiscal 2020 or Fiscal 2019 that would have a material impact on product gross margins or affect comparability with product gross margin in Fiscal 2019 or Fiscal 2018. Pricing settlements benefited product gross margins in Fiscal 2018 by $68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during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January 31, 2020</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February 1, 2019</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 of</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Net</w:t>
            </w: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Net</w:t>
            </w: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Net</w:t>
            </w:r>
          </w:p>
        </w:tc>
      </w:tr>
      <w:tr>
        <w:trPr>
          <w:trHeight w:val="234"/>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Revenue</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Change</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Revenue</w:t>
            </w: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80" w:type="dxa"/>
            <w:vAlign w:val="bottom"/>
            <w:gridSpan w:val="5"/>
          </w:tcPr>
          <w:p>
            <w:pPr>
              <w:jc w:val="center"/>
              <w:ind w:left="890"/>
              <w:spacing w:after="0"/>
              <w:rPr>
                <w:sz w:val="20"/>
                <w:szCs w:val="20"/>
                <w:color w:val="auto"/>
              </w:rPr>
            </w:pPr>
            <w:r>
              <w:rPr>
                <w:rFonts w:ascii="Arial" w:cs="Arial" w:eastAsia="Arial" w:hAnsi="Arial"/>
                <w:sz w:val="18"/>
                <w:szCs w:val="18"/>
                <w:color w:val="auto"/>
                <w:w w:val="91"/>
              </w:rPr>
              <w:t>(in millions, except percentages)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21,319</w:t>
            </w: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20,640</w:t>
            </w: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18,569</w:t>
            </w: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3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26,311</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28.6%</w:t>
            </w:r>
          </w:p>
        </w:tc>
        <w:tc>
          <w:tcPr>
            <w:tcW w:w="11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25,244</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22,953</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29.1%</w:t>
            </w:r>
          </w:p>
        </w:tc>
      </w:tr>
      <w:tr>
        <w:trPr>
          <w:trHeight w:val="311"/>
        </w:trPr>
        <w:tc>
          <w:tcPr>
            <w:tcW w:w="3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Financial Information</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3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Fiscal 2020, total operating expenses increased 4% primarily due to an increase in selling, general, and administrative expenses, partially offset by a decrease in amortization of intangibles. Our operating expenses include the impact of purchase accounting, amortization of intangible assets, transaction-related expenses, stock-based compensation expense, and other corporate expenses. In aggregate, these items totaled $4.9 billion and $5.1 billion in Fiscal 2020 and Fiscal 2019, respectively. Excluding these costs, total non-GAAP operating expenses for Fiscal 2020 increased 6%.</w:t>
      </w:r>
    </w:p>
    <w:p>
      <w:pPr>
        <w:spacing w:after="0" w:line="157" w:lineRule="exact"/>
        <w:rPr>
          <w:sz w:val="20"/>
          <w:szCs w:val="20"/>
          <w:color w:val="auto"/>
        </w:rPr>
      </w:pPr>
    </w:p>
    <w:p>
      <w:pPr>
        <w:ind w:left="340" w:right="100" w:hanging="332"/>
        <w:spacing w:after="0" w:line="263" w:lineRule="auto"/>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increased 3% during Fiscal 2020. The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expenses were driven by investments in our go-to-market capabilities, including sales headcount, and higher performance-based compensation and commission costs. SG&amp;A expenses also include Virtustream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non-cash gross impairment charges of $619 million and $190 million in Fiscal 2020 and Fiscal 2019, respectively. These increases were partially offset by a decrease in amortization of intangibles.</w:t>
      </w:r>
    </w:p>
    <w:p>
      <w:pPr>
        <w:spacing w:after="0" w:line="170" w:lineRule="exact"/>
        <w:rPr>
          <w:sz w:val="20"/>
          <w:szCs w:val="20"/>
          <w:color w:val="auto"/>
        </w:rPr>
      </w:pPr>
    </w:p>
    <w:p>
      <w:pPr>
        <w:ind w:left="340" w:right="6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(“R&amp;D”)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for Fiscal 2020 and Fiscal 2019 were approximately 5.4% and 5.1%, respectively. As our industry continues to change and as the needs of our customers evolve, we intend to support R&amp;D initiatives to innovate and introduce new and enhanced solutions into the market.</w:t>
      </w:r>
    </w:p>
    <w:p>
      <w:pPr>
        <w:spacing w:after="0" w:line="18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We continue to make targeted investments designed to enable growth, particularly in our sales force, marketing, and R&amp;D, while balancing these investments with our efforts to drive cost efficiencies in the business. We also expect to continue to make investments in support of our own digital transformation to modernize and streamline our IT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Fiscal 2019, total operating expenses increased 10%. Other corporate expenses included a goodwill impairment charge of approximately $190 million. In aggregate, the impact of purchase accounting, amortization of intangible assets, transaction-related expenses, stock-based compensation expense, and other corporate expenses totaled $5.1 billion for both Fiscal 2019 and Fiscal 2018. Excluding these costs, total non-GAAP operating expenses for Fiscal 2019 increased 13%. The increases in operating expenses and non-GAAP operating expenses were primarily due to an increase in selling, general, and administrative expenses associated with our revenue growth and sales headcount.</w:t>
      </w:r>
    </w:p>
    <w:p>
      <w:pPr>
        <w:spacing w:after="0" w:line="176" w:lineRule="exact"/>
        <w:rPr>
          <w:sz w:val="20"/>
          <w:szCs w:val="20"/>
          <w:color w:val="auto"/>
        </w:rPr>
      </w:pPr>
    </w:p>
    <w:p>
      <w:pPr>
        <w:ind w:left="340" w:right="440" w:hanging="332"/>
        <w:spacing w:after="0" w:line="263"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expenses increased 11% during Fiscal 2019. The increases in SG&amp;A</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primarily driven by investments in our go-to-market capabilities, including sales headcount, and higher performance-based compensation and commission costs, as well as a goodwill impairment charge of $190 million.</w:t>
      </w:r>
    </w:p>
    <w:p>
      <w:pPr>
        <w:spacing w:after="0" w:line="183" w:lineRule="exact"/>
        <w:rPr>
          <w:rFonts w:ascii="Arial" w:cs="Arial" w:eastAsia="Arial" w:hAnsi="Arial"/>
          <w:sz w:val="18"/>
          <w:szCs w:val="18"/>
          <w:i w:val="1"/>
          <w:iCs w:val="1"/>
          <w:color w:val="auto"/>
        </w:rPr>
      </w:pPr>
    </w:p>
    <w:p>
      <w:pPr>
        <w:ind w:left="340" w:right="2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for Fiscal 2019 and Fiscal 2018 were approximately 5.1% and 5.5%, respectively. The decreases in R&amp;D expenses as a percentage of net revenue were attributable to revenue growth that outpaced the scale of R&amp;D investments. As our industry continues to change and as the needs of our customers evolve, we intend to support R&amp;D initiatives to innovate and introduce new and enhanced solutions into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During Fiscal 2020, our operating income was $2.6 billion compared to an operating loss of $0.2 billion in Fiscal 2019 primarily due to lower component costs. The operating income we recognized for Fiscal 2020 was primarily attributable to an increase in operating income for CSG and a decrease in amortization of intangible assets, partially offset by an increase in other corporate expenses, which primarily included Virtustream impairment charges.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of intangible assets and other corporate expenses that impacted operating income totaled $5.6 billion and $6.6 billion for Fiscal 2020 and Fiscal 2019, respectively. Excluding these costs, the impact of purchase accounting, stock-based compensation expense, and transaction-related expenses, our non-GAAP operating income increased 15% to $10.1 billion during Fiscal 2020. The increase in non-GAAP operating income for Fiscal 2020 was primarily due to an increase in operating income for CSG.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Fiscal 2019, our operating loss decreased 92% to $191 million. The decrease in our operating loss for Fiscal 2019 was primarily attributable to a decrease in amortization of intangible assets and purchase accounting adjustments and an increase in operating income for ISG and, to a lesser extent, VMware.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Amortization of intangible assets and purchase accounting adjustments that impacted operating income totaled $7.0 billion and $8.5 billion for Fiscal 2019 and Fiscal 2018, respectively. Excluding these costs, transaction-related expenses, stock-based compensation expense, and other corporate expenses, non-GAAP operating income increased 14% to $8.9 billion during Fiscal 2019. The increase in non-GAAP operating income for Fiscal 2019 was primarily due to an increase in operating income for ISG and, to a lesser extent, VMware.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31, 2020</w:t>
            </w:r>
          </w:p>
        </w:tc>
        <w:tc>
          <w:tcPr>
            <w:tcW w:w="2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February 1, 2019</w:t>
            </w:r>
          </w:p>
        </w:tc>
        <w:tc>
          <w:tcPr>
            <w:tcW w:w="24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 2018</w:t>
            </w: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strategic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and other,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Fiscal 2020, the change in interest and other, net was unfavorable by $456 million, primarily due to higher interest expense on higher average debt balances and decreases in net gain on strategic investments and investment income. In connection with the Class V transaction, we incurred additional debt and liquidated a significant amount of our investments to fund a portion of the cash consideration paid. This resulted in higher interest expense and lower investment income in Fiscal 2020. The effect of increased debt incurred in connection with the Class V transaction was offset in part by our repayment of approximately $5 billion principal amount of debt during Fiscal 2020. See Note 3 and Note 6 of the Notes to the Consolidated Financial Statements included in this report for further information regarding our investments and debt,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Fiscal 2019, we adopted the new accounting guidance for “Recognition and Measurement of Financial Assets and Financial Liabilities” on a prospective basis. As a result, we record in interest and other, net changes in the fair value of our publicly-traded strategic investments and changes in the value of our strategic investments without readily determinable fair values when adjusted to fair value upon observable price changes or impairment. During Fiscal 2019, the change in interest and other, net was favorable by $183 million, primarily due to gains on strategic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income tax rate benefits were 138325.0%, 7.6%, and 38.6% on pre-tax losses of $4 million, $2,361 million, and $4,769 million for Fiscal 2020, Fiscal 2019, and Fiscal 2018, respectively. The change in our effective income tax rate for Fiscal 2020 as compared to Fiscal 2019 was primarily driven by discrete tax items and a change in our jurisdictional mix of income. For Fiscal 2020, we had $5.5 billion in tax benefits on a loss before income taxes of $4 million. The change in our effective income tax rate for Fiscal 2019 as compared to Fiscal 2018 was primarily attributable to impacts of the Tax Cuts and Jobs Act of 2017 (“U.S. Tax Reform”).</w:t>
      </w:r>
    </w:p>
    <w:p>
      <w:pPr>
        <w:spacing w:after="0" w:line="18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effective income tax rate in Fiscal 2020 includes $4.9 billion of discrete tax benefits related to intra-entity asset transfers, $351 million of discrete tax benefits related to stock-based compensation, $305 million of discrete tax benefits related to an audit settlement, and $95 million of discrete tax benefits relating to Virtustream impairment charges discussed in Note 8 of the Notes to the Consolidated Financial Statements included in this report. In the first and second quarters of Fiscal 2020, we completed two intra-entity asset transfers of certain of our intellectual property to Irish subsidiaries, resulting in discrete tax benefits of $4.9 billion. The tax benefit for each intra-entity asset transfer was recorded as a deferred tax asset in the period 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transaction and represents the book and tax basis difference on the transferred assets measured based on the applicable Irish statutory tax rate. The tax deductions for amortization of the assets will be recognized in the future and any amortization not deducted for tax purposes will be carried forward indefinitely under Irish Tax laws. We expect to be able to realize the deferred tax assets resulting from these intra-entity asset transfers. Our effective tax rate in Fiscal 2019 includes $154 million of discrete tax benefits resulting from the impact of our adoption of the new revenue standard under ASC 606 in the first quarter of Fiscal 2019.</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U.S. Tax Reform was signed into law on December 22, 2017. Among other things, U.S. Tax Reform lowers the U.S. corporate income tax rate to 21% from 35%, establishes a modified territorial system requiring a mandatory deemed repatriation tax on undistributed earnings of foreign subsidiaries, requires a minimum tax on certain future earnings generated by foreign subsidiaries while providing for future tax-free repatriation of earnings through a 100% dividends-received deduction, and places limitations on the deductibility of net interest expense. In December 2019, the U.S. Department of the Treasury released final and newly proposed regulations related to foreign tax credits and the base erosion anti-abuse tax, the impact of which was not material. We anticipate that the U.S. Department of the Treasury and the Internal Revenue Service will continue to issue regulatory guidance clarifying certain provisions of U.S. Tax Reform. When additional guidance is issued, we will recognize the related tax impact of our implementation of the guidance in the fiscal quarter of such issuance.</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and differences between the book and tax treatment of certain items.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relates to a tax holiday that will be effective until January 31, 2029. Our other tax holidays will expire in whole or in part during Fiscal 2022 through Fiscal 2030. Many of these tax holidays and reduced tax rates may be extended when certain conditions are met or may be terminated early if certain conditions are not met. As of January 31, 2020, we were not aware of any matters of noncompliance related to these tax holidays.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11 of the Notes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Fiscal 2020, net income was $5.5 billion, compared to a net loss of $2.2 billion in Fiscal 2019. The net income we recognized during Fiscal 2020 was primarily attributable to an increase in tax benefit and, to a lesser extent, an increase in operating income, which was partially offset by an increase in interest and other, net expense.</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income for Fiscal 2020 and net loss for Fiscal 2019 included amortization of intangible assets, the impact of purchase accounting, transaction-related expenses, stock-based compensation expense, other corporate expenses, fair value adjustments on equity investments, and discrete tax items. Excluding these costs and the related tax impacts, non-GAAP net income increased 16% to $6.1 billion during Fiscal 2020. The increase in non-GAAP net income during Fiscal 2020 was primarily attributable to an increase in operating income, which was partially offset by an increase in interest and other, net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Fiscal 2019, net loss decreased 25% to $2.2 billion. The decrease in net loss during Fiscal 2019 was primarily attributable to a decrease in operating loss and, to a lesser extent, a decrease in interest and other, net expense, which was partially offset by a decrease in tax benefit.</w:t>
      </w:r>
    </w:p>
    <w:p>
      <w:pPr>
        <w:spacing w:after="0" w:line="14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Excluding amortization of intangible assets, the impact of purchase accounting, transaction-related expenses, stock-based compensation expense, other corporate expenses, fair value adjustments on equity investments, discrete tax items, and the related tax impacts, non-GAAP net income</w:t>
      </w:r>
    </w:p>
    <w:p>
      <w:pPr>
        <w:ind w:right="280"/>
        <w:spacing w:after="0" w:line="290" w:lineRule="auto"/>
        <w:rPr>
          <w:sz w:val="20"/>
          <w:szCs w:val="20"/>
          <w:color w:val="auto"/>
        </w:rPr>
      </w:pPr>
      <w:r>
        <w:rPr>
          <w:rFonts w:ascii="Arial" w:cs="Arial" w:eastAsia="Arial" w:hAnsi="Arial"/>
          <w:sz w:val="17"/>
          <w:szCs w:val="17"/>
          <w:color w:val="auto"/>
        </w:rPr>
        <w:t>increased 20% to $5.2 billion during Fiscal 2019. The increase in non-GAAP net income during Fiscal 2019 was primarily attributable to an increase in operating income and a decrease in interest and other, net expense, which was partially offset by an increase in income tax expense.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or loss attributable to non-controlling interests consisted of net income or loss attributable to our non-controlling interests in VMware, Inc., Pivotal, and Secureworks. Subsequent to VMware, Inc.’s acquisition of the non-controlling interest in Pivotal on December 30, 2019, we no longer have a separate non-controlling interest in Pivotal as of January 31, 2020. During Fiscal 2020 and Fiscal 2019, net income attributable to non-controlling interests was $913 million and $129 million, respectively. The increase in net income attributable to non-controlling interests in Fiscal 2020 was attributable to an increase in net income attributable to our non-controlling interest in VMware, Inc. For more information about our non-controlling interests, see Note 13 of the Notes to the Consolidated Financial Statements included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Fiscal 2019, net income attributable to non-controlling interests was $129 million, compared to a net loss attributable to non-controlling interests of $77 million during Fiscal 2018. Net income or loss attributable to non-controlling interests consisted of net income or loss attributable to our non-controlling interests in VMware, Inc., Pivotal, and Secureworks.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Attributable to Dell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income or loss attributable to Dell Technologies Inc. represents net income or loss and an adjustment for non-controlling interests. Net income attributable to Dell Technologies Inc. was $4.6 billion in Fiscal 2020, compared to net loss attributable to Dell Technologies Inc. of $2.3 billion in Fiscal 2019. The net income attributable to Dell Technologies Inc. we recognized during Fiscal 2020 was primarily attributable to an increase in net income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loss attributable to Dell Technologies Inc. represents net loss and an adjustment for non-controlling interests. Net loss attributable to Dell Technologies Inc. was $2.3 billion and $2.8 billion, respectively, during Fiscal 2019 and Fiscal 2018. The decrease in net loss attributable to Dell Technologies Inc. during Fiscal 2019 was primarily attributable to a decrease in net loss for the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reportable segments are based on the following business units: ISG, CSG, and VMware. A description of our three business units is provided under “Introduction.” See Note 19 of the Notes to the Consolidated Financial Statements included in this report for a reconciliation of net revenue and operating income by reportable segment to consolidated net revenue and consolidated operating income (loss),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Fiscal Year Ended</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January 31, 2020</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1, 2019</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2, 2018</w:t>
            </w:r>
          </w:p>
        </w:tc>
      </w:tr>
      <w:tr>
        <w:trPr>
          <w:trHeight w:val="27"/>
        </w:trPr>
        <w:tc>
          <w:tcPr>
            <w:tcW w:w="4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20" w:type="dxa"/>
            <w:vAlign w:val="bottom"/>
            <w:gridSpan w:val="4"/>
          </w:tcPr>
          <w:p>
            <w:pPr>
              <w:jc w:val="right"/>
              <w:ind w:right="730"/>
              <w:spacing w:after="0"/>
              <w:rPr>
                <w:sz w:val="20"/>
                <w:szCs w:val="20"/>
                <w:color w:val="auto"/>
              </w:rPr>
            </w:pPr>
            <w:r>
              <w:rPr>
                <w:rFonts w:ascii="Arial" w:cs="Arial" w:eastAsia="Arial" w:hAnsi="Arial"/>
                <w:sz w:val="18"/>
                <w:szCs w:val="18"/>
                <w:color w:val="auto"/>
              </w:rPr>
              <w:t>(in millions, except percentages)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17,127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19,953</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15,533</w:t>
            </w:r>
          </w:p>
        </w:tc>
      </w:tr>
      <w:tr>
        <w:trPr>
          <w:trHeight w:val="27"/>
        </w:trPr>
        <w:tc>
          <w:tcPr>
            <w:tcW w:w="4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16,842</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16,767</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15,384</w:t>
            </w:r>
          </w:p>
        </w:tc>
      </w:tr>
      <w:tr>
        <w:trPr>
          <w:trHeight w:val="237"/>
        </w:trPr>
        <w:tc>
          <w:tcPr>
            <w:tcW w:w="440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33,969</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36,720</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30,917</w:t>
            </w:r>
          </w:p>
        </w:tc>
      </w:tr>
      <w:tr>
        <w:trPr>
          <w:trHeight w:val="27"/>
        </w:trPr>
        <w:tc>
          <w:tcPr>
            <w:tcW w:w="4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4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4,001</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4,151</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3,068</w:t>
            </w: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11.8%</w:t>
            </w:r>
          </w:p>
        </w:tc>
        <w:tc>
          <w:tcPr>
            <w:tcW w:w="1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11.3%</w:t>
            </w:r>
          </w:p>
        </w:tc>
        <w:tc>
          <w:tcPr>
            <w:tcW w:w="12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9.9%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2020, ISG net revenue decreased 7% primarily due to a decrease in sales of servers and networking. Revenue from servers</w:t>
      </w:r>
      <w:r>
        <w:rPr>
          <w:rFonts w:ascii="Arial" w:cs="Arial" w:eastAsia="Arial" w:hAnsi="Arial"/>
          <w:sz w:val="18"/>
          <w:szCs w:val="18"/>
          <w:i w:val="1"/>
          <w:iCs w:val="1"/>
          <w:color w:val="auto"/>
        </w:rPr>
        <w:t xml:space="preserve"> </w:t>
      </w:r>
      <w:r>
        <w:rPr>
          <w:rFonts w:ascii="Arial" w:cs="Arial" w:eastAsia="Arial" w:hAnsi="Arial"/>
          <w:sz w:val="18"/>
          <w:szCs w:val="18"/>
          <w:color w:val="auto"/>
        </w:rPr>
        <w:t>and networking decreased 14% during Fiscal 2020, primarily driven by a decline in units sold of our PowerEdge servers due to a weaker demand environment. Certain competitive dynamics also contributed to lower server sales volumes, as we focused on profitability over net revenue growth. The decrease in ISG net revenue during Fiscal 2020 also reflected a decrease in average selling prices for servers due to competitive pressures in certain geographies, as well as component cost deflation.</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Storage revenue remained flat during Fiscal 2020, with strong demand for hyper-converged products offset by softness in core storage. We continue to make go-to-market investments and enhancements to our storage solutions offerings and expect that these investments will drive long-term improvements in the business.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Component costs were deflationary in the aggregate for ISG during Fiscal 2020, and we continue to monitor our pricing in response to the changing cost environment. For Fiscal 2021, we expect an inflationary component cost environment, which may put pressure on ISG operating results, particularly in servers and networking.</w:t>
      </w:r>
    </w:p>
    <w:p>
      <w:pPr>
        <w:spacing w:after="0" w:line="184"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We continue to see interest in flexible consumption models by our ISG customers as they seek to build greater flexibility into their cost structures. We generally provide these solutions under multi-year contracts that typically result in recognition of revenue over the term of the arrangement. We expect these flexible consumption models will further strengthen our customer relationships and will build more predictable revenue streams over time.</w:t>
      </w:r>
    </w:p>
    <w:p>
      <w:pPr>
        <w:spacing w:after="0" w:line="14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From a geographical perspective, net revenue attributable to ISG decreased in all regions during Fiscal 2020, with the largest decline in APJ. The decrease in ISG revenue in APJ was driven by a weaker demand environment, particularly in China, which we expect to continue into Fiscal 2021.</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2020, ISG operating income as a percentage of net revenue increased 50 basis points to 11.8%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ISG gross margin percentage resulting from the deflationary cost environment which benefited servers, as discussed above. The increase in ISG operating margins was offset by an increase in ISG operating expenses as a percentage of ISG net revenue due to investments we made in our go-to-market capabilities to serve the needs of our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2019, ISG net revenue increased 19% primarily due to an increase in sales of servers and networking as well as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sales of storage. Revenue from servers and networking increased 28% during Fiscal 2019, driven by an increase in both average selling price and units sold of our PowerEdge servers. Average selling prices increased due to the sale of servers with more robust compute capacity and higher memory and storage content, which was driven by customer demand for servers that enable big data analytics and software-defined storage solutions, including hyper-converged infrastructure, as well as increased component costs during the first half of Fiscal 2019. Storage revenue increased 9% during Fiscal 2019 due to strong growth in our network-attached storage and object storage solutions. Although component costs were inflationary during the first half of Fiscal 2019, they were slightly deflationary in the aggregate for ISG during the second half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ISG increased across all regions during Fiscal 2019.</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ISG operating income as a percentage of net revenue increased 140 basis points to 11.3%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operating expenses as a percentage of revenue, partially offset by a decrease in ISG gross margin percentage. Revenue growth outpaced our investments in go-to-market capabilities and solutions offerings, and, as a result, operating expenses decreased as a percentage of revenue. We experienced gross margin pressure due to a shift in product mix to servers, which typically have a lower gross margin than storage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January 31, 2020</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February 1, 2019</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February 2, 2018</w:t>
            </w:r>
          </w:p>
        </w:tc>
      </w:tr>
      <w:tr>
        <w:trPr>
          <w:trHeight w:val="27"/>
        </w:trPr>
        <w:tc>
          <w:tcPr>
            <w:tcW w:w="43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60" w:type="dxa"/>
            <w:vAlign w:val="bottom"/>
            <w:gridSpan w:val="5"/>
          </w:tcPr>
          <w:p>
            <w:pPr>
              <w:jc w:val="right"/>
              <w:ind w:right="750"/>
              <w:spacing w:after="0"/>
              <w:rPr>
                <w:sz w:val="20"/>
                <w:szCs w:val="20"/>
                <w:color w:val="auto"/>
              </w:rPr>
            </w:pPr>
            <w:r>
              <w:rPr>
                <w:rFonts w:ascii="Arial" w:cs="Arial" w:eastAsia="Arial" w:hAnsi="Arial"/>
                <w:sz w:val="18"/>
                <w:szCs w:val="18"/>
                <w:color w:val="auto"/>
              </w:rPr>
              <w:t>(in millions, except percentages)</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34,277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11 %</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30,893</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12 %</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27,507</w:t>
            </w:r>
          </w:p>
        </w:tc>
      </w:tr>
      <w:tr>
        <w:trPr>
          <w:trHeight w:val="27"/>
        </w:trPr>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11,561</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12,303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5 %</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11,711</w:t>
            </w:r>
          </w:p>
        </w:tc>
      </w:tr>
      <w:tr>
        <w:trPr>
          <w:trHeight w:val="237"/>
        </w:trPr>
        <w:tc>
          <w:tcPr>
            <w:tcW w:w="438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45,838</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6 %</w:t>
            </w: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43,196</w:t>
            </w:r>
          </w:p>
        </w:tc>
        <w:tc>
          <w:tcPr>
            <w:tcW w:w="1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39,218</w:t>
            </w:r>
          </w:p>
        </w:tc>
      </w:tr>
      <w:tr>
        <w:trPr>
          <w:trHeight w:val="27"/>
        </w:trPr>
        <w:tc>
          <w:tcPr>
            <w:tcW w:w="4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3,138</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60 %</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2,044</w:t>
            </w: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6.8%</w:t>
            </w:r>
          </w:p>
        </w:tc>
        <w:tc>
          <w:tcPr>
            <w:tcW w:w="1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2020, CSG net revenue increased 6% primarily driven by the Microsoft Windows 10 operating system refresh cycle,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with strong execution by the business. Although we expect continued strong CSG demand into the early part of Fiscal 2021, we expect overall CSG demand will decelerate in Fiscal 2021 as the Windows 10 refresh cycle winds down.</w:t>
      </w:r>
    </w:p>
    <w:p>
      <w:pPr>
        <w:spacing w:after="0" w:line="184"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During Fiscal 2020, commercial net revenue increased 11% due to continued strong demand for our commercial products across all product categories. Consumer net revenue decreased 6%, due to lower demand as we continue to focus on commercial and higher-end consumer products. The decline in consumer demand was partially offset by an increase in average selling prices in all consumer product categories in Fiscal 2020.</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aggregate CSG component cost environment was deflationary in Fiscal 2020, but for Fiscal 2021, we currently expect an inflationary component cost environment, which will put pressure on CSG operating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in the Americas, EMEA, and APJ increased during Fiscal 2020.</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2020, CSG operating income as a percentage of net revenue increased 230 basis points to 6.8%.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lower component costs that positively impacted CSG gross margin and a shift in product mix to higher-margin product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CSG net revenue increased 10% due to continued strong demand for our commercial products and overall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selling prices driven by an increase in consumer sales. Commercial net revenue increased 12%, driven primarily by increased demand across all product categories. Consumer net revenue increased 5%, driven primarily by a shift in product mix to our high-end notebooks. During Fiscal 2019, we effectively managed our pricing in response to supply chain dynamics, geographical mix, foreign currency exchange fluctuations, and the component cost environment. The aggregate CSG component cost environment was deflationary in the second half of Fiscal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2019.</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CSG operating income as a percentage of net revenue decreased 70 basis points to 4.5%.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higher component costs during the first half of Fiscal 2019 that negatively impacted CSG gross margin and to increases in CSG operating expense as a percentage of revenue resulting from higher performance-driven commission costs and marketing expense related to our net revenue growth. In addition, the decline in CSG operating income as a percentage of revenue during Fiscal 2019 was partially attributable to a $68 million vendor settlement benefit recorded during Fiscal 2018, which added an incremental 20 basis points to our operating income percentage in the prior period that did not recur. Excluding the effect of this vendor settlement, CSG operating income as a percentage of revenue decreased 50 basis points during Fiscal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following table presents net revenue and operating income attributable to VMware for the respective periods. During Fiscal 2020, the Company reclassified Pivotal operating results from other businesses to the VMware reportable segment. Prior period results have been recast to conform with current period presentation.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w:t>
            </w: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January 31, 2020</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February 1, 2019</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February 2, 2018</w:t>
            </w:r>
          </w:p>
        </w:tc>
      </w:tr>
      <w:tr>
        <w:trPr>
          <w:trHeight w:val="27"/>
        </w:trPr>
        <w:tc>
          <w:tcPr>
            <w:tcW w:w="44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10,905</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8,485</w:t>
            </w:r>
          </w:p>
        </w:tc>
      </w:tr>
      <w:tr>
        <w:trPr>
          <w:trHeight w:val="27"/>
        </w:trPr>
        <w:tc>
          <w:tcPr>
            <w:tcW w:w="4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4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operating income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3,081</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2,671</w:t>
            </w: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28.3%</w:t>
            </w:r>
          </w:p>
        </w:tc>
        <w:tc>
          <w:tcPr>
            <w:tcW w:w="12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30.0%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2020 compared to Fiscal 2019</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VMware net revenue, inclusive of Pivotal, primarily consists of revenue from the sale of software licenses under perpetual licenses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subscriptions and SaaS, related software maintenance services, and support, training, consulting services, and hosted services. VMware net revenue during Fiscal 2020 increased 12% primarily due to growth in subscriptions and SaaS, as well as an increase in sales of software maintenance services. Software maintenance revenue benefited from strong renewals of VMware enterprise agreements, revenue recognized from maintenance contracts sold in prior periods, and additional maintenance contracts sold in conjunction with new software license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2020 was generated by sales to customers 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VMware net revenue for Fiscal 2020 was positively affected by growth across U.S. and international markets.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2020, VMware operating income as a percentage of net revenue decreased 170 basis points to 28.3%.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increase in operating expenses as a percentage of net revenue as the result of an increase in compensation-related expense associated with sales and sales support, primarily due to increased headcount, as well as to an increase in R&amp;D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during Fiscal 2019 increased 15% primarily due to growth in subscription and SaaS software license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software maintenance services. Software license revenue benefited from broad-based growth across the product portfolio. Software maintenance revenue benefited from strong renewals, revenue recognized from maintenance contracts sold in prior periods, and new maintenance contracts sold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2019 was generated by sales to customers 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VMware net revenue for Fiscal 2019 benefited from growth across U.S. and international markets.</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VMware operating income as a percentage of net revenue decreased 150 basis points to 30.0%.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operating expenses as a percentage of revenue due to an increase in compensation-related expense associated with sales and sales support, which reflected increased performance-driven commission costs and headcount, as well as to an increase in R&amp;D expenses.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sell products and services directly to customers and through other sales channels, such as value-added resellers, system integrators, distributors, and retailers. Our accounts receivable, net, was $12.5 billion and $12.4 billion as of January 31, 2020 and February 1, 2019,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January 31, 2020 and February 1, 2019, the allowance for doubtful accounts was $94 million and $85 million, respectively. Based on our assessment, we believe that we are adequately reserved for expected credit losses. We monitor the aging of our accounts receivable and continue to take actions to reduce our exposure to credit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Dell Financial Services and its affiliates (“DFS”) support Dell Technologies by offering and arranging various financing options and services for our customers globally, including through captive financing operations in North America, Europe, Australia, and New Zealand. DFS originates, collects, and services customer receivables primarily related to the purchase of our product, software, and service solutions.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$8.5 billion, $7.3 billion, and $6.3 billion for Fiscal 2020, Fiscal 2019, and Fiscal 2018, respectively.</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February 2, 2019, we adopted the new lease standard discussed in Note 2 of the Notes to the Consolidated Financial Statements included in this report. The adoption of the new lease standard did not result in a change to leases that commenced prior to adoption. For new leases that commenced subsequent to the adoption of the new lease standard, we account for the leases as sales-type leases, direct financing leases, or operating leases depending on lease classification guidance. Amounts due from lessees under sales-type leases or direct financing leases are recorded as part of financing receivables, with interest income recognized over the contract term. On commencement of sales-type leases, we typically qualify for up-front revenue recognition. On originations of operating leases, we record equipment under operating leases, classified as property, plant, and equipment, and recognize rental revenue and depreciation expense, classified as cost of net revenue, over the contract term. Direct financing leases under the new lease standard are immaterial.</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January 31, 2020 and February 1, 2019, our financing receivables, net were $9.7 billion and $8.6 billion, respectively. We maintain an allowance to cover expected financing receivable credit losses and evaluate credit loss expectations based on our total portfolio. For Fiscal 2020, Fiscal 2019, and Fiscal 2018, the principal charge-off rate for our total portfolio was 1.0%, 1.2%, and 1.5%, respectively. The credit quality of our financing receivables has improved in recent years due to an overall improvement in the credit environment and as the mix of high-quality commercial accounts in our portfolio has continued to increase.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to unrelated third parties on a periodic basis, primarily to manage certain concentrations of customer credit exposure. Based on our assessment of the customer financing receivables, we believe that we are adequately reserved.</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retain a residual interest in equipment leased under our lease programs. As of January 31, 2020 and February 1, 2019, the residual interest recorded as part of financing receivables was $582 million and $674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impairment. Generally, residual value risk on equipment under lease is not considered to be significant,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Our remarketing sales staff works closely with customers and dealers to manage the sale of lease returns and the recovery of residual exposure. No impairment losses were recorded related to residual assets during Fiscal 2020.</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Equipment under operating leases, net was $840 million as of January 31, 2020 and was immaterial as of February 1, 2019. The increase in equipment under operating leases, net is due to our adoption of the new lease standard and the elimination of the third-party residual value guarantee insurance in the lease classification test for sales-type leases. Based on triggering events, we assess the carrying amount of the equipment under operating leases recorded for impairment. No material impairment losses were recorded related to such equipment during Fiscal 2020.</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DFS offerings are initially funded through cash on hand at the time of origination, most of which is subsequently replaced with third-party financing. For DFS offerings which qualify as sales-type leases, the initial funding of financing receivables is reflected as an impact to cash flows from operations, and is largely subsequently offset by cash proceeds from financing. For DFS operating leases, which have increased in Fiscal 2020 with the adoption of the new leasing standard, the initial funding is classified as a capital expenditure and reflected as an impact to cash flows used in investing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4 of the Notes to the Consolidated Financial Statements included in this report for additional information about our financing receivables and the associated allowances.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January 31, 2020, we had no off-balance sheet arrangements that have or are reasonably likely to have a current or future material effect on our financial condition or results of operations.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125" w:right="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CAPITAL COMMITMENTS, AND CONTRACTUAL CASH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Consolidated Financial Statements included in this report for more information about our use of derivative instruments.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As a result, we do not anticipate any material losses from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any credit adjustments related to our use of counterparties on our Consolidated Financial Statements included in this report is immaterial.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of January 31, 2020, we had $9.3 billion of total cash and cash equivalents. Our strategy is to deploy capital from any potential source, whether internally generated cash or debt, depending on the adequacy and availability of that source of capital and whether it can be accessed in a cost-effective manner.</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fourth quarter of Fiscal 2019, as discussed above in “Introduction — Class V Transaction,” we completed a transaction in which all issued and outstanding shares of Class V Common Stock were exchanged for cash or shares of Class C Common Stock at the stockholder’s election. We paid a total of $14 billion of cash to holders of Class V Common Stock. To fund a majority of the cash payment to stockholders, VMware, Inc. declared a $11 billion one-time special cash dividend (the “Special Dividend”), which was paid pro-rata to VMware, Inc. stockholders as of the dividend record date of December 27, 2018 and in connection with the completion of the Class V transaction. Our cash, cash equivalents, and investments declined significantly, commensurate with the cash required to fund this transaction.</w:t>
      </w:r>
    </w:p>
    <w:p>
      <w:pPr>
        <w:spacing w:after="0" w:line="178"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We funded a majority of the cash consideration paid in the Class V transaction from the $8.87 billion of the proceeds of the Special Dividend. The remaining amount of the cash consideration was primarily funded with $3.67 billion of proceeds from new senior secured term loans under our senior secured credit facilities and proceeds of a margin loan financing in an aggregate principal amount of $1.35 billion. See Note 6 of the Notes to the Consolidated Financial Statements included in this report for information about the debt we incurred to finance the Class V transaction.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and cash equivalents as well as our available borrowings as of the dates indicated:</w:t>
      </w:r>
    </w:p>
    <w:p>
      <w:pPr>
        <w:spacing w:after="0" w:line="167" w:lineRule="exact"/>
        <w:rPr>
          <w:sz w:val="20"/>
          <w:szCs w:val="20"/>
          <w:color w:val="auto"/>
        </w:rPr>
      </w:pPr>
    </w:p>
    <w:p>
      <w:pPr>
        <w:ind w:left="7780"/>
        <w:spacing w:after="0"/>
        <w:tabs>
          <w:tab w:leader="none" w:pos="9660" w:val="left"/>
        </w:tabs>
        <w:rPr>
          <w:sz w:val="20"/>
          <w:szCs w:val="20"/>
          <w:color w:val="auto"/>
        </w:rPr>
      </w:pPr>
      <w:r>
        <w:rPr>
          <w:rFonts w:ascii="Arial" w:cs="Arial" w:eastAsia="Arial" w:hAnsi="Arial"/>
          <w:sz w:val="18"/>
          <w:szCs w:val="18"/>
          <w:b w:val="1"/>
          <w:bCs w:val="1"/>
          <w:color w:val="auto"/>
        </w:rPr>
        <w:t>January 31, 2020</w:t>
      </w:r>
      <w:r>
        <w:rPr>
          <w:sz w:val="20"/>
          <w:szCs w:val="20"/>
          <w:color w:val="auto"/>
        </w:rPr>
        <w:tab/>
      </w:r>
      <w:r>
        <w:rPr>
          <w:rFonts w:ascii="Arial" w:cs="Arial" w:eastAsia="Arial" w:hAnsi="Arial"/>
          <w:sz w:val="16"/>
          <w:szCs w:val="16"/>
          <w:b w:val="1"/>
          <w:bCs w:val="1"/>
          <w:color w:val="auto"/>
        </w:rPr>
        <w:t>February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34290</wp:posOffset>
            </wp:positionV>
            <wp:extent cx="2348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9,676</w:t>
            </w:r>
          </w:p>
        </w:tc>
      </w:tr>
      <w:tr>
        <w:trPr>
          <w:trHeight w:val="27"/>
        </w:trPr>
        <w:tc>
          <w:tcPr>
            <w:tcW w:w="7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r>
      <w:tr>
        <w:trPr>
          <w:trHeight w:val="250"/>
        </w:trPr>
        <w:tc>
          <w:tcPr>
            <w:tcW w:w="754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15,274</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8255</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-130175</wp:posOffset>
            </wp:positionV>
            <wp:extent cx="234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Of the $9.3 billion of cash and cash equivalents as of January 31, 2020, $2.9 billion was held by VMware, Inc.</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revolving credit facilities as of January 31, 2020 include the Revolving Credit Facility and the China Revolving Credit Facility. The Revolving Credit Facility and the China Revolving Credit Facility have maximum aggregate borrowings of $4.5 billion and $0.5 billion, respectively. Available borrowings under these facilities are reduced by draws on the facility and, under the Revolving Credit Facility, outstanding letters of credit. As of January 31, 2020, there were no borrowings outstanding under the facilities and remaining available borrowings totaled approximately $5.0 billion. We may regularly use our available borrowings from our Revolving Credit Facility on a short-term basis for general corporate purposes.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March 2020, we drew $3.0 billion under the Revolving Credit Facility, with the majority of the proceeds held as cash and cash equivalents. We increased our borrowing under the Revolving Credit Facility as a precautionary measure to increase our cash position and preserve financial flexibility in light of current disruption and uncertainty in the global markets resulting from the outbreak of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January 31, 2020, upon the expiration of the China Revolving Credit Facility in February 2020, the facility terminated.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VMware Revolving Credit Facility has maximum aggregate borrowings of $1.0 billion. As of January 31, 2020, $1.0 billion was available under the VMware Revolving Credit Facility. The VMware Term Loan Facility has a borrowing capacity of up to $2.0 billion. VMware, Inc. may borrow against the VMware Term Loan Facility two times up to its borrowing capacity of $2.0 billion until February 7, 2020. As of January 31, 2020, borrowings under the facility were $1.5 billion, with no remaining amount available for additional borrowings. None of the net proceeds of such borrowings are made available to support the operations or satisfy any corporate purposes of Dell Technologies, other than the operations and corporate purposes of VMware, Inc. and VMware, Inc.’s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Pivotal Revolving Credit Facility had maximum aggregate borrowings of $100 million and was terminated during Fiscal 2020.</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Note 6 of the Notes to the Consolidated Financial Statements included in this report for additional information about each of the foregoing revolving credit facilities.</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believe that our current cash and cash equivalents, together with cash that will be provided by future operations and expected borrowings under our revolving credit facilities, will be sufficient over at least the next twelve months to fund our operations, debt service requirements and maturities, capital expenditures, share repurchases, and other corporate needs.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6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92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3"/>
        </w:trPr>
        <w:tc>
          <w:tcPr>
            <w:tcW w:w="5640" w:type="dxa"/>
            <w:vAlign w:val="bottom"/>
            <w:gridSpan w:val="3"/>
          </w:tcPr>
          <w:p>
            <w:pPr>
              <w:spacing w:after="0"/>
              <w:rPr>
                <w:sz w:val="20"/>
                <w:szCs w:val="20"/>
                <w:color w:val="auto"/>
              </w:rPr>
            </w:pPr>
            <w:r>
              <w:rPr>
                <w:rFonts w:ascii="Arial" w:cs="Arial" w:eastAsia="Arial" w:hAnsi="Arial"/>
                <w:sz w:val="18"/>
                <w:szCs w:val="18"/>
                <w:color w:val="auto"/>
                <w:w w:val="93"/>
              </w:rPr>
              <w:t>The following table presents our outstanding debt as of the dates indicated: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4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Increase (Decrease)</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Core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3"/>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29,664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32,720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Unsecured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r>
      <w:tr>
        <w:trPr>
          <w:trHeight w:val="243"/>
        </w:trPr>
        <w:tc>
          <w:tcPr>
            <w:tcW w:w="5640" w:type="dxa"/>
            <w:vAlign w:val="bottom"/>
            <w:gridSpan w:val="3"/>
          </w:tcPr>
          <w:p>
            <w:pPr>
              <w:ind w:left="28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3,250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EMC Notes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5640" w:type="dxa"/>
            <w:vAlign w:val="bottom"/>
            <w:gridSpan w:val="3"/>
          </w:tcPr>
          <w:p>
            <w:pPr>
              <w:ind w:left="280"/>
              <w:spacing w:after="0"/>
              <w:rPr>
                <w:sz w:val="20"/>
                <w:szCs w:val="20"/>
                <w:color w:val="auto"/>
              </w:rPr>
            </w:pPr>
            <w:r>
              <w:rPr>
                <w:rFonts w:ascii="Arial" w:cs="Arial" w:eastAsia="Arial" w:hAnsi="Arial"/>
                <w:sz w:val="18"/>
                <w:szCs w:val="18"/>
                <w:color w:val="auto"/>
              </w:rPr>
              <w:t>DFS allocated debt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6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core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39,307</w:t>
            </w:r>
          </w:p>
        </w:tc>
      </w:tr>
      <w:tr>
        <w:trPr>
          <w:trHeight w:val="243"/>
        </w:trPr>
        <w:tc>
          <w:tcPr>
            <w:tcW w:w="5640" w:type="dxa"/>
            <w:vAlign w:val="bottom"/>
            <w:gridSpan w:val="3"/>
          </w:tcPr>
          <w:p>
            <w:pPr>
              <w:ind w:left="40"/>
              <w:spacing w:after="0"/>
              <w:rPr>
                <w:sz w:val="20"/>
                <w:szCs w:val="20"/>
                <w:color w:val="auto"/>
              </w:rPr>
            </w:pPr>
            <w:r>
              <w:rPr>
                <w:rFonts w:ascii="Arial" w:cs="Arial" w:eastAsia="Arial" w:hAnsi="Arial"/>
                <w:sz w:val="18"/>
                <w:szCs w:val="18"/>
                <w:b w:val="1"/>
                <w:bCs w:val="1"/>
                <w:color w:val="auto"/>
              </w:rPr>
              <w:t>DFS related debt</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r>
      <w:tr>
        <w:trPr>
          <w:trHeight w:val="243"/>
        </w:trPr>
        <w:tc>
          <w:tcPr>
            <w:tcW w:w="5640" w:type="dxa"/>
            <w:vAlign w:val="bottom"/>
            <w:gridSpan w:val="3"/>
          </w:tcPr>
          <w:p>
            <w:pPr>
              <w:ind w:left="280"/>
              <w:spacing w:after="0"/>
              <w:rPr>
                <w:sz w:val="20"/>
                <w:szCs w:val="20"/>
                <w:color w:val="auto"/>
              </w:rPr>
            </w:pPr>
            <w:r>
              <w:rPr>
                <w:rFonts w:ascii="Arial" w:cs="Arial" w:eastAsia="Arial" w:hAnsi="Arial"/>
                <w:sz w:val="18"/>
                <w:szCs w:val="18"/>
                <w:color w:val="auto"/>
              </w:rPr>
              <w:t>DFS allocated debt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1,615</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6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DFS related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r>
      <w:tr>
        <w:trPr>
          <w:trHeight w:val="243"/>
        </w:trPr>
        <w:tc>
          <w:tcPr>
            <w:tcW w:w="56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Margin Loan Facility and other</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3,388</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Debt of public subsidiary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VMware Notes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VMware Term Loan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public subsidiary debt</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37"/>
        </w:trPr>
        <w:tc>
          <w:tcPr>
            <w:tcW w:w="360" w:type="dxa"/>
            <w:vAlign w:val="bottom"/>
          </w:tcPr>
          <w:p>
            <w:pPr>
              <w:spacing w:after="0"/>
              <w:rPr>
                <w:sz w:val="20"/>
                <w:szCs w:val="20"/>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Total debt, principal amount</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54,239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5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Carrying value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57"/>
        </w:trPr>
        <w:tc>
          <w:tcPr>
            <w:tcW w:w="360" w:type="dxa"/>
            <w:vAlign w:val="bottom"/>
          </w:tcPr>
          <w:p>
            <w:pPr>
              <w:spacing w:after="0"/>
              <w:rPr>
                <w:sz w:val="22"/>
                <w:szCs w:val="22"/>
                <w:color w:val="auto"/>
              </w:rPr>
            </w:pPr>
          </w:p>
        </w:tc>
        <w:tc>
          <w:tcPr>
            <w:tcW w:w="5280" w:type="dxa"/>
            <w:vAlign w:val="bottom"/>
            <w:gridSpan w:val="2"/>
          </w:tcPr>
          <w:p>
            <w:pPr>
              <w:ind w:left="240"/>
              <w:spacing w:after="0"/>
              <w:rPr>
                <w:sz w:val="20"/>
                <w:szCs w:val="20"/>
                <w:color w:val="auto"/>
              </w:rPr>
            </w:pPr>
            <w:r>
              <w:rPr>
                <w:rFonts w:ascii="Arial" w:cs="Arial" w:eastAsia="Arial" w:hAnsi="Arial"/>
                <w:sz w:val="18"/>
                <w:szCs w:val="18"/>
                <w:color w:val="auto"/>
              </w:rPr>
              <w:t>Total debt, carrying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52,056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2020, the outstanding principal amount of our debt decreased by $1.6 billion to $52.7 billion as of January 31, 2020.</w:t>
      </w:r>
    </w:p>
    <w:p>
      <w:pPr>
        <w:spacing w:after="0" w:line="22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During Fiscal 2020, core debt decreased by $5.5 billion to $33.8 billion as of January 31, 2020. We define core debt as the total principal amount of our debt, less DFS related debt, our Margin Loan Facility and other debt, and public subsidiary debt. The decrease in core debt was primarily due to our deleveraging efforts. See Note 6 of the Notes to the Consolidated Financial Statements included in this report for more information about our debt.</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Fiscal 2020, we issued an additional $1.8 billion, net, in DFS debt to support the expansion of its financing receivables portfolio. DFS related debt primarily represents debt from our securitization and structured financing programs. The majority of DFS debt is non-recourse to Dell Technologies and represents borrowings under securitization programs and structured financing programs, for which our risk of loss is limited to transferred lease and loan payments and associated equipment, and the credit holders under these programs have no recourse to Dell Technologies.</w:t>
      </w:r>
    </w:p>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 fund expansion of the DFS business, we balance the use of the securitization and structured financing programs with other sources of liquidity. We approximate the amount of our debt used to fund the DFS business by applying a 7:1 debt to equity ratio to the sum of our financing receivables balance and equipment under our DFS operating leases, net. The debt to equity ratio is based on the underlying credit quality of the assets. See Note 4 of the Notes to the Consolidated Financial Statements included in this report for more information about our DFS debt.</w:t>
      </w:r>
    </w:p>
    <w:p>
      <w:pPr>
        <w:spacing w:after="0" w:line="17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As of January 31, 2020, margin loan and other debt primarily consisted of the $4.0 billion Margin Loan Facility. We amended the Margin Loan Facility during the first quarter of Fiscal 2020, and increased the principal amount of the facility by $650 million to $4.0 billion. As of February 1, 2019, margin loan and other debt primarily consisted of the $3.4 billion Margin Loan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08"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Public subsidiary debt represents VMware, Inc. indebtedness. During Fiscal 2020, VMware, Inc. entered into a senior unsecured term loan facility described above. As of January 31, 2020, borrowings under the facility were $1.5 billion. See Note 6 of the Notes to the Consolidated Financial Statements included in this report for more information about VMware, Inc. debt.</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VMware, Inc. and its respective subsidiaries are unrestricted subsidiaries for purposes of the core debt of Dell Technologies. Neither Dell Technologies nor any of its subsidiaries, other than VMware, Inc., is obligated to make payment on the VMware Notes or the VMware Term Loan Facility. None of the net proceeds of the VMware Notes or the VMware Term Loan Facility are made available to support the operations or satisfy any corporate purposes of Dell Technologies, other than the operations and corporate purposes of VMware, Inc. and its subsidiaries.</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requirements for cash to pay principal and interest on our debt increased significantly due to the borrowings we incurred to finance the EMC merger transaction, and to a lesser extent, the Class V transaction. We have made good progress in paying down core debt since the EMC merger transaction. We believe we will continue to be able to make our debt principal and interest payments, including the short-term maturities, from existing and expected sources of cash, primarily from operating cash flows. Cash used for debt principal and interest payments may include short-term borrowings under our revolving credit facilities. We will continue to focus on paying down core debt. Under our variable-rate debt, we could experience variations in our future interest expense from potential fluctuations in LIBOR, or from possible fluctuations in the level of DFS debt required to meet future demand for customer financing. We or our affiliates or their related persons,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or otherwise, as appropriate market conditions exist.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Consolidated Statements of Cash Flows for the periods indicated:</w:t>
      </w:r>
    </w:p>
    <w:p>
      <w:pPr>
        <w:spacing w:after="0" w:line="167"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880"/>
        <w:spacing w:after="0"/>
        <w:tabs>
          <w:tab w:leader="none" w:pos="7760" w:val="left"/>
          <w:tab w:leader="none" w:pos="9660" w:val="left"/>
        </w:tabs>
        <w:rPr>
          <w:sz w:val="20"/>
          <w:szCs w:val="20"/>
          <w:color w:val="auto"/>
        </w:rPr>
      </w:pPr>
      <w:r>
        <w:rPr>
          <w:rFonts w:ascii="Arial" w:cs="Arial" w:eastAsia="Arial" w:hAnsi="Arial"/>
          <w:sz w:val="18"/>
          <w:szCs w:val="18"/>
          <w:b w:val="1"/>
          <w:bCs w:val="1"/>
          <w:color w:val="auto"/>
        </w:rPr>
        <w:t>January 31, 2020</w:t>
      </w:r>
      <w:r>
        <w:rPr>
          <w:sz w:val="20"/>
          <w:szCs w:val="20"/>
          <w:color w:val="auto"/>
        </w:rPr>
        <w:tab/>
      </w: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change in cash from:</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6,843</w:t>
            </w:r>
          </w:p>
        </w:tc>
      </w:tr>
      <w:tr>
        <w:trPr>
          <w:trHeight w:val="27"/>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Effect of exchange rate changes on cash, cash equivalents, and restricted</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57"/>
        </w:trPr>
        <w:tc>
          <w:tcPr>
            <w:tcW w:w="5640" w:type="dxa"/>
            <w:vAlign w:val="bottom"/>
          </w:tcPr>
          <w:p>
            <w:pPr>
              <w:ind w:left="380"/>
              <w:spacing w:after="0"/>
              <w:rPr>
                <w:sz w:val="20"/>
                <w:szCs w:val="20"/>
                <w:color w:val="auto"/>
              </w:rPr>
            </w:pPr>
            <w:r>
              <w:rPr>
                <w:rFonts w:ascii="Arial" w:cs="Arial" w:eastAsia="Arial" w:hAnsi="Arial"/>
                <w:sz w:val="18"/>
                <w:szCs w:val="18"/>
                <w:color w:val="auto"/>
              </w:rPr>
              <w:t>Change in cash, cash equivalents, and restricted cash</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r>
      <w:tr>
        <w:trPr>
          <w:trHeight w:val="20"/>
        </w:trPr>
        <w:tc>
          <w:tcPr>
            <w:tcW w:w="5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i w:val="1"/>
          <w:iCs w:val="1"/>
          <w:u w:val="single" w:color="auto"/>
          <w:color w:val="auto"/>
        </w:rPr>
        <w:t>Operating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Cash provided by operating activities was $9.3 billion and $7.0 billion during Fiscal 2020 and Fiscal 2019,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operating cash flows during Fiscal 2020 was attributable improved profitability and working capital discipline. During Fiscal 2019, we experienced supply chain dynamics that temporarily increased our inventory and negatively impacted working capital. These dynamics normalized in Fiscal 2020 with a resulting decrease to inventory and beneficial impact to our working capital.</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Cash provided by operating activities was $7.0 billion and $6.8 billion during Fiscal 2019 and Fiscal 2018, respectively. The increase in operating cash flows during Fiscal 2019 was attributable to business growth, which drove higher deferred revenue and improved profitability due to product mix and higher average selling prices, partially offset by an increase in inventory.</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DFS offerings are initially funded through cash on hand at the time of origination, most of which is subsequently replaced with third-party financing. For DFS offerings which qualify as sales-type leases, the initial funding of financing receivables is reflected as an impact to cash flows from operations, and is largely subsequently offset by cash proceeds from financing. For DFS operating leases, which have increased in Fiscal 2020 with the adoption of the new leasing standard, the initial funding is classified as capital expenditures and reflected as cash flows used in investing activities. DFS new financing originations were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$8.5 billion and $7.3 billion during Fiscal 2020 and Fiscal 2019, respectively. As of January 31, 2020, DFS had $9.7 billion of total net financing receivables and $0.8 billion of equipment under DFS operating leases, net.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primarily consist of cash used to fund capital expenditures for property, plant, and equipment,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equipment under DFS operating leases, capitalized software development costs, strategic investments, acquisitions of businesses, and the maturities, sales, and purchases of investments. During Fiscal 2020, cash used in investing activities was $4.7 billion and was primarily driven by capital expenditures and acquisition of businesses.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investing activities was $3.4 billion during Fiscal 2019 and was primarily driven by the net sales of investments used to fund the Class V transaction, partially offset by capital expenditures and strategic investments. During Fiscal 2018, cash used by investing activities was $2.9 billion and was primarily driven by capital expenditures, capitalized software development costs, and net purchases of investments.</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Financing activities primarily consist of the proceeds and repayments of debt, cash used to repurchase common stock, and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issuance of common stock of subsidiaries. Cash used in financing activities of $4.6 billion during Fiscal 2020 primarily consisted of net repayments of debt and repurchases of common stock by our public subsidiaries, primarily related to VMware Inc.’s acquisition of Pivotal.</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financing activities of $14.3 billion during Fiscal 2019 primarily consisted of $14.0 billion in cash paid to holders of the Class V Common Stock in the Class V transaction, partially offset by debt proceeds of $5.0 billion of debt incurred to fund a portion of this payment. Cash used by financing activities also included our repayments of an EMC Note in the amount of $2.5 billion and the Term Loan A-3 Facility in the amount of $1.2 billion, as well as the payment to VMware, Inc.’s public stockholders of $2.1 billion of the Special Dividend.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2018, cash provided by financing activities of $0.4 billion was primarily driven by net proceeds from debt, primarily due to the issuance of the VMware Notes, partially offset by cash used for 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2020, we spent $2.2 billion on property, plant, and equipment, which included equipment under DFS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leases of $0.9 billion. During Fiscal 2019, we spent $1.2 billion on property, plant, and equipment. These expenditures were incurred in connection with our global expansion efforts and infrastructure investments made to support future growth, and, in Fiscal 2020, the funding of equipment under DFS operating leases. Product demand, product mix, and the use of contract manufacturers, as well as ongoing investments in operating and information technology infrastructure, influence the level and prioritization of our capital expenditures. Aggregate capital expenditures for Fiscal 2021, are expected to total between $2.4 billion and $2.6 billion, of which approximately $1.0 billion to $1.1 billion is expected for equipment under DFS operating leases.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24, 2020, our board of directors approved a share repurchase program under which we are authorized to repurchase up to $1.0 billion of shares of Class C Common Stock over a 24-month period expiring on February 28,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V Common Stock Repurchases by Dell Technologies Inc.</w:t>
      </w:r>
    </w:p>
    <w:p>
      <w:pPr>
        <w:spacing w:after="0" w:line="22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Since the date of the EMC merger transaction, our board of directors authorized several programs with a total authorization of $2.1 billion to repurchase shares of our Class V Common Stock. Upon the completion of the Class V transaction, no Class V Common Stock remained outstanding for repurchase.</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2019, we did not repurchase any shares of Class V Common Stock under our stock repurchase programs. During Fiscal 2018, we repurchased 9.7 million shares of Class V Common Stock for an aggregate purchase price of $682 million. The repurchase of these shares was funded by proceeds received by the Class V Group from the sale by our subsidiary of shares of Class A common stock of VMware, Inc. owned by such subsidiary, as discussed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DHI Group Common Stock Repurchases by Dell Technologies Inc.</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Fiscal 2019 and Fiscal 2018, we repurchased an immaterial number of shares of DHI Group Common Stock for $47 million and $6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VMware, Inc. Class A Common Stock Repurchases by VMware, Inc.</w:t>
      </w:r>
    </w:p>
    <w:p>
      <w:pPr>
        <w:spacing w:after="0" w:line="225" w:lineRule="exact"/>
        <w:rPr>
          <w:sz w:val="20"/>
          <w:szCs w:val="20"/>
          <w:color w:val="auto"/>
        </w:rPr>
      </w:pPr>
    </w:p>
    <w:p>
      <w:pPr>
        <w:jc w:val="both"/>
        <w:ind w:right="360"/>
        <w:spacing w:after="0" w:line="275" w:lineRule="auto"/>
        <w:rPr>
          <w:sz w:val="20"/>
          <w:szCs w:val="20"/>
          <w:color w:val="auto"/>
        </w:rPr>
      </w:pPr>
      <w:r>
        <w:rPr>
          <w:rFonts w:ascii="Arial" w:cs="Arial" w:eastAsia="Arial" w:hAnsi="Arial"/>
          <w:sz w:val="17"/>
          <w:szCs w:val="17"/>
          <w:color w:val="auto"/>
        </w:rPr>
        <w:t>On May 29, 2019, VMware, Inc.’s board of directors authorized the repurchase of an additional $1.5 billion of VMware, Inc.’s Class A common stock. Since the date of the EMC merger transaction, VMware, Inc.’s board of directors has authorized total repurchases of $3.7 billion, of which $1.0 billion remained available as of January 31, 2020. During Fiscal 2020, VMware, Inc. repurchased 7.7 million shares of its Class A common stock in the open market for approximately $1.3 billion, of which approximately $0.2 billion impacted Dell Technologies’ accumulated deficit balance as of January 31, 2020 as a result of the periodic depletion of VMware, Inc.’s additional paid-in capital balance.</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Fiscal 2019, VMware, Inc. repurchased approximately 0.3 million shares of its Class A common stock in the open market for an aggregate purchase price of $42 million. During Fiscal 2018, pursuant to stock repurchase agreements between Dell Technologies Inc. and VMware, Inc., VMware, Inc. repurchased 7.5 million shares of its Class A common stock from us for an aggregate purchase price of $725 million. VMware, Inc. received 4.1 million shares of its Class A common stock during the first quarter of Fiscal 2018, 0.7 million shares during the second quarter of Fiscal 2018 and the remaining</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2.7 million shares of its Class A common stock during the third quarter of Fiscal 2018. The proceeds from the sales were used by us to repurchase shares of our Class V Common Stock,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our contractual cash obligations as of January 31, 2020:</w:t>
      </w:r>
    </w:p>
    <w:p>
      <w:pPr>
        <w:spacing w:after="0" w:line="16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Payments Due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34290</wp:posOffset>
            </wp:positionV>
            <wp:extent cx="332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6420" w:val="left"/>
          <w:tab w:leader="none" w:pos="7540" w:val="left"/>
          <w:tab w:leader="none" w:pos="8880" w:val="left"/>
          <w:tab w:leader="none" w:pos="1020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2022-2023</w:t>
      </w:r>
      <w:r>
        <w:rPr>
          <w:sz w:val="20"/>
          <w:szCs w:val="20"/>
          <w:color w:val="auto"/>
        </w:rPr>
        <w:tab/>
      </w:r>
      <w:r>
        <w:rPr>
          <w:rFonts w:ascii="Arial" w:cs="Arial" w:eastAsia="Arial" w:hAnsi="Arial"/>
          <w:sz w:val="18"/>
          <w:szCs w:val="18"/>
          <w:b w:val="1"/>
          <w:bCs w:val="1"/>
          <w:color w:val="auto"/>
        </w:rPr>
        <w:t>2024-2025</w:t>
      </w:r>
      <w:r>
        <w:rPr>
          <w:sz w:val="20"/>
          <w:szCs w:val="20"/>
          <w:color w:val="auto"/>
        </w:rPr>
        <w:tab/>
      </w:r>
      <w:r>
        <w:rPr>
          <w:rFonts w:ascii="Arial" w:cs="Arial" w:eastAsia="Arial" w:hAnsi="Arial"/>
          <w:sz w:val="16"/>
          <w:szCs w:val="16"/>
          <w:b w:val="1"/>
          <w:bCs w:val="1"/>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4200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6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Contractual cash obligations: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16,952</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DFS related debt</w:t>
            </w: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Margin Loan Facility and other</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Debt of public subsidiary</w:t>
            </w: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1,279</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principal payments on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6,447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Contractual cash obligations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73,160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13,860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25,366</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Principal Payments on Long-Term Debt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expected principal cash payments on borrowings are exclusive of discounts and premiums.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long-term notes with varying maturities. As of January 31, 2020, the future principal payments related to our DFS debt were expected to be $4.2 billion in Fiscal 2021, $3.5 billion in Fiscal 2022-2023, and $95 million in Fiscal 2024-2025. For additional information about our debt, see Note 6 of the Notes to the Consolidated Financial Statements included in this report.</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6 of the Notes to the Consolidated Financial Statements included in this report for further discussion of our debt and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obligations are defined as contractual obligations to purchase goods or services that are enforceable and legally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174"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u w:val="single" w:color="auto"/>
          <w:color w:val="auto"/>
        </w:rPr>
        <w:t>Operating Leases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property and equipment, manufacturing facilities, and office space under non-cancelable leases. Certain of these leases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 us to pay taxes, maintenance, and repair costs. See Note 5 of the Notes to the Consolidated Financial Statements included in this report for additional information about our leasing transactions in which we are the lessee.</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i w:val="1"/>
          <w:iCs w:val="1"/>
          <w:u w:val="single" w:color="auto"/>
          <w:color w:val="auto"/>
        </w:rPr>
        <w:t>Tax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Tax obligations represent a one-time mandatory deemed repatriation tax on undistributed earnings of foreign subsidiaries, payable over</w:t>
      </w:r>
      <w:r>
        <w:rPr>
          <w:rFonts w:ascii="Arial" w:cs="Arial" w:eastAsia="Arial" w:hAnsi="Arial"/>
          <w:sz w:val="17"/>
          <w:szCs w:val="17"/>
          <w:i w:val="1"/>
          <w:iCs w:val="1"/>
          <w:color w:val="auto"/>
        </w:rPr>
        <w:t xml:space="preserve"> </w:t>
      </w:r>
      <w:r>
        <w:rPr>
          <w:rFonts w:ascii="Arial" w:cs="Arial" w:eastAsia="Arial" w:hAnsi="Arial"/>
          <w:sz w:val="17"/>
          <w:szCs w:val="17"/>
          <w:color w:val="auto"/>
        </w:rPr>
        <w:t>eight years. Excluded from the table above are $2.5 billion in additional liabilities associated with uncertain tax positions as of January 31, 2020. We are unable to reliably estimate the expected payment dates for any liabilities for uncertain tax positions. See Note 11 of the Notes to the Consolidated Financial Statements included in this report for more information on these tax matters.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125"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prepare our financial statements in conformity with GAAP, which requires certain estimates, assumptions, and judgments to be made that may affect our Consolidated Statements of Financial Position and Consolidated Statements of Income (Loss).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17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sell a wide portfolio of products and services offerings to our customers. Our agreements have varying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depending on the goods and services being sold, the rights and obligations conveyed, and the legal jurisdiction of the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for these arrangements based on the following five steps:</w:t>
      </w:r>
    </w:p>
    <w:p>
      <w:pPr>
        <w:spacing w:after="0" w:line="225" w:lineRule="exact"/>
        <w:rPr>
          <w:sz w:val="20"/>
          <w:szCs w:val="20"/>
          <w:color w:val="auto"/>
        </w:rPr>
      </w:pPr>
    </w:p>
    <w:p>
      <w:pPr>
        <w:ind w:left="660" w:hanging="328"/>
        <w:spacing w:after="0" w:line="290" w:lineRule="auto"/>
        <w:tabs>
          <w:tab w:leader="none" w:pos="66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contract with a customer. </w:t>
      </w:r>
      <w:r>
        <w:rPr>
          <w:rFonts w:ascii="Arial" w:cs="Arial" w:eastAsia="Arial" w:hAnsi="Arial"/>
          <w:sz w:val="16"/>
          <w:szCs w:val="16"/>
          <w:color w:val="auto"/>
        </w:rPr>
        <w:t>The term “contract” refers to the enforceable rights and obligations provided in an agreement between 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customer in exchange for payment. We evaluate facts and circumstances regarding sales transactions in order to identify contracts with our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we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65" w:lineRule="exact"/>
        <w:rPr>
          <w:rFonts w:ascii="Arial" w:cs="Arial" w:eastAsia="Arial" w:hAnsi="Arial"/>
          <w:sz w:val="16"/>
          <w:szCs w:val="16"/>
          <w:i w:val="1"/>
          <w:iCs w:val="1"/>
          <w:color w:val="auto"/>
        </w:rPr>
      </w:pPr>
    </w:p>
    <w:p>
      <w:pPr>
        <w:ind w:left="660" w:hanging="328"/>
        <w:spacing w:after="0" w:line="287" w:lineRule="auto"/>
        <w:tabs>
          <w:tab w:leader="none" w:pos="66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performance obligations in the contract. </w:t>
      </w:r>
      <w:r>
        <w:rPr>
          <w:rFonts w:ascii="Arial" w:cs="Arial" w:eastAsia="Arial" w:hAnsi="Arial"/>
          <w:sz w:val="16"/>
          <w:szCs w:val="16"/>
          <w:color w:val="auto"/>
        </w:rPr>
        <w:t>Our contracts with customers often include the promise to transfer multiple goods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a customer. Distinct promises within a contract are referred to as “performance obligations” and are accounted for as separate units of account. We assess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Our performance obligations include various distinct goods and services such as hardware, software licenses, warranties, and other service offerings and solutions. Promised goods and services are explicitly identified in our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167" w:lineRule="exact"/>
        <w:rPr>
          <w:rFonts w:ascii="Arial" w:cs="Arial" w:eastAsia="Arial" w:hAnsi="Arial"/>
          <w:sz w:val="16"/>
          <w:szCs w:val="16"/>
          <w:i w:val="1"/>
          <w:iCs w:val="1"/>
          <w:color w:val="auto"/>
        </w:rPr>
      </w:pPr>
    </w:p>
    <w:p>
      <w:pPr>
        <w:ind w:left="660" w:right="200" w:hanging="328"/>
        <w:spacing w:after="0" w:line="257"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reflects the amount of consideration to which we expect to be entitled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transferring goods or services to the customer. If the consideration promised in a contract includes a variable amount, we estimate the amount to which we expect to be entitled using either the expected value or most likely amount method. Generally, volume discounts, rebates, and sales returns reduce the transaction price. When we determine the transaction price, we only include amounts that are not subject to significant future reversal.</w:t>
      </w:r>
    </w:p>
    <w:p>
      <w:pPr>
        <w:spacing w:after="0" w:line="187" w:lineRule="exact"/>
        <w:rPr>
          <w:rFonts w:ascii="Arial" w:cs="Arial" w:eastAsia="Arial" w:hAnsi="Arial"/>
          <w:sz w:val="18"/>
          <w:szCs w:val="18"/>
          <w:i w:val="1"/>
          <w:iCs w:val="1"/>
          <w:color w:val="auto"/>
        </w:rPr>
      </w:pPr>
    </w:p>
    <w:p>
      <w:pPr>
        <w:ind w:left="660" w:right="40" w:hanging="328"/>
        <w:spacing w:after="0" w:line="259"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Allocate the transaction price to performance obligations in the contract. </w:t>
      </w:r>
      <w:r>
        <w:rPr>
          <w:rFonts w:ascii="Arial" w:cs="Arial" w:eastAsia="Arial" w:hAnsi="Arial"/>
          <w:sz w:val="18"/>
          <w:szCs w:val="18"/>
          <w:color w:val="auto"/>
        </w:rPr>
        <w:t>When a contract includes multiple performance obligations,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is allocated to each performance obligation in an amount that depicts the consideration to which we expect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The best evidence of SSP is the observable price of a good or service when we sell that good or service separately in similar circumstances to similar customers. If a directly observable price is available, we utilize that price for the SSP. If a directly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188" w:lineRule="exact"/>
        <w:rPr>
          <w:sz w:val="20"/>
          <w:szCs w:val="20"/>
          <w:color w:val="auto"/>
        </w:rPr>
      </w:pPr>
    </w:p>
    <w:p>
      <w:pPr>
        <w:ind w:left="660" w:hanging="328"/>
        <w:spacing w:after="0" w:line="296" w:lineRule="auto"/>
        <w:tabs>
          <w:tab w:leader="none" w:pos="66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Recognize revenue when (or as) the performance obligation is satisfied. </w:t>
      </w:r>
      <w:r>
        <w:rPr>
          <w:rFonts w:ascii="Arial" w:cs="Arial" w:eastAsia="Arial" w:hAnsi="Arial"/>
          <w:sz w:val="16"/>
          <w:szCs w:val="16"/>
          <w:color w:val="auto"/>
        </w:rPr>
        <w:t>Revenue is recognized when obligations under the terms of the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1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report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elected the following practical expedients with the adoption of the new revenue standard:</w:t>
      </w:r>
    </w:p>
    <w:p>
      <w:pPr>
        <w:spacing w:after="0" w:line="225" w:lineRule="exact"/>
        <w:rPr>
          <w:sz w:val="20"/>
          <w:szCs w:val="20"/>
          <w:color w:val="auto"/>
        </w:rPr>
      </w:pPr>
    </w:p>
    <w:p>
      <w:pPr>
        <w:ind w:left="660" w:right="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account for significant financing components if the period between revenue recognition and when the customer pays for the product or service will be one year or less.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 revenue equal to the amount we have a right to invoice when the amount corresponds directly with the value to the customer of our performance to date.</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account for shipping and handling activities as a separate performance obligation, but rather as an activity performed to transfer the promised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nature of revenue recognized and the manner in which we account for sales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340" w:right="200"/>
        <w:spacing w:after="0" w:line="279" w:lineRule="auto"/>
        <w:rPr>
          <w:sz w:val="20"/>
          <w:szCs w:val="20"/>
          <w:color w:val="auto"/>
        </w:rPr>
      </w:pPr>
      <w:r>
        <w:rPr>
          <w:rFonts w:ascii="Arial" w:cs="Arial" w:eastAsia="Arial" w:hAnsi="Arial"/>
          <w:sz w:val="17"/>
          <w:szCs w:val="17"/>
          <w:color w:val="auto"/>
        </w:rPr>
        <w:t>Product revenue consists of hardware and software license sales that are delivered, sold as a subscription, or sold on a consumption basis. Hardware includes notebooks and desktop PCs, servers, storage hardware, and other hardware-related devices. Software license sales include non-essential software applications. Software applications provide customers with resource management, backup and archiving, information security, information management and intelligence, data analytics, and server virtualization capabilities.</w:t>
      </w:r>
    </w:p>
    <w:p>
      <w:pPr>
        <w:spacing w:after="0" w:line="171"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Revenue from the sale of hardware products is recognized when control has transferred to the customer, which typically occurs when the hardware has been shipped to the customer, risk of loss has transferred to the customer, we have a present right to payment, and customer acceptance has been satisfied. Customer acceptance is satisfied if acceptance is obtained from the customer, if all acceptance provisions lapse, or if we have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our promise to the customer is considered a stand-ready obligation in which the transfer of control, and revenue recognition, will be over time. Invoices for products are generally issued as control transfers, which is typically upon shipment or delivery. There was no significant revenue in any period presented related to performance obligations satisfied or partially satisfied in prior periods.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25" w:right="379" w:bottom="1440" w:gutter="0" w:footer="0" w:header="0"/>
        </w:sectPr>
      </w:pPr>
    </w:p>
    <w:bookmarkStart w:id="78" w:name="page79"/>
    <w:bookmarkEnd w:id="78"/>
    <w:p>
      <w:pPr>
        <w:jc w:val="center"/>
        <w:ind w:right="99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Services revenue consists of revenue from sales of support services, including hardware support that extends beyond our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we are required to provide services at any given time. Other services revenue is recognized when we perform the services and the customer receives and consumes the benefits. Invoices for services may be issued at the start of a service term, which is typically the case for support and deployment services, or as services are rendered, which is typically the case for professional services, training, SaaS, and IaaS.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340" w:right="240"/>
        <w:spacing w:after="0" w:line="272" w:lineRule="auto"/>
        <w:rPr>
          <w:sz w:val="20"/>
          <w:szCs w:val="20"/>
          <w:color w:val="auto"/>
        </w:rPr>
      </w:pPr>
      <w:r>
        <w:rPr>
          <w:rFonts w:ascii="Arial" w:cs="Arial" w:eastAsia="Arial" w:hAnsi="Arial"/>
          <w:sz w:val="17"/>
          <w:szCs w:val="17"/>
          <w:color w:val="auto"/>
        </w:rPr>
        <w:t>Revenue from leasing arrangements is not subject to the revenue standard for contracts with customers and remains separately accounted for under existing lease accounting guidance. The Company records operating lease rental revenue as product revenue on a straight-line basis over the lease term. We record revenue from the sale of equipment under sales-type leases as product revenue in an amount equal to the present value of minimum lease payments at the inception of the lease. Sales-type leases also produce financing income, which is included in net products revenue in the Consolidated Statements of Income (Loss) and is recognized at effective rates of return over the lease term. We also offer qualified customers fixed-term loans and revolving credit lines for the purchase of our products and services. Financing income attributable to these loans is recognized in product net revenue on an accrual basis.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Disaggregation of Revenue </w:t>
      </w:r>
      <w:r>
        <w:rPr>
          <w:rFonts w:ascii="Arial" w:cs="Arial" w:eastAsia="Arial" w:hAnsi="Arial"/>
          <w:sz w:val="18"/>
          <w:szCs w:val="18"/>
          <w:color w:val="auto"/>
        </w:rPr>
        <w:t>— Our revenue is presented on a disaggregated basis on the Consolidated Statements of Income (Loss) and in Note 19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our financial performance or make resource allocations. This information includes revenue from products and services, revenue from reportable segments, and revenue by major product categories within the segments.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we have transferred to a customer when such a right is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conditional on something other than the passage of time. Such amounts have been insignificant to date.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Contract liabilities primarily consist of deferred revenue. Deferred revenue is recorded when we have a right to invoice or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received for undelivered products or services, or in situations where revenue recognition criteria have not been met. Deferred revenue also represents amounts received in advance for extended warranty services and software maintenance.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when our performance obligations under the contract are completed. See Note 9 of the Notes to the Consolidated Financial Statements included in this report for additional information about deferred revenue.</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Costs to Obtain a Contract </w:t>
      </w:r>
      <w:r>
        <w:rPr>
          <w:rFonts w:ascii="Arial" w:cs="Arial" w:eastAsia="Arial" w:hAnsi="Arial"/>
          <w:sz w:val="17"/>
          <w:szCs w:val="17"/>
          <w:color w:val="auto"/>
        </w:rPr>
        <w:t>— The incremental direct costs of obtaining a contract primarily consist of sales commissions and employer taxes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payments. We elected, as a practical expedient, to expense as incurred costs to obtain a contract equal to or less than one year in duration. For contracts greater than one year in duration, the associated costs to obtain a contract are deferred and amortized over the period of contract performance or a longer period, generally the estimated life of the customer relationship, if renewals are expected and the renewal commission is not commensurate with the initial commission. Deferred costs to obtain a contract are typically amortized over a period of three to seven years, depending on the contract term and expectation of the period of benefit for the costs, which may exceed the contract term. Amortization expense is recognized on a straight-line basis and included in selling, general, and administrative expenses in the Consolidated Statements of Income (Loss). We periodically review these deferred costs to determine whether events or changes in circumstances have occurred that could impact the carrying value or period of benefit of the deferred sales commissions.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 Deferred revenue is recorded when we have a right to invoice or payments have been received for undelivered products or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where transfer of control has not occurred. Deferred revenue represents amounts received in advance for support and deployment services, software maintenance, professional services, training, SaaS, and IaaS.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as our performance obligations under the contract are completed.</w:t>
      </w:r>
    </w:p>
    <w:p>
      <w:pPr>
        <w:spacing w:after="0" w:line="16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Business Combinations and Intangible Assets, Including Goodwill </w:t>
      </w:r>
      <w:r>
        <w:rPr>
          <w:rFonts w:ascii="Arial" w:cs="Arial" w:eastAsia="Arial" w:hAnsi="Arial"/>
          <w:sz w:val="16"/>
          <w:szCs w:val="16"/>
          <w:color w:val="auto"/>
        </w:rPr>
        <w:t>— We account for business combinations using the acquisition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The cumulative impact of any subsequent changes to any purchase price allocations that are material to our consolidated financial results will be adjusted in the reporting period in which the adjustment amount is determined. All acquisition costs are expensed as incurred. Identifiable intangible assets with finite lives are amortized over their estimated useful lives.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Goodwill and indefinite-lived intangible assets are tested for impairment annually during the third fiscal quarter and whenever events or circumstances may indicate that an impairment has occurred. To determine whether goodwill is impaired, we first assess certain qualitative factors. Based on this assessment, if it is determined more likely than not that the fair value of a goodwill reporting unit is less than its carrying amount, we perform the quantitative analysis of the goodwill impairment test. The fair value of each of our goodwill reporting units is generally estimated using a combination of public company multiples and discounted cash flow methodologies, and then compared to the carrying value of each goodwill reporting unit.</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We are subject to income tax in the United States and numerous foreign jurisdictions. Significant judgments are required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16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Loss Contingencies </w:t>
      </w:r>
      <w:r>
        <w:rPr>
          <w:rFonts w:ascii="Arial" w:cs="Arial" w:eastAsia="Arial" w:hAnsi="Arial"/>
          <w:sz w:val="16"/>
          <w:szCs w:val="16"/>
          <w:color w:val="auto"/>
        </w:rPr>
        <w:t>— We are subject to the possibility of various losses arising in the ordinary course of business. We consider the likelihood of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Third parties have in the past asserted, and may in the future assert, claims or initiate litigation related to exclusive patent, copyright, and other intellectual property rights to technologies and related standards that are relevant to us.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state our inventory at the lower of cost or market. We record a write-down for inventories of components and products, 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During Fiscal 2020 and Fiscal 2019, the principal foreign currencies in which Dell Technologies transacted business were the Euro, Chinese Renminbi, Japanese Yen, British Pound,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on the outstanding foreign currency hedge instruments of Dell Technologies, which include designated and non-designated instruments, there was a maximum potential one-day loss in fair value at a 95% confidence level of approximately $24 million as of January 31, 2020 and $29 million as of February 1, 2019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primarily exposed to interest rate risk related to its variable-rate debt portfolio.</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i w:val="1"/>
          <w:iCs w:val="1"/>
          <w:color w:val="auto"/>
        </w:rPr>
        <w:t xml:space="preserve">Variable-Rate Debt </w:t>
      </w:r>
      <w:r>
        <w:rPr>
          <w:rFonts w:ascii="Arial" w:cs="Arial" w:eastAsia="Arial" w:hAnsi="Arial"/>
          <w:sz w:val="17"/>
          <w:szCs w:val="17"/>
          <w:color w:val="auto"/>
        </w:rPr>
        <w:t>— As of January 31, 2020, Dell Technologies’ variable-rate debt consisted of $8.9 billion of outstanding borrowings under its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Credit Facilities, $4.0 billion of outstanding borrowings under its Margin Loan Facility, $1.5 billion of outstanding DFS borrowings, and $1.5 billion outstanding under the VMware Term Loan Facility. Amounts outstanding under these facilities generally bear interest at variable rates equal to applicable margins plus specified base rates or LIBOR-based rates. Accordingly, Dell Technologies is exposed to market risk based on fluctuations in interest rates on borrowings under the facilities where we do not mitigate the interest rate risk through the use of interest rate swaps. As of January 31, 2020, outstanding borrowings under the Senior Secured Credit and Margin Loan facilities accrued interest at an annual rate between 3.41% and 4.17%, whereas DFS borrowings accrued interest at an annual rate between 0.74% and 6.67%.</w:t>
      </w:r>
    </w:p>
    <w:p>
      <w:pPr>
        <w:spacing w:after="0" w:line="17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Based on the variable-rate debt outstanding as of January 31, 2020, a 100 basis point increase in interest rates would have resulted in an increase of approximately $160 million in annual interest expense. For more information about our debt, see Note 6 of the Notes to the Consolidated Financial Statements included in this report.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By comparison, as of February 1, 2019, Dell Technologies had $12.7 billion of outstanding borrowings under its Senior Secured Credit Facilities, $3.4 billion of outstanding borrowings under its Margin Loan Facility, and $1.9 billion of outstanding DFS borrowings. Based on this variable-rate debt outstanding as of February 1, 2019, a 100 basis point increase in interest rates would have resulted in an increase of approximately $179 million in annual interest expense.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Strategic Investments </w:t>
      </w:r>
      <w:r>
        <w:rPr>
          <w:rFonts w:ascii="Arial" w:cs="Arial" w:eastAsia="Arial" w:hAnsi="Arial"/>
          <w:sz w:val="16"/>
          <w:szCs w:val="16"/>
          <w:color w:val="auto"/>
        </w:rPr>
        <w:t>— Our strategic investments include privately held companies which are considered to be in the start-up or development stages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inherently risky. The technologies or products these companies have under development are typically in the early stages and may never materialize, which could result in a loss of a substantial part of our initial investment in the companies. We account for these investments at cost minus impairment, if any, plus or minus changes resulting from observable price changes in orderly transactions for the identical or a similar security of the same issuer. The evaluation is based on information provided by these companies, which are not subject to the same disclosure obligations as U.S. publicly traded companies, and as such, the basis for these evaluations is subject to the timing and accuracy of the data provided. The carrying value of our strategic investments without readily determinable fair values was $852 million and $671 million as of January 31, 2020 and February 1, 2019, respectively.</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125" w:right="5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052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0520" w:type="dxa"/>
            <w:vAlign w:val="bottom"/>
            <w:gridSpan w:val="28"/>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AND SUPPLEMENTARY DATA</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3"/>
              </w:rPr>
              <w:t>Index</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5"/>
          </w:tcPr>
          <w:p>
            <w:pPr>
              <w:ind w:left="200"/>
              <w:spacing w:after="0"/>
              <w:rPr>
                <w:sz w:val="20"/>
                <w:szCs w:val="20"/>
                <w:color w:val="auto"/>
              </w:rPr>
            </w:pPr>
            <w:r>
              <w:rPr>
                <w:rFonts w:ascii="Arial" w:cs="Arial" w:eastAsia="Arial" w:hAnsi="Arial"/>
                <w:sz w:val="18"/>
                <w:szCs w:val="18"/>
                <w:b w:val="1"/>
                <w:bCs w:val="1"/>
                <w:color w:val="auto"/>
                <w:w w:val="83"/>
              </w:rPr>
              <w:t>Page</w:t>
            </w:r>
          </w:p>
        </w:tc>
      </w:tr>
      <w:tr>
        <w:trPr>
          <w:trHeight w:val="229"/>
        </w:trPr>
        <w:tc>
          <w:tcPr>
            <w:tcW w:w="40" w:type="dxa"/>
            <w:vAlign w:val="bottom"/>
          </w:tcPr>
          <w:p>
            <w:pPr>
              <w:spacing w:after="0"/>
              <w:rPr>
                <w:sz w:val="19"/>
                <w:szCs w:val="19"/>
                <w:color w:val="auto"/>
              </w:rPr>
            </w:pPr>
          </w:p>
        </w:tc>
        <w:tc>
          <w:tcPr>
            <w:tcW w:w="4220" w:type="dxa"/>
            <w:vAlign w:val="bottom"/>
            <w:gridSpan w:val="16"/>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Report of Independent Registered Public Accounting Firm</w:t>
              </w:r>
            </w:hyperlink>
          </w:p>
        </w:tc>
        <w:tc>
          <w:tcPr>
            <w:tcW w:w="6260" w:type="dxa"/>
            <w:vAlign w:val="bottom"/>
            <w:gridSpan w:val="11"/>
          </w:tcPr>
          <w:p>
            <w:pPr>
              <w:spacing w:after="0"/>
              <w:rPr>
                <w:sz w:val="19"/>
                <w:szCs w:val="19"/>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580" w:type="dxa"/>
            <w:vAlign w:val="bottom"/>
            <w:gridSpan w:val="23"/>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Financial Position as of January 31, 2020 and February 1, 2019</w:t>
              </w:r>
            </w:hyperlink>
          </w:p>
        </w:tc>
        <w:tc>
          <w:tcPr>
            <w:tcW w:w="3900" w:type="dxa"/>
            <w:vAlign w:val="bottom"/>
            <w:gridSpan w:val="4"/>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89</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2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Income (Loss) for the fiscal years ended January 31 2020, February 1, 2019, and February 2, 2018</w:t>
              </w:r>
            </w:hyperlink>
          </w:p>
        </w:tc>
        <w:tc>
          <w:tcPr>
            <w:tcW w:w="520" w:type="dxa"/>
            <w:vAlign w:val="bottom"/>
            <w:gridSpan w:val="4"/>
          </w:tcPr>
          <w:p>
            <w:pPr>
              <w:jc w:val="center"/>
              <w:ind w:left="17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90</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Comprehensive Income (Loss) for the fiscal years ended January 31 2020, February 1, 2019, and February 2, 2018</w:t>
              </w:r>
            </w:hyperlink>
          </w:p>
        </w:tc>
        <w:tc>
          <w:tcPr>
            <w:tcW w:w="240" w:type="dxa"/>
            <w:vAlign w:val="bottom"/>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Cash Flows for the fiscal years ended January 31 2020, February 1, 2019, and February 2, 2018</w:t>
              </w:r>
            </w:hyperlink>
          </w:p>
        </w:tc>
        <w:tc>
          <w:tcPr>
            <w:tcW w:w="240" w:type="dxa"/>
            <w:vAlign w:val="bottom"/>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92</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2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Consolidated Statements of Stockholders’ Equity (Deficit) for the fiscal years ended January 31 2020, February 1, 2019, and February 2, 2018</w:t>
              </w:r>
            </w:hyperlink>
          </w:p>
        </w:tc>
        <w:tc>
          <w:tcPr>
            <w:tcW w:w="520" w:type="dxa"/>
            <w:vAlign w:val="bottom"/>
            <w:gridSpan w:val="4"/>
          </w:tcPr>
          <w:p>
            <w:pPr>
              <w:jc w:val="center"/>
              <w:ind w:left="170"/>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the Consolidated Financial Statements</w:t>
              </w:r>
            </w:hyperlink>
          </w:p>
        </w:tc>
        <w:tc>
          <w:tcPr>
            <w:tcW w:w="240" w:type="dxa"/>
            <w:vAlign w:val="bottom"/>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6"/>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Note 1 — Basis of Presentation</w:t>
              </w:r>
            </w:hyperlink>
          </w:p>
        </w:tc>
        <w:tc>
          <w:tcPr>
            <w:tcW w:w="900" w:type="dxa"/>
            <w:vAlign w:val="bottom"/>
            <w:gridSpan w:val="6"/>
          </w:tcPr>
          <w:p>
            <w:pPr>
              <w:spacing w:after="0"/>
              <w:rPr>
                <w:sz w:val="21"/>
                <w:szCs w:val="21"/>
                <w:color w:val="auto"/>
              </w:rPr>
            </w:pPr>
          </w:p>
        </w:tc>
        <w:tc>
          <w:tcPr>
            <w:tcW w:w="7080" w:type="dxa"/>
            <w:vAlign w:val="bottom"/>
            <w:gridSpan w:val="14"/>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 2 — Description of Business and Summary of Significant Accounting Policies</w:t>
              </w:r>
            </w:hyperlink>
          </w:p>
        </w:tc>
        <w:tc>
          <w:tcPr>
            <w:tcW w:w="520" w:type="dxa"/>
            <w:vAlign w:val="bottom"/>
            <w:gridSpan w:val="4"/>
          </w:tcPr>
          <w:p>
            <w:pPr>
              <w:jc w:val="center"/>
              <w:ind w:left="17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20" w:type="dxa"/>
            <w:vAlign w:val="bottom"/>
            <w:gridSpan w:val="14"/>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Note 3 — Fair Value Measurements and Investments</w:t>
              </w:r>
            </w:hyperlink>
          </w:p>
        </w:tc>
        <w:tc>
          <w:tcPr>
            <w:tcW w:w="2220" w:type="dxa"/>
            <w:vAlign w:val="bottom"/>
            <w:gridSpan w:val="7"/>
          </w:tcPr>
          <w:p>
            <w:pPr>
              <w:spacing w:after="0"/>
              <w:rPr>
                <w:sz w:val="21"/>
                <w:szCs w:val="21"/>
                <w:color w:val="auto"/>
              </w:rPr>
            </w:pPr>
          </w:p>
        </w:tc>
        <w:tc>
          <w:tcPr>
            <w:tcW w:w="4200" w:type="dxa"/>
            <w:vAlign w:val="bottom"/>
            <w:gridSpan w:val="5"/>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Note 4 — Financial Services</w:t>
              </w:r>
            </w:hyperlink>
          </w:p>
        </w:tc>
        <w:tc>
          <w:tcPr>
            <w:tcW w:w="1760" w:type="dxa"/>
            <w:vAlign w:val="bottom"/>
            <w:gridSpan w:val="9"/>
          </w:tcPr>
          <w:p>
            <w:pPr>
              <w:spacing w:after="0"/>
              <w:rPr>
                <w:sz w:val="21"/>
                <w:szCs w:val="21"/>
                <w:color w:val="auto"/>
              </w:rPr>
            </w:pPr>
          </w:p>
        </w:tc>
        <w:tc>
          <w:tcPr>
            <w:tcW w:w="6420" w:type="dxa"/>
            <w:vAlign w:val="bottom"/>
            <w:gridSpan w:val="12"/>
          </w:tcPr>
          <w:p>
            <w:pPr>
              <w:spacing w:after="0"/>
              <w:rPr>
                <w:sz w:val="21"/>
                <w:szCs w:val="21"/>
                <w:color w:val="auto"/>
              </w:rPr>
            </w:pPr>
          </w:p>
        </w:tc>
        <w:tc>
          <w:tcPr>
            <w:tcW w:w="520" w:type="dxa"/>
            <w:vAlign w:val="bottom"/>
            <w:gridSpan w:val="4"/>
          </w:tcPr>
          <w:p>
            <w:pPr>
              <w:jc w:val="center"/>
              <w:ind w:left="17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113</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Note 5 — Leases</w:t>
              </w:r>
            </w:hyperlink>
          </w:p>
        </w:tc>
        <w:tc>
          <w:tcPr>
            <w:tcW w:w="8180" w:type="dxa"/>
            <w:vAlign w:val="bottom"/>
            <w:gridSpan w:val="21"/>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121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Note 6 — Debt</w:t>
              </w:r>
            </w:hyperlink>
          </w:p>
        </w:tc>
        <w:tc>
          <w:tcPr>
            <w:tcW w:w="9000" w:type="dxa"/>
            <w:vAlign w:val="bottom"/>
            <w:gridSpan w:val="23"/>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Note 7 — Derivative Instruments and Hedging Activities</w:t>
              </w:r>
            </w:hyperlink>
          </w:p>
        </w:tc>
        <w:tc>
          <w:tcPr>
            <w:tcW w:w="580" w:type="dxa"/>
            <w:vAlign w:val="bottom"/>
            <w:gridSpan w:val="5"/>
          </w:tcPr>
          <w:p>
            <w:pPr>
              <w:jc w:val="center"/>
              <w:ind w:left="110"/>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gridSpan w:val="20"/>
          </w:tcPr>
          <w:p>
            <w:pPr>
              <w:spacing w:after="0"/>
              <w:rPr>
                <w:rFonts w:ascii="Arial" w:cs="Arial" w:eastAsia="Arial" w:hAnsi="Arial"/>
                <w:sz w:val="18"/>
                <w:szCs w:val="18"/>
                <w:color w:val="0000EE"/>
                <w:w w:val="91"/>
              </w:rPr>
            </w:pPr>
            <w:hyperlink w:anchor="page133">
              <w:r>
                <w:rPr>
                  <w:rFonts w:ascii="Arial" w:cs="Arial" w:eastAsia="Arial" w:hAnsi="Arial"/>
                  <w:sz w:val="18"/>
                  <w:szCs w:val="18"/>
                  <w:color w:val="0000EE"/>
                  <w:w w:val="91"/>
                </w:rPr>
                <w:t>Note 8 — Business Combinations, Goodwill and Intangible Assets</w:t>
              </w:r>
            </w:hyperlink>
          </w:p>
        </w:tc>
        <w:tc>
          <w:tcPr>
            <w:tcW w:w="5420" w:type="dxa"/>
            <w:vAlign w:val="bottom"/>
            <w:gridSpan w:val="6"/>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133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gridSpan w:val="2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Note 9 — Deferred Revenue</w:t>
              </w:r>
            </w:hyperlink>
          </w:p>
        </w:tc>
        <w:tc>
          <w:tcPr>
            <w:tcW w:w="5420" w:type="dxa"/>
            <w:vAlign w:val="bottom"/>
            <w:gridSpan w:val="6"/>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Note 10 — Commitments and Contingencies</w:t>
              </w:r>
            </w:hyperlink>
          </w:p>
        </w:tc>
        <w:tc>
          <w:tcPr>
            <w:tcW w:w="580" w:type="dxa"/>
            <w:vAlign w:val="bottom"/>
            <w:gridSpan w:val="5"/>
          </w:tcPr>
          <w:p>
            <w:pPr>
              <w:jc w:val="center"/>
              <w:ind w:left="11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140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8"/>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Note 11 — Income and Other Taxes</w:t>
              </w:r>
            </w:hyperlink>
          </w:p>
        </w:tc>
        <w:tc>
          <w:tcPr>
            <w:tcW w:w="640" w:type="dxa"/>
            <w:vAlign w:val="bottom"/>
            <w:gridSpan w:val="5"/>
          </w:tcPr>
          <w:p>
            <w:pPr>
              <w:spacing w:after="0"/>
              <w:rPr>
                <w:sz w:val="21"/>
                <w:szCs w:val="21"/>
                <w:color w:val="auto"/>
              </w:rPr>
            </w:pPr>
          </w:p>
        </w:tc>
        <w:tc>
          <w:tcPr>
            <w:tcW w:w="7000" w:type="dxa"/>
            <w:vAlign w:val="bottom"/>
            <w:gridSpan w:val="13"/>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20" w:type="dxa"/>
            <w:vAlign w:val="bottom"/>
            <w:gridSpan w:val="18"/>
          </w:tcPr>
          <w:p>
            <w:pPr>
              <w:spacing w:after="0"/>
              <w:rPr>
                <w:rFonts w:ascii="Arial" w:cs="Arial" w:eastAsia="Arial" w:hAnsi="Arial"/>
                <w:sz w:val="18"/>
                <w:szCs w:val="18"/>
                <w:color w:val="0000EE"/>
                <w:w w:val="90"/>
              </w:rPr>
            </w:pPr>
            <w:hyperlink w:anchor="page148">
              <w:r>
                <w:rPr>
                  <w:rFonts w:ascii="Arial" w:cs="Arial" w:eastAsia="Arial" w:hAnsi="Arial"/>
                  <w:sz w:val="18"/>
                  <w:szCs w:val="18"/>
                  <w:color w:val="0000EE"/>
                  <w:w w:val="90"/>
                </w:rPr>
                <w:t>Note 12 — Accumulated Other Comprehensive Income (Loss)</w:t>
              </w:r>
            </w:hyperlink>
          </w:p>
        </w:tc>
        <w:tc>
          <w:tcPr>
            <w:tcW w:w="5720" w:type="dxa"/>
            <w:vAlign w:val="bottom"/>
            <w:gridSpan w:val="8"/>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148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9"/>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Note 13 — Non-Controlling Interests</w:t>
              </w:r>
            </w:hyperlink>
          </w:p>
        </w:tc>
        <w:tc>
          <w:tcPr>
            <w:tcW w:w="1860" w:type="dxa"/>
            <w:vAlign w:val="bottom"/>
            <w:gridSpan w:val="9"/>
          </w:tcPr>
          <w:p>
            <w:pPr>
              <w:spacing w:after="0"/>
              <w:rPr>
                <w:sz w:val="21"/>
                <w:szCs w:val="21"/>
                <w:color w:val="auto"/>
              </w:rPr>
            </w:pPr>
          </w:p>
        </w:tc>
        <w:tc>
          <w:tcPr>
            <w:tcW w:w="5720" w:type="dxa"/>
            <w:vAlign w:val="bottom"/>
            <w:gridSpan w:val="8"/>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150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4"/>
          </w:tcPr>
          <w:p>
            <w:pPr>
              <w:spacing w:after="0"/>
              <w:rPr>
                <w:rFonts w:ascii="Arial" w:cs="Arial" w:eastAsia="Arial" w:hAnsi="Arial"/>
                <w:sz w:val="18"/>
                <w:szCs w:val="18"/>
                <w:color w:val="0000EE"/>
                <w:w w:val="92"/>
              </w:rPr>
            </w:pPr>
            <w:hyperlink w:anchor="page151">
              <w:r>
                <w:rPr>
                  <w:rFonts w:ascii="Arial" w:cs="Arial" w:eastAsia="Arial" w:hAnsi="Arial"/>
                  <w:sz w:val="18"/>
                  <w:szCs w:val="18"/>
                  <w:color w:val="0000EE"/>
                  <w:w w:val="92"/>
                </w:rPr>
                <w:t>Note 14 — Capitalization</w:t>
              </w:r>
            </w:hyperlink>
          </w:p>
        </w:tc>
        <w:tc>
          <w:tcPr>
            <w:tcW w:w="800" w:type="dxa"/>
            <w:vAlign w:val="bottom"/>
            <w:gridSpan w:val="5"/>
          </w:tcPr>
          <w:p>
            <w:pPr>
              <w:spacing w:after="0"/>
              <w:rPr>
                <w:sz w:val="21"/>
                <w:szCs w:val="21"/>
                <w:color w:val="auto"/>
              </w:rPr>
            </w:pPr>
          </w:p>
        </w:tc>
        <w:tc>
          <w:tcPr>
            <w:tcW w:w="7580" w:type="dxa"/>
            <w:vAlign w:val="bottom"/>
            <w:gridSpan w:val="17"/>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151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Note 15 — Earnings (Loss) Per Share</w:t>
              </w:r>
            </w:hyperlink>
          </w:p>
        </w:tc>
        <w:tc>
          <w:tcPr>
            <w:tcW w:w="580" w:type="dxa"/>
            <w:vAlign w:val="bottom"/>
            <w:gridSpan w:val="5"/>
          </w:tcPr>
          <w:p>
            <w:pPr>
              <w:jc w:val="center"/>
              <w:ind w:left="11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156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0"/>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Note 16 — Stock-Based Compensation</w:t>
              </w:r>
            </w:hyperlink>
          </w:p>
        </w:tc>
        <w:tc>
          <w:tcPr>
            <w:tcW w:w="7460" w:type="dxa"/>
            <w:vAlign w:val="bottom"/>
            <w:gridSpan w:val="16"/>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161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6"/>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Note 17 — Redeemable Shares</w:t>
              </w:r>
            </w:hyperlink>
          </w:p>
        </w:tc>
        <w:tc>
          <w:tcPr>
            <w:tcW w:w="520" w:type="dxa"/>
            <w:vAlign w:val="bottom"/>
            <w:gridSpan w:val="4"/>
          </w:tcPr>
          <w:p>
            <w:pPr>
              <w:spacing w:after="0"/>
              <w:rPr>
                <w:sz w:val="21"/>
                <w:szCs w:val="21"/>
                <w:color w:val="auto"/>
              </w:rPr>
            </w:pPr>
          </w:p>
        </w:tc>
        <w:tc>
          <w:tcPr>
            <w:tcW w:w="7460" w:type="dxa"/>
            <w:vAlign w:val="bottom"/>
            <w:gridSpan w:val="16"/>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170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9"/>
          </w:tcPr>
          <w:p>
            <w:pPr>
              <w:spacing w:after="0"/>
              <w:rPr>
                <w:rFonts w:ascii="Arial" w:cs="Arial" w:eastAsia="Arial" w:hAnsi="Arial"/>
                <w:sz w:val="18"/>
                <w:szCs w:val="18"/>
                <w:color w:val="0000EE"/>
                <w:w w:val="90"/>
              </w:rPr>
            </w:pPr>
            <w:hyperlink w:anchor="page171">
              <w:r>
                <w:rPr>
                  <w:rFonts w:ascii="Arial" w:cs="Arial" w:eastAsia="Arial" w:hAnsi="Arial"/>
                  <w:sz w:val="18"/>
                  <w:szCs w:val="18"/>
                  <w:color w:val="0000EE"/>
                  <w:w w:val="90"/>
                </w:rPr>
                <w:t>Note 18 — Retirement Plan Benefits</w:t>
              </w:r>
            </w:hyperlink>
          </w:p>
        </w:tc>
        <w:tc>
          <w:tcPr>
            <w:tcW w:w="7580" w:type="dxa"/>
            <w:vAlign w:val="bottom"/>
            <w:gridSpan w:val="17"/>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171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7"/>
          </w:tcPr>
          <w:p>
            <w:pPr>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Note 19 — Segment Information</w:t>
              </w:r>
            </w:hyperlink>
          </w:p>
        </w:tc>
        <w:tc>
          <w:tcPr>
            <w:tcW w:w="280" w:type="dxa"/>
            <w:vAlign w:val="bottom"/>
            <w:gridSpan w:val="2"/>
          </w:tcPr>
          <w:p>
            <w:pPr>
              <w:spacing w:after="0"/>
              <w:rPr>
                <w:sz w:val="21"/>
                <w:szCs w:val="21"/>
                <w:color w:val="auto"/>
              </w:rPr>
            </w:pPr>
          </w:p>
        </w:tc>
        <w:tc>
          <w:tcPr>
            <w:tcW w:w="7580" w:type="dxa"/>
            <w:vAlign w:val="bottom"/>
            <w:gridSpan w:val="17"/>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173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Note 20 — Supplemental Consolidated Financial Information</w:t>
              </w:r>
            </w:hyperlink>
          </w:p>
        </w:tc>
        <w:tc>
          <w:tcPr>
            <w:tcW w:w="580" w:type="dxa"/>
            <w:vAlign w:val="bottom"/>
            <w:gridSpan w:val="5"/>
          </w:tcPr>
          <w:p>
            <w:pPr>
              <w:jc w:val="center"/>
              <w:ind w:left="110"/>
              <w:spacing w:after="0"/>
              <w:rPr>
                <w:rFonts w:ascii="Arial" w:cs="Arial" w:eastAsia="Arial" w:hAnsi="Arial"/>
                <w:sz w:val="18"/>
                <w:szCs w:val="18"/>
                <w:color w:val="0000EE"/>
                <w:w w:val="86"/>
              </w:rPr>
            </w:pPr>
            <w:hyperlink w:anchor="page176">
              <w:r>
                <w:rPr>
                  <w:rFonts w:ascii="Arial" w:cs="Arial" w:eastAsia="Arial" w:hAnsi="Arial"/>
                  <w:sz w:val="18"/>
                  <w:szCs w:val="18"/>
                  <w:color w:val="0000EE"/>
                  <w:w w:val="86"/>
                </w:rPr>
                <w:t>176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Note 21 — Condensed Financial Information of Parent Company</w:t>
              </w:r>
            </w:hyperlink>
          </w:p>
        </w:tc>
        <w:tc>
          <w:tcPr>
            <w:tcW w:w="580" w:type="dxa"/>
            <w:vAlign w:val="bottom"/>
            <w:gridSpan w:val="5"/>
          </w:tcPr>
          <w:p>
            <w:pPr>
              <w:jc w:val="center"/>
              <w:ind w:left="110"/>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180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00" w:type="dxa"/>
            <w:vAlign w:val="bottom"/>
            <w:gridSpan w:val="19"/>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 22 — Unaudited Quarterly Results</w:t>
              </w:r>
            </w:hyperlink>
          </w:p>
        </w:tc>
        <w:tc>
          <w:tcPr>
            <w:tcW w:w="5540" w:type="dxa"/>
            <w:vAlign w:val="bottom"/>
            <w:gridSpan w:val="7"/>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182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0"/>
          </w:tcPr>
          <w:p>
            <w:pPr>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Note 23 — Related Party Transactions</w:t>
              </w:r>
            </w:hyperlink>
          </w:p>
        </w:tc>
        <w:tc>
          <w:tcPr>
            <w:tcW w:w="120" w:type="dxa"/>
            <w:vAlign w:val="bottom"/>
          </w:tcPr>
          <w:p>
            <w:pPr>
              <w:spacing w:after="0"/>
              <w:rPr>
                <w:sz w:val="21"/>
                <w:szCs w:val="21"/>
                <w:color w:val="auto"/>
              </w:rPr>
            </w:pPr>
          </w:p>
        </w:tc>
        <w:tc>
          <w:tcPr>
            <w:tcW w:w="7340" w:type="dxa"/>
            <w:vAlign w:val="bottom"/>
            <w:gridSpan w:val="15"/>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183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6"/>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7460" w:type="dxa"/>
            <w:vAlign w:val="bottom"/>
            <w:gridSpan w:val="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0"/>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Note 24 — Subsequent Events</w:t>
              </w:r>
            </w:hyperlink>
          </w:p>
        </w:tc>
        <w:tc>
          <w:tcPr>
            <w:tcW w:w="7460" w:type="dxa"/>
            <w:vAlign w:val="bottom"/>
            <w:gridSpan w:val="16"/>
          </w:tcPr>
          <w:p>
            <w:pPr>
              <w:spacing w:after="0"/>
              <w:rPr>
                <w:sz w:val="21"/>
                <w:szCs w:val="21"/>
                <w:color w:val="auto"/>
              </w:rPr>
            </w:pPr>
          </w:p>
        </w:tc>
        <w:tc>
          <w:tcPr>
            <w:tcW w:w="580" w:type="dxa"/>
            <w:vAlign w:val="bottom"/>
            <w:gridSpan w:val="5"/>
          </w:tcPr>
          <w:p>
            <w:pPr>
              <w:jc w:val="center"/>
              <w:ind w:left="11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183</w:t>
              </w:r>
            </w:hyperlink>
          </w:p>
        </w:tc>
      </w:tr>
      <w:tr>
        <w:trPr>
          <w:trHeight w:val="912"/>
        </w:trPr>
        <w:tc>
          <w:tcPr>
            <w:tcW w:w="280" w:type="dxa"/>
            <w:vAlign w:val="bottom"/>
            <w:gridSpan w:val="2"/>
          </w:tcPr>
          <w:p>
            <w:pPr>
              <w:spacing w:after="0"/>
              <w:rPr>
                <w:sz w:val="24"/>
                <w:szCs w:val="24"/>
                <w:color w:val="auto"/>
              </w:rPr>
            </w:pPr>
          </w:p>
        </w:tc>
        <w:tc>
          <w:tcPr>
            <w:tcW w:w="2260" w:type="dxa"/>
            <w:vAlign w:val="bottom"/>
            <w:tcBorders>
              <w:top w:val="single" w:sz="8" w:color="0000EE"/>
            </w:tcBorders>
            <w:gridSpan w:val="6"/>
          </w:tcPr>
          <w:p>
            <w:pPr>
              <w:spacing w:after="0"/>
              <w:rPr>
                <w:sz w:val="24"/>
                <w:szCs w:val="24"/>
                <w:color w:val="auto"/>
              </w:rPr>
            </w:pPr>
          </w:p>
        </w:tc>
        <w:tc>
          <w:tcPr>
            <w:tcW w:w="3780" w:type="dxa"/>
            <w:vAlign w:val="bottom"/>
            <w:gridSpan w:val="15"/>
          </w:tcPr>
          <w:p>
            <w:pPr>
              <w:jc w:val="right"/>
              <w:ind w:right="51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108" w:right="4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Dell Technologies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Dell Technologies Inc. and its subsidiaries (the “Company”) as of January 31, 2020 and February 1, 2019, and the related consolidated statements of income (loss), of comprehensive income (loss), of stockholders' equity (deficit) and of cash flows for each of the three years in the period ended January 31, 2020, including the related notes (collectively referred to as the “consolidated financial statements”). We also have audited the Company's internal control over financial reporting as of January 31, 2020, based on criteria established in Internal Control - Integrated Framework (2013) issued by the Committee of Sponsoring Organizations of the Treadway Commission (COSO).</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31, 2020 and February 1, 2019, and the results of its operations and its cash flows for each of the three years in the period ended January 31, 2020 in conformity with accounting principles generally accepted in the United States of America. Also in our opinion, the Company maintained, in all material respects, effective internal control over financial reporting as of January 31, 2020,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2,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Identification of Performance Obligations in Revenue Contracts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described in Notes 2 and 19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warranties, and other service offerings and solutions. For the year ended January 31, 2020, a significant portion of the $34 billion Infrastructure Solutions Group (“ISG”) and $10.9 billion VMware reportable segment net revenues relate to contracts with multiple performance obligations.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identification of performance obligations in revenue contracts is a critical audit matter are there was significant judgment by management in identifying performance obligations in revenue contracts, which in turn led to a high degree of auditor judgment, subjectivity and effort in performing procedures to evaluate whether performance obligations in revenue contracts were appropriately identified by management.</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Trade Names Impairment Assessments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described in Note 8 to the consolidated financial statements, the Company’s consolidated goodwill and indefinite-lived trade names balances were $41.7 billion and $3.8 billion as of January 31, 2020, respectively. The goodwill associated with the Infrastructure Solutions Group (“ISG”) and RSA Security (“RSA”) goodwill reporting units represent a portion of the total goodwill balance. Goodwill and indefinite-lived intangible assets are tested for impairment annually during the third fiscal quarter and whenever events or circumstances may indicate that an impairment has occurred. Management performs a quantitative goodwill impairment test to measure the fair value of each goodwill reporting unit relative to its carrying amount, and to determine the amount of goodwill impairment loss to be recognized, if any. The fair value of the goodwill reporting units are generally estimated using a combination of public company multiples and discounted cash flow methodologies which require significant judgment, including estimation of future cash flows, which is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The fair value of the indefinite-lived trade names is generally estimated using discounted cash flow methodologies. The discounted cash flow methodology requires significant judgment, including estimation of future revenue, which is dependent on internal forecasts, the estimation of the long-term revenue growth rate of the Company’s business and the determination of the Company’s weighted average cost of capital and royalty rates.</w:t>
      </w:r>
    </w:p>
    <w:p>
      <w:pPr>
        <w:spacing w:after="0" w:line="18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goodwill and indefinite-lived trade names impairment assessments is a critical audit matter are that there was significant judgment by management when developing the fair value measurements of the ISG and RSA reporting units and certain of the indefinite-lived trade names, which in turn led to a high degree of auditor judgment, subjectivity and effort in performing procedures and evaluating audit evidence related to management’s selection of market multiples and cash flow projections, including significant assumptions related to long-term revenue growth rates and the discount rate. In addition, the audit effort involved the use of professionals with specialized skill and knowledge to assist in evaluating the audit evidence obtained from these procedures.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trade names impairment assessments, including controls over the fair value of the ISG and RSA reporting units and indefinite-lived trade names. These procedures also included, among others, testing management’s process for developing the fair value estimates, evaluating the appropriateness of the public company multiples and discounted cash flow methodologies, testing completeness and accuracy of underlying data used in the methodologies, and evaluating the reasonableness of management’s selection of market multiples, and significant assumptions used by management in estimating the fair value of the ISG and RSA reporting units and certain of the indefinite-lived trade names, including the long-term revenue growth rates and the discount rate. Evaluating the assumptions related to the long-term revenue growth rates involved evaluating whether assumptions used by management were reasonable considering the past performance of each reporting unit and certain of the indefinite-lived trade names, consistency with third-party industry data, and whether the assumptions were consistent with evidence obtained in other areas of the audit. Professionals with specialized skill and knowledge were used to assist in the evaluation of the Company’s discounted future cash flow methodologies and certain assumptions, including the discount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 of Intellectual Property Rights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described in Note 11 to the consolidated financial statements, the Company completed two intra-entity asset transfers of certain of its intellectual property (the “IP”) to Irish subsidiaries, resulting in discrete tax benefits of $4.9 billion. The tax benefit for each intra-entity asset transfer was recorded as a deferred tax asset in the period of transaction and represents the book and tax basis difference on the transferred assets measured based on the IP’s current fair value and applicable Irish statutory tax rate. The Company applied significant judgment when determining the fair value of the IP, which serves as the tax basis of the deferred tax asset, and in evaluating the associated tax laws in the applicable jurisdictions.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principal considerations for our determination that performing procedures relating to the intra-entity transfers of the intellectual property rights is a critical audit matter are (i) there was significant judgment by management when determining the fair value of certain of the intellectual property subject to the intra-entity asset transfers which serves as the tax basis of the deferred tax asset and in evaluating the associated application of tax laws in the applicable jurisdictions, which in turn led to a high degree of auditor judgment, subjectivity and effort in applying procedures relating to the reasonableness of management’s determination of the fair value of certain of the intellectual property subject to the intra-entity asset transfers which serves as the tax basis of the deferred tax asset and in evaluating the associated application of tax laws in the applicable jurisdiction and (ii) the audit effort also involved the use of professionals with specialized skill and knowledge to assist in evaluating the audit evidence obtained from these procedures.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certain of the intra-entity transfers of the intellectual property, including controls over management’s review of the underlying agreements, determination of the tax basis, and management's assessment of the tax laws applicable to the transfer of a license for intellectual property. These procedures also included, among others, (i) examination of the underlying agreements, (ii) testing the information used in the calculation of the deferred tax asset, including management’s estimate of the fair value of certain of the intellectual property which serves as the tax basis for the deferred tax asset and evaluating the tax laws applicable to the transfer of the intellectual property, and (iii) testing the calculation of the deferred tax asset. Professionals with specialized skill and knowledge were used to assist in the evaluation of management’s determination of the fair value of the intellectual property which serves as the tax basis for the deferred tax asset and applicability of the Irish income tax laws and regulations.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5"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60" w:type="dxa"/>
            <w:vAlign w:val="bottom"/>
          </w:tcPr>
          <w:p>
            <w:pPr>
              <w:jc w:val="center"/>
              <w:ind w:left="235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8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260" w:type="dxa"/>
            <w:vAlign w:val="bottom"/>
          </w:tcPr>
          <w:p>
            <w:pPr>
              <w:jc w:val="center"/>
              <w:ind w:left="235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vMerge w:val="restart"/>
          </w:tcPr>
          <w:p>
            <w:pPr>
              <w:jc w:val="center"/>
              <w:ind w:left="233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Short-term financing receivables,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Long-term financing receivables,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22,270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6260" w:type="dxa"/>
            <w:vAlign w:val="bottom"/>
            <w:shd w:val="clear" w:color="auto" w:fill="CCEEFF"/>
          </w:tcPr>
          <w:p>
            <w:pPr>
              <w:ind w:left="840"/>
              <w:spacing w:after="0" w:line="203" w:lineRule="exact"/>
              <w:rPr>
                <w:sz w:val="20"/>
                <w:szCs w:val="20"/>
                <w:color w:val="auto"/>
              </w:rPr>
            </w:pPr>
            <w:r>
              <w:rPr>
                <w:rFonts w:ascii="Arial" w:cs="Arial" w:eastAsia="Arial" w:hAnsi="Arial"/>
                <w:sz w:val="18"/>
                <w:szCs w:val="18"/>
                <w:b w:val="1"/>
                <w:bCs w:val="1"/>
                <w:color w:val="auto"/>
              </w:rPr>
              <w:t>LIABILITIES, REDEEMABLE SHARES, AND STOCKHOLDERS’</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EQUITY (DEFICIT)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Short-term deferred revenue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44,972</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49,201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111,566</w:t>
            </w:r>
          </w:p>
        </w:tc>
        <w:tc>
          <w:tcPr>
            <w:tcW w:w="0" w:type="dxa"/>
            <w:vAlign w:val="bottom"/>
          </w:tcPr>
          <w:p>
            <w:pPr>
              <w:spacing w:after="0"/>
              <w:rPr>
                <w:sz w:val="1"/>
                <w:szCs w:val="1"/>
                <w:color w:val="auto"/>
              </w:rPr>
            </w:pP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shares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 and capital in excess of $0.01 par value (Note 14)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Treasury stock at cost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Dell Technologies Inc.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7"/>
        </w:trPr>
        <w:tc>
          <w:tcPr>
            <w:tcW w:w="7540" w:type="dxa"/>
            <w:vAlign w:val="bottom"/>
            <w:gridSpan w:val="2"/>
          </w:tcPr>
          <w:p>
            <w:pPr>
              <w:ind w:left="60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118,861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0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60" w:type="dxa"/>
            <w:vAlign w:val="bottom"/>
            <w:gridSpan w:val="4"/>
          </w:tcPr>
          <w:p>
            <w:pPr>
              <w:jc w:val="center"/>
              <w:ind w:left="235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99"/>
              </w:rPr>
              <w:t>CONSOLIDATED STATEMENTS OF INCOME (LOSS)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260" w:type="dxa"/>
            <w:vAlign w:val="bottom"/>
            <w:gridSpan w:val="4"/>
          </w:tcPr>
          <w:p>
            <w:pPr>
              <w:jc w:val="center"/>
              <w:ind w:left="2330"/>
              <w:spacing w:after="0"/>
              <w:rPr>
                <w:sz w:val="20"/>
                <w:szCs w:val="20"/>
                <w:color w:val="auto"/>
              </w:rPr>
            </w:pPr>
            <w:r>
              <w:rPr>
                <w:rFonts w:ascii="Arial" w:cs="Arial" w:eastAsia="Arial" w:hAnsi="Arial"/>
                <w:sz w:val="18"/>
                <w:szCs w:val="18"/>
                <w:color w:val="auto"/>
                <w:w w:val="90"/>
              </w:rPr>
              <w:t>(in millions, except per share amounts)</w:t>
            </w: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69,918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70,707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60,898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18,142</w:t>
            </w:r>
          </w:p>
        </w:tc>
      </w:tr>
      <w:tr>
        <w:trPr>
          <w:trHeight w:val="237"/>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79,040</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57,889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51,433</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w:t>
            </w:r>
          </w:p>
        </w:tc>
      </w:tr>
      <w:tr>
        <w:trPr>
          <w:trHeight w:val="237"/>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58,503</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20,537</w:t>
            </w: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18,569</w:t>
            </w: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4,384</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22,953</w:t>
            </w:r>
          </w:p>
        </w:tc>
      </w:tr>
      <w:tr>
        <w:trPr>
          <w:trHeight w:val="237"/>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37"/>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7"/>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5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r>
      <w:tr>
        <w:trPr>
          <w:trHeight w:val="311"/>
        </w:trPr>
        <w:tc>
          <w:tcPr>
            <w:tcW w:w="1280" w:type="dxa"/>
            <w:vAlign w:val="bottom"/>
            <w:shd w:val="clear" w:color="auto" w:fill="CCEEFF"/>
          </w:tcPr>
          <w:p>
            <w:pPr>
              <w:spacing w:after="0"/>
              <w:rPr>
                <w:sz w:val="24"/>
                <w:szCs w:val="24"/>
                <w:color w:val="auto"/>
              </w:rPr>
            </w:pPr>
          </w:p>
        </w:tc>
        <w:tc>
          <w:tcPr>
            <w:tcW w:w="4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i w:val="1"/>
                <w:iCs w:val="1"/>
                <w:color w:val="auto"/>
                <w:w w:val="97"/>
              </w:rPr>
              <w:t>Earnings (loss) per share attributable to Dell Technologies Inc. — basic:</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Class V Common Stock</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DHI Group</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324"/>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5"/>
              </w:rPr>
              <w:t>Earnings (loss) per share attributable to Dell Technologies Inc. — diluted:</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Dell Technologies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V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DHI Group</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0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60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rPr>
              <w:t>DELL TECHNOLOGIES INC.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600" w:type="dxa"/>
            <w:vAlign w:val="bottom"/>
            <w:gridSpan w:val="2"/>
          </w:tcPr>
          <w:p>
            <w:pPr>
              <w:jc w:val="center"/>
              <w:ind w:left="301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324"/>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(loss), net of tax</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w:t>
            </w:r>
          </w:p>
        </w:tc>
        <w:tc>
          <w:tcPr>
            <w:tcW w:w="12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1"/>
              </w:rPr>
              <w:t>Reclassification adjustment for net losses realized in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5640" w:type="dxa"/>
            <w:vAlign w:val="bottom"/>
            <w:gridSpan w:val="2"/>
          </w:tcPr>
          <w:p>
            <w:pPr>
              <w:ind w:left="720"/>
              <w:spacing w:after="0"/>
              <w:rPr>
                <w:sz w:val="20"/>
                <w:szCs w:val="20"/>
                <w:color w:val="auto"/>
              </w:rPr>
            </w:pPr>
            <w:r>
              <w:rPr>
                <w:rFonts w:ascii="Arial" w:cs="Arial" w:eastAsia="Arial" w:hAnsi="Arial"/>
                <w:sz w:val="18"/>
                <w:szCs w:val="18"/>
                <w:color w:val="auto"/>
              </w:rPr>
              <w:t>Net change in market value of investments</w:t>
            </w:r>
          </w:p>
        </w:tc>
        <w:tc>
          <w:tcPr>
            <w:tcW w:w="1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12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5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net (gains) losses included in net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57"/>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(loss)</w:t>
            </w:r>
          </w:p>
        </w:tc>
        <w:tc>
          <w:tcPr>
            <w:tcW w:w="1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37"/>
        </w:trPr>
        <w:tc>
          <w:tcPr>
            <w:tcW w:w="5640" w:type="dxa"/>
            <w:vAlign w:val="bottom"/>
            <w:gridSpan w:val="2"/>
          </w:tcPr>
          <w:p>
            <w:pPr>
              <w:ind w:left="720"/>
              <w:spacing w:after="0"/>
              <w:rPr>
                <w:sz w:val="20"/>
                <w:szCs w:val="20"/>
                <w:color w:val="auto"/>
              </w:rPr>
            </w:pPr>
            <w:r>
              <w:rPr>
                <w:rFonts w:ascii="Arial" w:cs="Arial" w:eastAsia="Arial" w:hAnsi="Arial"/>
                <w:sz w:val="18"/>
                <w:szCs w:val="18"/>
                <w:color w:val="auto"/>
              </w:rPr>
              <w:t>Net change in cash flow hedges</w:t>
            </w:r>
          </w:p>
        </w:tc>
        <w:tc>
          <w:tcPr>
            <w:tcW w:w="1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plans: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8"/>
                <w:szCs w:val="18"/>
                <w:color w:val="auto"/>
                <w:w w:val="99"/>
              </w:rPr>
              <w:t>Recognition of actuarial net gains (losses) from pension and other</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postretirement plans</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Reclassification adjustments for net losses from pension and other</w:t>
            </w: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640" w:type="dxa"/>
            <w:vAlign w:val="bottom"/>
            <w:gridSpan w:val="2"/>
          </w:tcPr>
          <w:p>
            <w:pPr>
              <w:ind w:left="500"/>
              <w:spacing w:after="0"/>
              <w:rPr>
                <w:sz w:val="20"/>
                <w:szCs w:val="20"/>
                <w:color w:val="auto"/>
              </w:rPr>
            </w:pPr>
            <w:r>
              <w:rPr>
                <w:rFonts w:ascii="Arial" w:cs="Arial" w:eastAsia="Arial" w:hAnsi="Arial"/>
                <w:sz w:val="18"/>
                <w:szCs w:val="18"/>
                <w:color w:val="auto"/>
                <w:w w:val="98"/>
              </w:rPr>
              <w:t>Net change in actuarial net gains (losses) from pension and other</w:t>
            </w: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30"/>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postretirement plans</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4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29"/>
        </w:trPr>
        <w:tc>
          <w:tcPr>
            <w:tcW w:w="5640" w:type="dxa"/>
            <w:vAlign w:val="bottom"/>
            <w:gridSpan w:val="2"/>
          </w:tcPr>
          <w:p>
            <w:pPr>
              <w:ind w:left="280"/>
              <w:spacing w:after="0"/>
              <w:rPr>
                <w:sz w:val="20"/>
                <w:szCs w:val="20"/>
                <w:color w:val="auto"/>
              </w:rPr>
            </w:pPr>
            <w:r>
              <w:rPr>
                <w:rFonts w:ascii="Arial" w:cs="Arial" w:eastAsia="Arial" w:hAnsi="Arial"/>
                <w:sz w:val="18"/>
                <w:szCs w:val="18"/>
                <w:color w:val="auto"/>
                <w:w w:val="93"/>
              </w:rPr>
              <w:t>Total other comprehensive income (loss), net of tax expense (benefit) of</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$(14), $14, and $12, respectively</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income (loss), net of tax</w:t>
            </w:r>
          </w:p>
        </w:tc>
        <w:tc>
          <w:tcPr>
            <w:tcW w:w="1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37"/>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Less: Net income (loss) attributable to non-controlling interests</w:t>
            </w:r>
          </w:p>
        </w:tc>
        <w:tc>
          <w:tcPr>
            <w:tcW w:w="1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5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Less: Other comprehensive income (loss) attributable to non-</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57"/>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controlling interests</w:t>
            </w:r>
          </w:p>
        </w:tc>
        <w:tc>
          <w:tcPr>
            <w:tcW w:w="1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640" w:type="dxa"/>
            <w:vAlign w:val="bottom"/>
            <w:gridSpan w:val="2"/>
          </w:tcPr>
          <w:p>
            <w:pPr>
              <w:ind w:left="280"/>
              <w:spacing w:after="0"/>
              <w:rPr>
                <w:sz w:val="20"/>
                <w:szCs w:val="20"/>
                <w:color w:val="auto"/>
              </w:rPr>
            </w:pPr>
            <w:r>
              <w:rPr>
                <w:rFonts w:ascii="Arial" w:cs="Arial" w:eastAsia="Arial" w:hAnsi="Arial"/>
                <w:sz w:val="18"/>
                <w:szCs w:val="18"/>
                <w:color w:val="auto"/>
                <w:w w:val="99"/>
              </w:rPr>
              <w:t>Comprehensive income (loss) attributable to Dell Technologies Inc.</w:t>
            </w: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4,374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r>
      <w:tr>
        <w:trPr>
          <w:trHeight w:val="20"/>
        </w:trPr>
        <w:tc>
          <w:tcPr>
            <w:tcW w:w="1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60" w:type="dxa"/>
            <w:vAlign w:val="bottom"/>
            <w:gridSpan w:val="4"/>
          </w:tcPr>
          <w:p>
            <w:pPr>
              <w:jc w:val="center"/>
              <w:ind w:left="2350"/>
              <w:spacing w:after="0"/>
              <w:rPr>
                <w:sz w:val="20"/>
                <w:szCs w:val="20"/>
                <w:color w:val="auto"/>
              </w:rPr>
            </w:pPr>
            <w:r>
              <w:rPr>
                <w:rFonts w:ascii="Arial" w:cs="Arial" w:eastAsia="Arial" w:hAnsi="Arial"/>
                <w:sz w:val="18"/>
                <w:szCs w:val="18"/>
                <w:b w:val="1"/>
                <w:bCs w:val="1"/>
                <w:color w:val="auto"/>
              </w:rPr>
              <w:t>DELL TECHNOLOGIES INC.</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6460" w:type="dxa"/>
            <w:vAlign w:val="bottom"/>
            <w:gridSpan w:val="5"/>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260" w:type="dxa"/>
            <w:vAlign w:val="bottom"/>
            <w:gridSpan w:val="4"/>
          </w:tcPr>
          <w:p>
            <w:pPr>
              <w:jc w:val="center"/>
              <w:ind w:left="2350"/>
              <w:spacing w:after="0"/>
              <w:rPr>
                <w:sz w:val="20"/>
                <w:szCs w:val="20"/>
                <w:color w:val="auto"/>
              </w:rPr>
            </w:pPr>
            <w:r>
              <w:rPr>
                <w:rFonts w:ascii="Arial" w:cs="Arial" w:eastAsia="Arial" w:hAnsi="Arial"/>
                <w:sz w:val="18"/>
                <w:szCs w:val="18"/>
                <w:color w:val="auto"/>
                <w:w w:val="92"/>
              </w:rPr>
              <w:t>(in millions; continued on next page)</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2"/>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8,634</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(2,605)</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 — including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Impairments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8"/>
                <w:szCs w:val="18"/>
                <w:color w:val="auto"/>
                <w:w w:val="96"/>
              </w:rPr>
              <w:t>Changes in assets and liabilities, net of effects from acquisitions and</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dispositions: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43"/>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Financing receivables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3,779</w:t>
            </w:r>
          </w:p>
        </w:tc>
      </w:tr>
      <w:tr>
        <w:trPr>
          <w:trHeight w:val="243"/>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36"/>
        </w:trPr>
        <w:tc>
          <w:tcPr>
            <w:tcW w:w="5640" w:type="dxa"/>
            <w:vAlign w:val="bottom"/>
            <w:gridSpan w:val="2"/>
          </w:tcPr>
          <w:p>
            <w:pPr>
              <w:ind w:left="720"/>
              <w:spacing w:after="0"/>
              <w:rPr>
                <w:sz w:val="20"/>
                <w:szCs w:val="20"/>
                <w:color w:val="auto"/>
              </w:rPr>
            </w:pPr>
            <w:r>
              <w:rPr>
                <w:rFonts w:ascii="Arial" w:cs="Arial" w:eastAsia="Arial" w:hAnsi="Arial"/>
                <w:sz w:val="18"/>
                <w:szCs w:val="18"/>
                <w:color w:val="auto"/>
              </w:rPr>
              <w:t>Change in cash from operating activities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6,843</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r>
      <w:tr>
        <w:trPr>
          <w:trHeight w:val="243"/>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Maturities and sales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3,878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businesses,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Divestitures of businesses, net</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acquisitions,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Asset dispositions, net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5640" w:type="dxa"/>
            <w:vAlign w:val="bottom"/>
            <w:gridSpan w:val="2"/>
          </w:tcPr>
          <w:p>
            <w:pPr>
              <w:ind w:left="720"/>
              <w:spacing w:after="0"/>
              <w:rPr>
                <w:sz w:val="20"/>
                <w:szCs w:val="20"/>
                <w:color w:val="auto"/>
              </w:rPr>
            </w:pPr>
            <w:r>
              <w:rPr>
                <w:rFonts w:ascii="Arial" w:cs="Arial" w:eastAsia="Arial" w:hAnsi="Arial"/>
                <w:sz w:val="18"/>
                <w:szCs w:val="18"/>
                <w:color w:val="auto"/>
              </w:rPr>
              <w:t>Change in cash from investing activities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0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60" w:type="dxa"/>
            <w:vAlign w:val="bottom"/>
            <w:gridSpan w:val="4"/>
          </w:tcPr>
          <w:p>
            <w:pPr>
              <w:jc w:val="center"/>
              <w:ind w:left="2350"/>
              <w:spacing w:after="0"/>
              <w:rPr>
                <w:sz w:val="20"/>
                <w:szCs w:val="20"/>
                <w:color w:val="auto"/>
              </w:rPr>
            </w:pPr>
            <w:r>
              <w:rPr>
                <w:rFonts w:ascii="Arial" w:cs="Arial" w:eastAsia="Arial" w:hAnsi="Arial"/>
                <w:sz w:val="18"/>
                <w:szCs w:val="18"/>
                <w:b w:val="1"/>
                <w:bCs w:val="1"/>
                <w:color w:val="auto"/>
              </w:rPr>
              <w:t>DELL TECHNOLOGIES INC.</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6460" w:type="dxa"/>
            <w:vAlign w:val="bottom"/>
            <w:gridSpan w:val="5"/>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260" w:type="dxa"/>
            <w:vAlign w:val="bottom"/>
            <w:gridSpan w:val="4"/>
          </w:tcPr>
          <w:p>
            <w:pPr>
              <w:jc w:val="center"/>
              <w:ind w:left="2350"/>
              <w:spacing w:after="0"/>
              <w:rPr>
                <w:sz w:val="20"/>
                <w:szCs w:val="20"/>
                <w:color w:val="auto"/>
              </w:rPr>
            </w:pPr>
            <w:r>
              <w:rPr>
                <w:rFonts w:ascii="Arial" w:cs="Arial" w:eastAsia="Arial" w:hAnsi="Arial"/>
                <w:sz w:val="18"/>
                <w:szCs w:val="18"/>
                <w:color w:val="auto"/>
                <w:w w:val="94"/>
              </w:rPr>
              <w:t>(continued; in millions)</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Share repurchases for tax withholdings of equity awards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 to VMware, Inc.’s public stockholders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Class V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Repurchases of common stock of subsidiaries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(12,258)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5640" w:type="dxa"/>
            <w:vAlign w:val="bottom"/>
            <w:gridSpan w:val="2"/>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12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Effect of exchange rate changes on cash, cash equivalents, and restricted</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57"/>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9,832</w:t>
            </w:r>
          </w:p>
        </w:tc>
      </w:tr>
      <w:tr>
        <w:trPr>
          <w:trHeight w:val="297"/>
        </w:trPr>
        <w:tc>
          <w:tcPr>
            <w:tcW w:w="564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Cash, cash equivalents, and restricted cash at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14,378</w:t>
            </w:r>
          </w:p>
        </w:tc>
      </w:tr>
      <w:tr>
        <w:trPr>
          <w:trHeight w:val="237"/>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2,192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08"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620" w:type="dxa"/>
            <w:vAlign w:val="bottom"/>
            <w:gridSpan w:val="10"/>
          </w:tcPr>
          <w:p>
            <w:pPr>
              <w:ind w:left="40"/>
              <w:spacing w:after="0"/>
              <w:rPr>
                <w:sz w:val="20"/>
                <w:szCs w:val="20"/>
                <w:color w:val="auto"/>
              </w:rPr>
            </w:pPr>
            <w:r>
              <w:rPr>
                <w:rFonts w:ascii="Arial" w:cs="Arial" w:eastAsia="Arial" w:hAnsi="Arial"/>
                <w:sz w:val="14"/>
                <w:szCs w:val="14"/>
                <w:b w:val="1"/>
                <w:bCs w:val="1"/>
                <w:color w:val="auto"/>
                <w:w w:val="95"/>
              </w:rPr>
              <w:t>Common Stock and Capital in Excess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Par Value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DHI Group</w:t>
            </w:r>
          </w:p>
        </w:tc>
        <w:tc>
          <w:tcPr>
            <w:tcW w:w="132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Class V Common</w:t>
            </w:r>
          </w:p>
        </w:tc>
        <w:tc>
          <w:tcPr>
            <w:tcW w:w="12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DHI Group</w:t>
            </w:r>
          </w:p>
        </w:tc>
        <w:tc>
          <w:tcPr>
            <w:tcW w:w="128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1240" w:type="dxa"/>
            <w:vAlign w:val="bottom"/>
            <w:gridSpan w:val="5"/>
            <w:vMerge w:val="continue"/>
          </w:tcPr>
          <w:p>
            <w:pPr>
              <w:spacing w:after="0"/>
              <w:rPr>
                <w:sz w:val="16"/>
                <w:szCs w:val="16"/>
                <w:color w:val="auto"/>
              </w:rPr>
            </w:pPr>
          </w:p>
        </w:tc>
        <w:tc>
          <w:tcPr>
            <w:tcW w:w="1280" w:type="dxa"/>
            <w:vAlign w:val="bottom"/>
            <w:gridSpan w:val="5"/>
          </w:tcPr>
          <w:p>
            <w:pPr>
              <w:ind w:left="4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Dell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Technologies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Stockholders’</w:t>
            </w:r>
          </w:p>
        </w:tc>
        <w:tc>
          <w:tcPr>
            <w:tcW w:w="12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40" w:type="dxa"/>
            <w:vAlign w:val="bottom"/>
          </w:tcPr>
          <w:p>
            <w:pPr>
              <w:spacing w:after="0"/>
              <w:rPr>
                <w:sz w:val="12"/>
                <w:szCs w:val="12"/>
                <w:color w:val="auto"/>
              </w:rPr>
            </w:pPr>
          </w:p>
        </w:tc>
        <w:tc>
          <w:tcPr>
            <w:tcW w:w="1020" w:type="dxa"/>
            <w:vAlign w:val="bottom"/>
          </w:tcPr>
          <w:p>
            <w:pPr>
              <w:jc w:val="center"/>
              <w:ind w:right="16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7"/>
              </w:rPr>
              <w:t>Issued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Controlling</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Stockholders</w:t>
            </w:r>
            <w:r>
              <w:rPr>
                <w:rFonts w:ascii="Arial" w:cs="Arial" w:eastAsia="Arial" w:hAnsi="Arial"/>
                <w:sz w:val="13"/>
                <w:szCs w:val="13"/>
                <w:color w:val="auto"/>
                <w:w w:val="94"/>
              </w:rPr>
              <w:t>’</w:t>
            </w:r>
            <w:r>
              <w:rPr>
                <w:rFonts w:ascii="Arial" w:cs="Arial" w:eastAsia="Arial" w:hAnsi="Arial"/>
                <w:sz w:val="13"/>
                <w:szCs w:val="13"/>
                <w:b w:val="1"/>
                <w:bCs w:val="1"/>
                <w:color w:val="auto"/>
                <w:w w:val="94"/>
              </w:rPr>
              <w:t xml:space="preserve"> Equity</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Income/(Loss)</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240" w:type="dxa"/>
            <w:vAlign w:val="bottom"/>
          </w:tcPr>
          <w:p>
            <w:pPr>
              <w:spacing w:after="0"/>
              <w:rPr>
                <w:sz w:val="15"/>
                <w:szCs w:val="15"/>
                <w:color w:val="auto"/>
              </w:rPr>
            </w:pPr>
          </w:p>
        </w:tc>
        <w:tc>
          <w:tcPr>
            <w:tcW w:w="1020" w:type="dxa"/>
            <w:vAlign w:val="bottom"/>
          </w:tcPr>
          <w:p>
            <w:pPr>
              <w:jc w:val="center"/>
              <w:ind w:right="169"/>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39"/>
        </w:trPr>
        <w:tc>
          <w:tcPr>
            <w:tcW w:w="10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February 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2017</w:t>
            </w:r>
          </w:p>
        </w:tc>
        <w:tc>
          <w:tcPr>
            <w:tcW w:w="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10,158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w w:val="97"/>
              </w:rPr>
              <w:t>Adjustment for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w w:val="94"/>
              </w:rPr>
              <w:t>standard (Note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rPr>
              <w:t>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currency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Cash flow</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hedges, 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rPr>
              <w:t>change</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post-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retirement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w w:val="97"/>
              </w:rPr>
              <w:t>common stock</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w w:val="95"/>
              </w:rPr>
              <w:t>Treasury stock</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Revaluation of</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Impact from</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equity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w w:val="96"/>
              </w:rPr>
              <w:t>transactions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non-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line="149" w:lineRule="exact"/>
              <w:rPr>
                <w:sz w:val="20"/>
                <w:szCs w:val="20"/>
                <w:color w:val="auto"/>
              </w:rPr>
            </w:pPr>
            <w:r>
              <w:rPr>
                <w:rFonts w:ascii="Arial" w:cs="Arial" w:eastAsia="Arial" w:hAnsi="Arial"/>
                <w:sz w:val="14"/>
                <w:szCs w:val="14"/>
                <w:color w:val="auto"/>
              </w:rPr>
              <w:t>controlling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39"/>
        </w:trPr>
        <w:tc>
          <w:tcPr>
            <w:tcW w:w="10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February 2,</w:t>
            </w:r>
          </w:p>
        </w:tc>
        <w:tc>
          <w:tcPr>
            <w:tcW w:w="4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9,848</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(1,424)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85"/>
        </w:trPr>
        <w:tc>
          <w:tcPr>
            <w:tcW w:w="1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60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2"/>
              </w:rPr>
              <w:t>Common Stock and Capital in Excess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center"/>
              <w:ind w:right="349"/>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3"/>
              </w:rPr>
              <w:t>Par Value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118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DHI Group</w:t>
            </w:r>
          </w:p>
        </w:tc>
        <w:tc>
          <w:tcPr>
            <w:tcW w:w="100" w:type="dxa"/>
            <w:vAlign w:val="bottom"/>
          </w:tcPr>
          <w:p>
            <w:pPr>
              <w:spacing w:after="0"/>
              <w:rPr>
                <w:sz w:val="13"/>
                <w:szCs w:val="13"/>
                <w:color w:val="auto"/>
              </w:rPr>
            </w:pPr>
          </w:p>
        </w:tc>
        <w:tc>
          <w:tcPr>
            <w:tcW w:w="132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Class V Common</w:t>
            </w:r>
          </w:p>
        </w:tc>
        <w:tc>
          <w:tcPr>
            <w:tcW w:w="12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DHI Group</w:t>
            </w:r>
          </w:p>
        </w:tc>
        <w:tc>
          <w:tcPr>
            <w:tcW w:w="128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1240" w:type="dxa"/>
            <w:vAlign w:val="bottom"/>
            <w:gridSpan w:val="5"/>
            <w:vMerge w:val="continue"/>
          </w:tcPr>
          <w:p>
            <w:pPr>
              <w:spacing w:after="0"/>
              <w:rPr>
                <w:sz w:val="16"/>
                <w:szCs w:val="16"/>
                <w:color w:val="auto"/>
              </w:rPr>
            </w:pPr>
          </w:p>
        </w:tc>
        <w:tc>
          <w:tcPr>
            <w:tcW w:w="1280" w:type="dxa"/>
            <w:vAlign w:val="bottom"/>
            <w:gridSpan w:val="5"/>
          </w:tcPr>
          <w:p>
            <w:pPr>
              <w:ind w:left="4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Dell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Technologies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Stockholders’</w:t>
            </w:r>
          </w:p>
        </w:tc>
        <w:tc>
          <w:tcPr>
            <w:tcW w:w="12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40" w:type="dxa"/>
            <w:vAlign w:val="bottom"/>
          </w:tcPr>
          <w:p>
            <w:pPr>
              <w:spacing w:after="0"/>
              <w:rPr>
                <w:sz w:val="12"/>
                <w:szCs w:val="12"/>
                <w:color w:val="auto"/>
              </w:rPr>
            </w:pPr>
          </w:p>
        </w:tc>
        <w:tc>
          <w:tcPr>
            <w:tcW w:w="102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Issued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Controlling</w:t>
            </w: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w w:val="92"/>
              </w:rPr>
              <w:t>Stockholders’ Equity</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Income/(Loss)</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24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9"/>
        </w:trPr>
        <w:tc>
          <w:tcPr>
            <w:tcW w:w="110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February 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60" w:type="dxa"/>
            <w:vAlign w:val="bottom"/>
            <w:gridSpan w:val="3"/>
            <w:shd w:val="clear" w:color="auto" w:fill="CCEEFF"/>
          </w:tcPr>
          <w:p>
            <w:pPr>
              <w:jc w:val="right"/>
              <w:ind w:right="13"/>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w w:val="99"/>
              </w:rPr>
              <w:t>Adjustment for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standards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rPr>
              <w:t>(Note 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currency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rPr>
              <w:t>Cash flow</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hedges, 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rPr>
              <w:t>change</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post-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retirement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w w:val="99"/>
              </w:rPr>
              <w:t>common stock</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w w:val="97"/>
              </w:rPr>
              <w:t>Treasury stock</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Revaluation of</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line="157" w:lineRule="exact"/>
              <w:rPr>
                <w:sz w:val="20"/>
                <w:szCs w:val="20"/>
                <w:color w:val="auto"/>
              </w:rPr>
            </w:pPr>
            <w:r>
              <w:rPr>
                <w:rFonts w:ascii="Arial" w:cs="Arial" w:eastAsia="Arial" w:hAnsi="Arial"/>
                <w:sz w:val="14"/>
                <w:szCs w:val="14"/>
                <w:color w:val="auto"/>
                <w:w w:val="98"/>
              </w:rPr>
              <w:t>Repurchase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Class V</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Arial" w:cs="Arial" w:eastAsia="Arial" w:hAnsi="Arial"/>
                <w:sz w:val="14"/>
                <w:szCs w:val="14"/>
                <w:color w:val="auto"/>
                <w:w w:val="94"/>
              </w:rPr>
              <w:t>Common Stock</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(10,041)</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(13,982)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(13,982)</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transactions of</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non-controlling</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Balances as of</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February 1,</w:t>
            </w: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w w:val="88"/>
              </w:rPr>
              <w:t>16,114</w:t>
            </w: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(21,349)</w:t>
            </w:r>
          </w:p>
        </w:tc>
        <w:tc>
          <w:tcPr>
            <w:tcW w:w="100" w:type="dxa"/>
            <w:vAlign w:val="bottom"/>
          </w:tcPr>
          <w:p>
            <w:pPr>
              <w:spacing w:after="0"/>
              <w:rPr>
                <w:sz w:val="12"/>
                <w:szCs w:val="12"/>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(5,765)</w:t>
            </w:r>
          </w:p>
        </w:tc>
        <w:tc>
          <w:tcPr>
            <w:tcW w:w="10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12"/>
                <w:szCs w:val="12"/>
                <w:color w:val="auto"/>
              </w:rPr>
            </w:pP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85"/>
        </w:trPr>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 and Capital</w:t>
            </w:r>
          </w:p>
        </w:tc>
        <w:tc>
          <w:tcPr>
            <w:tcW w:w="20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1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in Excess of Par Value</w:t>
            </w:r>
          </w:p>
        </w:tc>
        <w:tc>
          <w:tcPr>
            <w:tcW w:w="20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140" w:type="dxa"/>
            <w:vAlign w:val="bottom"/>
            <w:tcBorders>
              <w:top w:val="single" w:sz="8" w:color="auto"/>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Dell Technologies Common Stock (a)</w:t>
            </w: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Other</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Dell Technologies</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Stockholders’</w:t>
            </w:r>
          </w:p>
        </w:tc>
        <w:tc>
          <w:tcPr>
            <w:tcW w:w="12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Non-Controlling</w:t>
            </w: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 Equity</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Issued Shares</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Income/(Loss)</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Equity (Deficit)</w:t>
            </w:r>
          </w:p>
        </w:tc>
        <w:tc>
          <w:tcPr>
            <w:tcW w:w="2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Interests</w:t>
            </w:r>
          </w:p>
        </w:tc>
        <w:tc>
          <w:tcPr>
            <w:tcW w:w="24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9"/>
        </w:trPr>
        <w:tc>
          <w:tcPr>
            <w:tcW w:w="11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7"/>
              </w:rPr>
              <w:t>February 1, 2019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57"/>
        </w:trPr>
        <w:tc>
          <w:tcPr>
            <w:tcW w:w="114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w w:val="94"/>
              </w:rPr>
              <w:t>standards (Note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4"/>
                <w:szCs w:val="14"/>
                <w:color w:val="auto"/>
              </w:rPr>
              <w:t>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57"/>
        </w:trPr>
        <w:tc>
          <w:tcPr>
            <w:tcW w:w="1140" w:type="dxa"/>
            <w:vAlign w:val="bottom"/>
          </w:tcPr>
          <w:p>
            <w:pPr>
              <w:ind w:left="180"/>
              <w:spacing w:after="0" w:line="157" w:lineRule="exact"/>
              <w:rPr>
                <w:sz w:val="20"/>
                <w:szCs w:val="20"/>
                <w:color w:val="auto"/>
              </w:rPr>
            </w:pPr>
            <w:r>
              <w:rPr>
                <w:rFonts w:ascii="Arial" w:cs="Arial" w:eastAsia="Arial" w:hAnsi="Arial"/>
                <w:sz w:val="14"/>
                <w:szCs w:val="14"/>
                <w:color w:val="auto"/>
              </w:rPr>
              <w:t>Foreign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currency</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hedges, net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7"/>
        </w:trPr>
        <w:tc>
          <w:tcPr>
            <w:tcW w:w="1140" w:type="dxa"/>
            <w:vAlign w:val="bottom"/>
          </w:tcPr>
          <w:p>
            <w:pPr>
              <w:ind w:left="180"/>
              <w:spacing w:after="0" w:line="157" w:lineRule="exact"/>
              <w:rPr>
                <w:sz w:val="20"/>
                <w:szCs w:val="20"/>
                <w:color w:val="auto"/>
              </w:rPr>
            </w:pPr>
            <w:r>
              <w:rPr>
                <w:rFonts w:ascii="Arial" w:cs="Arial" w:eastAsia="Arial" w:hAnsi="Arial"/>
                <w:sz w:val="14"/>
                <w:szCs w:val="14"/>
                <w:color w:val="auto"/>
              </w:rPr>
              <w:t>Pension and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other post-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4"/>
                <w:szCs w:val="14"/>
                <w:color w:val="auto"/>
              </w:rPr>
              <w:t>retirement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57"/>
        </w:trPr>
        <w:tc>
          <w:tcPr>
            <w:tcW w:w="1140" w:type="dxa"/>
            <w:vAlign w:val="bottom"/>
          </w:tcPr>
          <w:p>
            <w:pPr>
              <w:ind w:left="180"/>
              <w:spacing w:after="0" w:line="157" w:lineRule="exact"/>
              <w:rPr>
                <w:sz w:val="20"/>
                <w:szCs w:val="20"/>
                <w:color w:val="auto"/>
              </w:rPr>
            </w:pPr>
            <w:r>
              <w:rPr>
                <w:rFonts w:ascii="Arial" w:cs="Arial" w:eastAsia="Arial" w:hAnsi="Arial"/>
                <w:sz w:val="14"/>
                <w:szCs w:val="14"/>
                <w:color w:val="auto"/>
              </w:rPr>
              <w:t>Stock-based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compensation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4"/>
                <w:szCs w:val="14"/>
                <w:color w:val="auto"/>
              </w:rPr>
              <w:t>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114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4"/>
                <w:szCs w:val="14"/>
                <w:color w:val="auto"/>
              </w:rPr>
              <w:t>shares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(3,365)</w:t>
            </w:r>
          </w:p>
        </w:tc>
        <w:tc>
          <w:tcPr>
            <w:tcW w:w="0" w:type="dxa"/>
            <w:vAlign w:val="bottom"/>
          </w:tcPr>
          <w:p>
            <w:pPr>
              <w:spacing w:after="0"/>
              <w:rPr>
                <w:sz w:val="1"/>
                <w:szCs w:val="1"/>
                <w:color w:val="auto"/>
              </w:rPr>
            </w:pPr>
          </w:p>
        </w:tc>
      </w:tr>
      <w:tr>
        <w:trPr>
          <w:trHeight w:val="133"/>
        </w:trPr>
        <w:tc>
          <w:tcPr>
            <w:tcW w:w="11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Balances as of</w:t>
            </w: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16,091</w:t>
            </w:r>
          </w:p>
        </w:tc>
        <w:tc>
          <w:tcPr>
            <w:tcW w:w="100" w:type="dxa"/>
            <w:vAlign w:val="bottom"/>
          </w:tcPr>
          <w:p>
            <w:pPr>
              <w:spacing w:after="0"/>
              <w:rPr>
                <w:sz w:val="11"/>
                <w:szCs w:val="11"/>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(16,891)</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4,729</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190"/>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w w:val="96"/>
              </w:rPr>
              <w:t>January 31, 2020</w:t>
            </w: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2420" w:right="1480" w:hanging="2412"/>
        <w:spacing w:after="0" w:line="621" w:lineRule="auto"/>
        <w:tabs>
          <w:tab w:leader="none" w:pos="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 Note 14 of the Notes to the Consolidated Financial Statements for additional information on Dell Technologies Common Stock. 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5"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References in these Notes to the Consolidated Financial Statements to the “Company” or “Dell Technologies” mean Dell Technologies Inc. individually and together with its consolidated subsidiaries.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These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(“GAAP”).</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the context indicates otherwise, references in these Notes to the Consolidated Financial Statements to “VMware” mean the VMware reportable segment, which reflects the operations of VMware, Inc. (NYSE: VMW) within Dell Technologies.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the Company completed its acquisition of EMC Corporation (“EMC”) by merger (the “EMC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consolidated results of EMC are included in Dell Technologies’ consolidated results presented in these financial statements.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VMware, Inc. Acquisition of Pivotal </w:t>
      </w:r>
      <w:r>
        <w:rPr>
          <w:rFonts w:ascii="Arial" w:cs="Arial" w:eastAsia="Arial" w:hAnsi="Arial"/>
          <w:sz w:val="16"/>
          <w:szCs w:val="16"/>
          <w:color w:val="auto"/>
        </w:rPr>
        <w:t>— On December 30, 2019, VMware, Inc. completed its acquisition of Pivotal Software, Inc. (“Pivotal”) by merger (the</w:t>
      </w:r>
      <w:r>
        <w:rPr>
          <w:rFonts w:ascii="Arial" w:cs="Arial" w:eastAsia="Arial" w:hAnsi="Arial"/>
          <w:sz w:val="16"/>
          <w:szCs w:val="16"/>
          <w:i w:val="1"/>
          <w:iCs w:val="1"/>
          <w:color w:val="auto"/>
        </w:rPr>
        <w:t xml:space="preserve"> </w:t>
      </w:r>
      <w:r>
        <w:rPr>
          <w:rFonts w:ascii="Arial" w:cs="Arial" w:eastAsia="Arial" w:hAnsi="Arial"/>
          <w:sz w:val="16"/>
          <w:szCs w:val="16"/>
          <w:color w:val="auto"/>
        </w:rPr>
        <w:t>“Pivotal acquisition”), with Pivotal surviving the merger as a wholly-owned subsidiary of VMware, Inc. Each outstanding share of Pivotal’s Class A common stock (other than shares held by Pivotal stockholders who properly exercised their appraisal rights under Delaware law) was converted into the right to receive $15.00 in cash, without interest, and each outstanding share of Pivotal’s Class B common stock was converted into the right to receive</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0.0550 of a share of Class B common stock of VMware, Inc. Dell Technologies, which held all outstanding shares of Pivotal’s Class B common stock, received approximately 7.2 million shares of Class B common stock of VMware, Inc. in the transaction. As of the transaction date, Pivotal’s Class A common stock (NYSE: PVTL) ceased to be listed and traded on the New York Stock Exchange (“NYSE”).</w:t>
      </w:r>
    </w:p>
    <w:p>
      <w:pPr>
        <w:spacing w:after="0" w:line="17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Due to the Company’s ownership of a controlling interest in Pivotal, the Company and VMware, Inc. accounted for the acquisition of the controlling interest in Pivotal as a transaction by entities under common control, and, consequently, the transaction had no net effect to the Company’s consolidated financial statements. Subsequent to the Pivotal acquisition, Pivotal operates as a wholly-owned subsidiary of VMware, Inc. and Dell Technologies reports Pivotal results within the VMware reportable segment. Prior to the Pivotal acquisition, Pivotal results were reported within Other businesses. This change in Pivotal segment classification was reflected retrospectively and is presented in Note 19 of the Notes to the Consolidated Financial Statements.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VMware, Inc. financial reporting purposes, the acquisition of the controlling interest in Pivotal qualifies as a change in reporting entity, specifically a change in the specific subsidiaries that make up the group for which VMware, Inc. financial statements are presented. As a result, VMware, Inc. was required to retrospectively adjust its financial statements to include the net assets received and related results of operations of Pivotal, for all periods during which Pivotal and VMware, Inc. were under common control of Dell Technologies.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Revenue Reclassification </w:t>
      </w:r>
      <w:r>
        <w:rPr>
          <w:rFonts w:ascii="Arial" w:cs="Arial" w:eastAsia="Arial" w:hAnsi="Arial"/>
          <w:sz w:val="18"/>
          <w:szCs w:val="18"/>
          <w:color w:val="auto"/>
        </w:rPr>
        <w:t>— For the fiscal year ended January 31, 2020, Dell Technologies made certain reclassifications of net revenue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categories on the Consolidated Statement of Net Income (Loss). The reclassifications were made to provide a more meaningful representation of the nature of certain service and software-as-a-service offerings of VMware, Inc. Prior period results were recast to conform with these changes, and resulted in an increase to services revenue and an equal and offsetting decrease to product revenue in the following amounts: $584 million for the nine months ended November 1, 2019; $580 million for the fiscal year ended February 1, 2019; and $353 million for the fiscal year ended February 2, 2018. Total net revenue as previously reported remains unchanged. The Company did not recast cost of goods sold for the related revenue reclassifications due to immateriality.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2 — DESCRIPTION OF BUSINESS AND SUMMARY OF SIGNIFICANT ACCOUNTING POLICIES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Description of Business </w:t>
      </w:r>
      <w:r>
        <w:rPr>
          <w:rFonts w:ascii="Arial" w:cs="Arial" w:eastAsia="Arial" w:hAnsi="Arial"/>
          <w:sz w:val="18"/>
          <w:szCs w:val="18"/>
          <w:color w:val="auto"/>
        </w:rPr>
        <w:t>— The Company is a leading global end-to-end technology provider that offers a broad range of comprehensive and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which include servers and networking products, storage products, cloud solutions products, desktops, notebooks, services, software, and third-party software and peripherals.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years ended January 31, 2020, February 1, 2019, and February 2, 2018 were 52-week periods.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Consolidated Financial Statements include the accounts of Dell Technologies and its wholly-owned subsidiaries,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accounts of VMware, Inc., Pivotal, and SecureWorks Corp. (“Secureworks”), each of which is majority-owned by Dell Technologies, except for Pivotal, which is a wholly-owned subsidiary of VMware, Inc. as of December 30, 2019 upon completion of the acquisition of Pivotal’s non-controlling interest. All intercompany transactions have been eliminated.</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accordance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reported in the Consolidated Financial Statements and the accompanying Notes. Actual results could differ materially from those estimates.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All highly liquid investments, including credit card receivables due from banks, with original maturities of 90 days or less at</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are reported at fair value and are considered to be cash equivalents. All other investments not considered to be cash equivalents are separately categorized as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All equity and other securities are recorded as long-term investments in the Consolidated Statements of Financial Position.</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Strategic investments in publicly-traded companies are recorded at fair value based on quoted prices in active markets. Strategic investments in privately-held companies without readily determinable fair values are recorded at cost, less impairment, and are adjusted for observable price changes. Fair value measurements and impairments for strategic investments are recognized in interest and other, net in the Consolidated Statements of Income (Loss).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recognizes an allowance for losses on accounts receivable in an amount equal to the estimated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net of recoveries. The allowance is based on an analysis of current receivables aging and expected future write-offs, as well as an assessment of specific identifiable customer accounts considered at risk or uncollectible. The expense associated with the allowance for doubtful accounts is recognized in selling, general, and administrative expenses.</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Accounting for Operating Leases as a Lessee — </w:t>
      </w:r>
      <w:r>
        <w:rPr>
          <w:rFonts w:ascii="Arial" w:cs="Arial" w:eastAsia="Arial" w:hAnsi="Arial"/>
          <w:sz w:val="16"/>
          <w:szCs w:val="16"/>
          <w:color w:val="auto"/>
        </w:rPr>
        <w:t>In its ordinary course of business, the Company enters into leases as a lessee for office buildings,</w:t>
      </w:r>
      <w:r>
        <w:rPr>
          <w:rFonts w:ascii="Arial" w:cs="Arial" w:eastAsia="Arial" w:hAnsi="Arial"/>
          <w:sz w:val="16"/>
          <w:szCs w:val="16"/>
          <w:i w:val="1"/>
          <w:iCs w:val="1"/>
          <w:color w:val="auto"/>
        </w:rPr>
        <w:t xml:space="preserve"> </w:t>
      </w:r>
      <w:r>
        <w:rPr>
          <w:rFonts w:ascii="Arial" w:cs="Arial" w:eastAsia="Arial" w:hAnsi="Arial"/>
          <w:sz w:val="16"/>
          <w:szCs w:val="16"/>
          <w:color w:val="auto"/>
        </w:rPr>
        <w:t>warehouses, employee vehicles, and equipment. The Company determines if an arrangement is a lease or contains a lease at inception.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inception,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 Incremental borrowing rates used to determine the present value of lease payments were derived by reference to the Company’s secured-debt yields corresponding to the lease commencement date.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37" w:right="339" w:bottom="1440" w:gutter="0" w:footer="0" w:header="0"/>
        </w:sectPr>
      </w:pPr>
    </w:p>
    <w:bookmarkStart w:id="98" w:name="page99"/>
    <w:bookmarkEnd w:id="98"/>
    <w:p>
      <w:pPr>
        <w:ind w:right="20"/>
        <w:spacing w:after="0" w:line="257" w:lineRule="auto"/>
        <w:rPr>
          <w:sz w:val="20"/>
          <w:szCs w:val="20"/>
          <w:color w:val="auto"/>
        </w:rPr>
      </w:pPr>
      <w:r>
        <w:rPr>
          <w:rFonts w:ascii="Arial" w:cs="Arial" w:eastAsia="Arial" w:hAnsi="Arial"/>
          <w:sz w:val="18"/>
          <w:szCs w:val="18"/>
          <w:color w:val="auto"/>
        </w:rPr>
        <w:t>The lease term may include options to extend or to terminate the lease that the Company is reasonably certain to exercise. Lease expense is recognized on a straight-line basis over the lease term in most instances. The Company has elected not to record leases with an initial term of 12 months or less on the Consolidated Statements of Financial Position. Lease expense on such leases is recognized on a straight-line basis over the lease term. The Company does not generate material sublease income and has no material related party leases. The Company’s lease agreements do not contain any material residual value guarantees or material restrictive covenants.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office building agreements contain costs such as common area maintenance and other executory costs that are variable in nature. Variable lease costs are expensed as incurred. The Company combines lease and non-lease components, such as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5 of the Notes to the Consolidated Financial Statements for additional information.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Accounting for Leases as a Lessor — </w:t>
      </w:r>
      <w:r>
        <w:rPr>
          <w:rFonts w:ascii="Arial" w:cs="Arial" w:eastAsia="Arial" w:hAnsi="Arial"/>
          <w:sz w:val="16"/>
          <w:szCs w:val="16"/>
          <w:color w:val="auto"/>
        </w:rPr>
        <w:t>The Company’s wholly-owned subsidiary Dell Financial Services and its affiliates (“DFS”) act as a lessor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financing to customers through a variety of lease arrangements (“DFS leases”). Subsequent to the adoption of amended accounting guidance for leasing transactions (the “new lease standard”), new DFS leases are classified as sales-type leases, direct financing leases, or operating leases. Direct financing leases under the new lease standard are immaterial. Leases that commenced prior to the adoption of the new lease standard were not reassessed or restated pursuant to the practical expedients elected and will continue to be accounted for under previous lease accounting guidance.</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a contract includes lease and non-lease components, DFS allocates consideration under the contract to each component based on relative standalone selling price. Whenever the terms of the lease transfer control to the lessee, the contract is typically classified as a sales-type lease. Through these arrangements, the lessee has the right to substantially all of the economic benefits from use of the identified asset and has the right to direct the use of such asset during the period of use. In many arrangements, the lessee also retains ownership at the end of the lease term. On commencement of sales-type leases, the Company recognizes profit up-front, and amounts due from the customer under the lease contract are recognized as financing receivables on the Consolidated Statements of Financial Position. Interest income is recognized as Net revenue over the term of the lease based on the effective interest method. The Company has elected not to include sales and other taxes collected from the lessee as part of lease revenue.</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other leases that do not meet the definition of a sales-type lease or direct financing lease are classified as operating leases. The underlying asset in an operating lease arrangement is carried at depreciated cost as “Equipment under operating leases”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Company recognizes operating lease revenue on a straight-line basis over the lease term and expenses deferred initial direct costs on the same basis. Impairment of equipment under operating leases is assessed on the same basis as other long-lived assets.</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DFS provides lessees with the option to extend the lease or purchase the underlying asset at the end of the lease term, which is considered when evaluating lease classification. In general, DFS’s lease arrangements do not have variable payment terms and are non-cancelable.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4 of the Notes to the Consolidated Financial Statements for more information regarding DFS leasing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341" w:right="359" w:bottom="1440" w:gutter="0" w:footer="0" w:header="0"/>
        </w:sectPr>
      </w:pPr>
    </w:p>
    <w:bookmarkStart w:id="99" w:name="page100"/>
    <w:bookmarkEnd w:id="99"/>
    <w:p>
      <w:pPr>
        <w:ind w:right="80"/>
        <w:spacing w:after="0" w:line="270" w:lineRule="auto"/>
        <w:rPr>
          <w:sz w:val="20"/>
          <w:szCs w:val="20"/>
          <w:color w:val="auto"/>
        </w:rPr>
      </w:pPr>
      <w:r>
        <w:rPr>
          <w:rFonts w:ascii="Arial" w:cs="Arial" w:eastAsia="Arial" w:hAnsi="Arial"/>
          <w:sz w:val="17"/>
          <w:szCs w:val="17"/>
          <w:i w:val="1"/>
          <w:iCs w:val="1"/>
          <w:color w:val="auto"/>
        </w:rPr>
        <w:t xml:space="preserve">Financing Receivables </w:t>
      </w:r>
      <w:r>
        <w:rPr>
          <w:rFonts w:ascii="Arial" w:cs="Arial" w:eastAsia="Arial" w:hAnsi="Arial"/>
          <w:sz w:val="17"/>
          <w:szCs w:val="17"/>
          <w:color w:val="auto"/>
        </w:rPr>
        <w:t>— Financing receivables are presented net of allowance for losses and consist of customer receivables and residual interest. Gross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receivables includes amounts due from customers under revolving loans, fixed-term loans, fixed-term sales-type or direct financing leases, and accrued interest. The Company has two portfolios, consisting of (1) fixed-term leases and loans and (2) revolving loans, and assesses risk at the portfolio level to determine the appropriate allowance levels. The portfolio segments are further segregated into classes based on products, customer type, and credit risk evaluation: (1) Revolving — Dell Preferred Account (“DPA”); (2) Revolving — Dell Business Credit (“DBC”); and (3) Fixed-term — Consumer and Commercial. Fixed-term leases and loans are offered to qualified small and medium-sized businesses, large commercial accounts, governmental organizations, and educational entities. Additionally, fixed-term loans are also offered to certain individual consumer customers. Revolving loans are offered under private label credit financing programs. The DPA revolving loan programs are primarily offered to individual consumers and the DBC revolving loan programs are primarily offered to small and medium-sized business customers.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 On a quarterly basis, the Company assesses the carrying amount of its recorded residual values for impairment. Anticipated declines in specific future residual values that are considered to be other-than-temporary are recorded currently in earnings. Generally, residual value risk on equipment under lease is not considered to be significant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The remarketing sales staff works closely with customers and dealers to manage the sale of lease returns and the recovery of residual exposure. As of January 31, 2020, the Company has not recorded significant residual value impairment.</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Allowance for Financing Receivables Losses </w:t>
      </w:r>
      <w:r>
        <w:rPr>
          <w:rFonts w:ascii="Arial" w:cs="Arial" w:eastAsia="Arial" w:hAnsi="Arial"/>
          <w:sz w:val="16"/>
          <w:szCs w:val="16"/>
          <w:color w:val="auto"/>
        </w:rPr>
        <w:t>— The Company recognizes an allowance for losses on financing receivables in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probable losses net of recoveries. The allowance for losses is generally determined at the aggregate portfolio level based on a variety of factors, including historical and anticipated experience, past due receivables, receivable type, and customer risk profile. Customer account principal and interest are charged to the allowance for losses when an account is deemed to be uncollectible or generally when the account is 180 days delinquent.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Both fixed and revolving receivable loss rates are affected by macroeconomic conditions, including the level of gross domestic product (“GDP”) growth, unemployment rates, the level of commercial capital equipment investment, and the credit quality of the borrower.</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Asset Securitization </w:t>
      </w:r>
      <w:r>
        <w:rPr>
          <w:rFonts w:ascii="Arial" w:cs="Arial" w:eastAsia="Arial" w:hAnsi="Arial"/>
          <w:sz w:val="16"/>
          <w:szCs w:val="16"/>
          <w:color w:val="auto"/>
        </w:rPr>
        <w:t>— The Company transfers certain U.S. and European customer loan and lease payments and associated equipment to Special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loan and lease payments and associated equipment in the capital markets. These SPEs have entered into financing arrangements with multi-seller conduits that, in turn, issue asset-backed debt securities in the capital markets. The asset securitizations in the SPEs are accounted for as secured borrowings. See Note 4 of the Notes to the Consolidated Financial Statements for additional information on the impact of the consolidation.</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with cost being determined on a first-in, first-out basis. Adjustments to reduce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inventory to its net realizable value are made, if required, for estimated excess, obsolescence, or impaired balances.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341" w:right="339" w:bottom="1440" w:gutter="0" w:footer="0" w:header="0"/>
        </w:sectPr>
      </w:pPr>
    </w:p>
    <w:bookmarkStart w:id="100" w:name="page101"/>
    <w:bookmarkEnd w:id="100"/>
    <w:p>
      <w:pPr>
        <w:jc w:val="both"/>
        <w:ind w:right="40"/>
        <w:spacing w:after="0" w:line="263"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carried at depreciated cost. Depreciation is determined using the straight-line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shorter of the estimated economic lives of the assets or the lease term. The estimated useful lives of the Company’s property, plant, and equipment are generally as follows: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6360" w:type="dxa"/>
            <w:vAlign w:val="bottom"/>
          </w:tcPr>
          <w:p>
            <w:pPr>
              <w:ind w:left="2340"/>
              <w:spacing w:after="0"/>
              <w:rPr>
                <w:sz w:val="20"/>
                <w:szCs w:val="20"/>
                <w:color w:val="auto"/>
              </w:rPr>
            </w:pPr>
            <w:r>
              <w:rPr>
                <w:rFonts w:ascii="Arial" w:cs="Arial" w:eastAsia="Arial" w:hAnsi="Arial"/>
                <w:sz w:val="18"/>
                <w:szCs w:val="18"/>
                <w:b w:val="1"/>
                <w:bCs w:val="1"/>
                <w:color w:val="auto"/>
              </w:rPr>
              <w:t>Estimated Useful Life</w:t>
            </w:r>
          </w:p>
        </w:tc>
      </w:tr>
      <w:tr>
        <w:trPr>
          <w:trHeight w:val="27"/>
        </w:trPr>
        <w:tc>
          <w:tcPr>
            <w:tcW w:w="4820" w:type="dxa"/>
            <w:vAlign w:val="bottom"/>
            <w:tcBorders>
              <w:bottom w:val="single" w:sz="8" w:color="CCEEFF"/>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Equipment under operating leases</w:t>
            </w:r>
          </w:p>
        </w:tc>
        <w:tc>
          <w:tcPr>
            <w:tcW w:w="6360" w:type="dxa"/>
            <w:vAlign w:val="bottom"/>
          </w:tcPr>
          <w:p>
            <w:pPr>
              <w:ind w:left="20"/>
              <w:spacing w:after="0"/>
              <w:rPr>
                <w:sz w:val="20"/>
                <w:szCs w:val="20"/>
                <w:color w:val="auto"/>
              </w:rPr>
            </w:pPr>
            <w:r>
              <w:rPr>
                <w:rFonts w:ascii="Arial" w:cs="Arial" w:eastAsia="Arial" w:hAnsi="Arial"/>
                <w:sz w:val="18"/>
                <w:szCs w:val="18"/>
                <w:color w:val="auto"/>
              </w:rPr>
              <w:t>Term of underlying lease contract</w:t>
            </w:r>
          </w:p>
        </w:tc>
      </w:tr>
      <w:tr>
        <w:trPr>
          <w:trHeight w:val="27"/>
        </w:trPr>
        <w:tc>
          <w:tcPr>
            <w:tcW w:w="482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10-30 years or term of underlying land lease</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360" w:type="dxa"/>
            <w:vAlign w:val="bottom"/>
          </w:tcPr>
          <w:p>
            <w:pPr>
              <w:ind w:left="20"/>
              <w:spacing w:after="0"/>
              <w:rPr>
                <w:sz w:val="20"/>
                <w:szCs w:val="20"/>
                <w:color w:val="auto"/>
              </w:rPr>
            </w:pPr>
            <w:r>
              <w:rPr>
                <w:rFonts w:ascii="Arial" w:cs="Arial" w:eastAsia="Arial" w:hAnsi="Arial"/>
                <w:sz w:val="18"/>
                <w:szCs w:val="18"/>
                <w:color w:val="auto"/>
              </w:rPr>
              <w:t>Shorter of 5-20 years or lease term</w:t>
            </w:r>
          </w:p>
        </w:tc>
      </w:tr>
      <w:tr>
        <w:trPr>
          <w:trHeight w:val="27"/>
        </w:trPr>
        <w:tc>
          <w:tcPr>
            <w:tcW w:w="482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7"/>
        </w:trPr>
        <w:tc>
          <w:tcPr>
            <w:tcW w:w="482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related to retirements or dispositions of fixed assets are recognized in the period during which the retirement or disposition occurs.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Capitalized Software Development Costs </w:t>
      </w:r>
      <w:r>
        <w:rPr>
          <w:rFonts w:ascii="Arial" w:cs="Arial" w:eastAsia="Arial" w:hAnsi="Arial"/>
          <w:sz w:val="18"/>
          <w:szCs w:val="18"/>
          <w:color w:val="auto"/>
        </w:rPr>
        <w:t>— Software development costs related to the development of new product offerings are capitalized subsequent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generally range from two to four years.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January 31, 2020 and February 1, 2019, capitalized software development costs were $679 million and $617 million, respectively, and are included in other non-current assets, net in the accompanying Consolidated Statements of Financial Position. Amortization expense for the fiscal years ended January 31, 2020, February 1, 2019, and February 2, 2018 was $273 million, $211 million, and $82 million, respectively.</w:t>
      </w:r>
    </w:p>
    <w:p>
      <w:pPr>
        <w:spacing w:after="0" w:line="16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 Company capitalizes certain internal and external costs to acquire or create internal use software which are incurred subsequent to the completion of the preliminary project stage. Development costs are amortized on a straight-line basis over the shorter of the expected useful life of the software or five years. Costs associated with maintenance and minor enhancements to the features and functionality of the Company’s website are expensed as incurred.</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reviews long-lived assets for impairment when events or changes in circumstances indicate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The assets and liabilities of acquired businesses are recorded at their fair values at the date of acquisition.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over the fair value of the tangible and intangible assets acquired and the liabilities assumed is recorded as goodwill. During the measurement period, which expires one year from the acquisition date, if new information is obtained about facts and circumstances that existed as of the acquisition date, cumulative changes in the estimated fair values of the net assets recorded may change the amount of the purchase price allocable to goodwill. If material, the amount will be adjusted in the reporting period in which the adjustment amount is determined. See Note 8 of the Notes to the Consolidated Financial Statements for more information on business combinations.</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In-process research and development costs are recorded at fair value as an indefinite-lived intangible asset and assessed for impairment thereafter until completion, at which point the asset is amortized over its expected useful life. All acquisition costs are expensed as incurred, and the results of operations of acquired businesses are included in the Consolidated Financial Statements from the acquisition date.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Intangible Assets Including Goodwill </w:t>
      </w:r>
      <w:r>
        <w:rPr>
          <w:rFonts w:ascii="Arial" w:cs="Arial" w:eastAsia="Arial" w:hAnsi="Arial"/>
          <w:sz w:val="18"/>
          <w:szCs w:val="18"/>
          <w:color w:val="auto"/>
        </w:rPr>
        <w:t>— Identifiable intangible assets with finite lives are amortized over their estimated useful lives. 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341" w:right="339" w:bottom="1440" w:gutter="0" w:footer="0" w:header="0"/>
        </w:sectPr>
      </w:pPr>
    </w:p>
    <w:bookmarkStart w:id="101" w:name="page102"/>
    <w:bookmarkEnd w:id="101"/>
    <w:p>
      <w:pPr>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majority of the Company’s international sales are made by international subsidiaries, some of which have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either the monthly average exchange rates in effect for the period in which the activity was recognized or the specific daily exchange rate associated with the date the transactions actually occur. Foreign currency translation adjustments are included as a component of accumulated other comprehensive income (loss) (“OCI”) in stockholders’ equity (deficit).</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w:t>
      </w:r>
    </w:p>
    <w:p>
      <w:pPr>
        <w:spacing w:after="0" w:line="184"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i w:val="1"/>
          <w:iCs w:val="1"/>
          <w:color w:val="auto"/>
        </w:rPr>
        <w:t xml:space="preserve">Hedging Instruments </w:t>
      </w:r>
      <w:r>
        <w:rPr>
          <w:rFonts w:ascii="Arial" w:cs="Arial" w:eastAsia="Arial" w:hAnsi="Arial"/>
          <w:sz w:val="16"/>
          <w:szCs w:val="16"/>
          <w:color w:val="auto"/>
        </w:rPr>
        <w:t>— The Company uses derivative financial instruments, primarily forward contracts, options, and swaps, to hedge certain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w:t>
      </w:r>
    </w:p>
    <w:p>
      <w:pPr>
        <w:spacing w:after="0" w:line="15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hedge portfolio includes non-designated derivatives and derivatives designated as cash flow hedges. For derivative instruments that are designated as cash flow hedges, the Company assesses hedge effectiveness at the onset of the hedge, then performs qualitative assessments at regular intervals throughout the life of the derivative. The gain or loss on cash flow hedges is recorded in accumulated other comprehensive income (loss), as a separate component of stockholders’ equity (deficit), and reclassified into earnings in the period during which the hedged transaction is recognized in earnings. For derivatives that are not designated as hedges or do not qualify for hedge accounting treatment, the Company recognizes the change in the instrument’s fair value currently in earnings as a component of interest and other, net.</w:t>
      </w:r>
    </w:p>
    <w:p>
      <w:pPr>
        <w:spacing w:after="0" w:line="17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Cash flows from derivative instruments are presented in the same category on the Consolidated Statements of Cash Flows as the cash flows from the underlying hedged items. See Note 7 of the Notes to the Consolidated Financial Statements for a description of the Company’s derivative financial instrument activities.</w:t>
      </w:r>
    </w:p>
    <w:p>
      <w:pPr>
        <w:spacing w:after="0" w:line="184" w:lineRule="exact"/>
        <w:rPr>
          <w:sz w:val="20"/>
          <w:szCs w:val="20"/>
          <w:color w:val="auto"/>
        </w:rPr>
      </w:pPr>
    </w:p>
    <w:p>
      <w:pPr>
        <w:jc w:val="both"/>
        <w:ind w:right="78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sells a wide portfolio of products and services to its customers. The Company’s agreements have varying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depending on the goods and services being sold, the rights and obligations conveyed, and the legal jurisdiction of the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for these arrangements based on the following five steps:</w:t>
      </w:r>
    </w:p>
    <w:p>
      <w:pPr>
        <w:spacing w:after="0" w:line="225" w:lineRule="exact"/>
        <w:rPr>
          <w:sz w:val="20"/>
          <w:szCs w:val="20"/>
          <w:color w:val="auto"/>
        </w:rPr>
      </w:pPr>
    </w:p>
    <w:p>
      <w:pPr>
        <w:ind w:left="660" w:hanging="328"/>
        <w:spacing w:after="0" w:line="253"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Identify the contract with a customer. </w:t>
      </w:r>
      <w:r>
        <w:rPr>
          <w:rFonts w:ascii="Arial" w:cs="Arial" w:eastAsia="Arial" w:hAnsi="Arial"/>
          <w:sz w:val="18"/>
          <w:szCs w:val="18"/>
          <w:color w:val="auto"/>
        </w:rPr>
        <w:t>The term “contract” refers to the enforceable rights and obligations provided in an agreement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 customer in exchange for payment. 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96" w:lineRule="exact"/>
        <w:rPr>
          <w:rFonts w:ascii="Arial" w:cs="Arial" w:eastAsia="Arial" w:hAnsi="Arial"/>
          <w:sz w:val="18"/>
          <w:szCs w:val="18"/>
          <w:i w:val="1"/>
          <w:iCs w:val="1"/>
          <w:color w:val="auto"/>
        </w:rPr>
      </w:pPr>
    </w:p>
    <w:p>
      <w:pPr>
        <w:ind w:left="660" w:hanging="328"/>
        <w:spacing w:after="0" w:line="273" w:lineRule="auto"/>
        <w:tabs>
          <w:tab w:leader="none" w:pos="66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performance obligations in the contract. </w:t>
      </w:r>
      <w:r>
        <w:rPr>
          <w:rFonts w:ascii="Arial" w:cs="Arial" w:eastAsia="Arial" w:hAnsi="Arial"/>
          <w:sz w:val="17"/>
          <w:szCs w:val="17"/>
          <w:color w:val="auto"/>
        </w:rPr>
        <w:t>The Company’s contracts with customer often include the promise to transfer multiple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to a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341" w:right="379" w:bottom="1440" w:gutter="0" w:footer="0" w:header="0"/>
        </w:sectPr>
      </w:pPr>
    </w:p>
    <w:bookmarkStart w:id="102" w:name="page103"/>
    <w:bookmarkEnd w:id="102"/>
    <w:p>
      <w:pPr>
        <w:ind w:left="660" w:right="40"/>
        <w:spacing w:after="0" w:line="272" w:lineRule="auto"/>
        <w:rPr>
          <w:sz w:val="20"/>
          <w:szCs w:val="20"/>
          <w:color w:val="auto"/>
        </w:rPr>
      </w:pPr>
      <w:r>
        <w:rPr>
          <w:rFonts w:ascii="Arial" w:cs="Arial" w:eastAsia="Arial" w:hAnsi="Arial"/>
          <w:sz w:val="17"/>
          <w:szCs w:val="17"/>
          <w:color w:val="auto"/>
        </w:rPr>
        <w:t>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warranties,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177" w:lineRule="exact"/>
        <w:rPr>
          <w:sz w:val="20"/>
          <w:szCs w:val="20"/>
          <w:color w:val="auto"/>
        </w:rPr>
      </w:pPr>
    </w:p>
    <w:p>
      <w:pPr>
        <w:ind w:left="660" w:hanging="328"/>
        <w:spacing w:after="0" w:line="257"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reflects the amount of consideration to which the Company expects to be entitled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187" w:lineRule="exact"/>
        <w:rPr>
          <w:rFonts w:ascii="Arial" w:cs="Arial" w:eastAsia="Arial" w:hAnsi="Arial"/>
          <w:sz w:val="18"/>
          <w:szCs w:val="18"/>
          <w:i w:val="1"/>
          <w:iCs w:val="1"/>
          <w:color w:val="auto"/>
        </w:rPr>
      </w:pPr>
    </w:p>
    <w:p>
      <w:pPr>
        <w:ind w:left="660" w:right="160" w:hanging="328"/>
        <w:spacing w:after="0" w:line="279" w:lineRule="auto"/>
        <w:tabs>
          <w:tab w:leader="none" w:pos="6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Allocate the transaction price to performance obligations in the contract. </w:t>
      </w:r>
      <w:r>
        <w:rPr>
          <w:rFonts w:ascii="Arial" w:cs="Arial" w:eastAsia="Arial" w:hAnsi="Arial"/>
          <w:sz w:val="17"/>
          <w:szCs w:val="17"/>
          <w:color w:val="auto"/>
        </w:rPr>
        <w:t>When a contract includes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171" w:lineRule="exact"/>
        <w:rPr>
          <w:rFonts w:ascii="Arial" w:cs="Arial" w:eastAsia="Arial" w:hAnsi="Arial"/>
          <w:sz w:val="17"/>
          <w:szCs w:val="17"/>
          <w:i w:val="1"/>
          <w:iCs w:val="1"/>
          <w:color w:val="auto"/>
        </w:rPr>
      </w:pPr>
    </w:p>
    <w:p>
      <w:pPr>
        <w:ind w:left="660" w:right="44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187" w:lineRule="exact"/>
        <w:rPr>
          <w:rFonts w:ascii="Arial" w:cs="Arial" w:eastAsia="Arial" w:hAnsi="Arial"/>
          <w:sz w:val="17"/>
          <w:szCs w:val="17"/>
          <w:i w:val="1"/>
          <w:iCs w:val="1"/>
          <w:color w:val="auto"/>
        </w:rPr>
      </w:pPr>
    </w:p>
    <w:p>
      <w:pPr>
        <w:ind w:left="660" w:right="60" w:hanging="328"/>
        <w:spacing w:after="0" w:line="255"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Recognize revenue when (or as) the performance obligation is satisfied. </w:t>
      </w:r>
      <w:r>
        <w:rPr>
          <w:rFonts w:ascii="Arial" w:cs="Arial" w:eastAsia="Arial" w:hAnsi="Arial"/>
          <w:sz w:val="18"/>
          <w:szCs w:val="18"/>
          <w:color w:val="auto"/>
        </w:rPr>
        <w:t>Revenue is recognized when obligations under the terms of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the following practical expedients with the adoption of the new revenue standard:</w:t>
      </w:r>
    </w:p>
    <w:p>
      <w:pPr>
        <w:spacing w:after="0" w:line="225" w:lineRule="exact"/>
        <w:rPr>
          <w:sz w:val="20"/>
          <w:szCs w:val="20"/>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does not account for significant financing components if the period between revenue recognition and when the customer pays for the product or service will be one year or less.</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recognizes revenue equal to the amount it has a right to invoice when the amount corresponds directly with the value to the customer of the Company’s performance to date.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does not account for shipping and handling activities as a separate performance obligation, but rather as an activity performed to transfer the promised good.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following summarizes the nature of revenue recognized and the manner in which the Company accounts for sales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340" w:right="220"/>
        <w:spacing w:after="0" w:line="279" w:lineRule="auto"/>
        <w:rPr>
          <w:sz w:val="20"/>
          <w:szCs w:val="20"/>
          <w:color w:val="auto"/>
        </w:rPr>
      </w:pPr>
      <w:r>
        <w:rPr>
          <w:rFonts w:ascii="Arial" w:cs="Arial" w:eastAsia="Arial" w:hAnsi="Arial"/>
          <w:sz w:val="17"/>
          <w:szCs w:val="17"/>
          <w:color w:val="auto"/>
        </w:rPr>
        <w:t>Product revenue consists of hardware and software license sales that are delivered, sold as a subscription, or sold on a consumption basis. Hardware includes notebooks and desktop PCs, servers, storage hardware, and other hardware-related devices. Software license sales include non-essential software applications. Software applications provide customers with resource management, backup and archiving, information security, information management and intelligence, data analytics, and server virtualization capabilities.</w:t>
      </w:r>
    </w:p>
    <w:p>
      <w:pPr>
        <w:spacing w:after="0" w:line="171"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Revenue from the sale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be over time. Invoices for products are generally issued as control transfers, which is typically upon shipment or delivery. There was no significant revenue in any period presented related to performance obligations satisfied or partially satisfied in prior periods.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192"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Invoices for services may be issued at the start of a service term, which is typically the case for support and deployment services, or as services are rendered, which is typically the case for professional services, training, SaaS, and IaaS.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Revenue from leasing arrangements is not subject to the revenue standard for contracts with customers and remains separately accounted for under existing lease accounting guidance. The Company records operating lease rental revenue as product revenue on a straight-line basis over the lease term. The Company records revenue from the sale of equipment under sales-type leases as product revenue in an amount equal to the present value of minimum lease payments at the inception of the lease. Sales-type leases also produce financing income, which is included in products net revenue in the Consolidated Statements of Income (Loss)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products net revenue on an accrual basis.</w:t>
      </w:r>
    </w:p>
    <w:p>
      <w:pPr>
        <w:spacing w:after="0" w:line="17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Disaggregation of Revenue </w:t>
      </w:r>
      <w:r>
        <w:rPr>
          <w:rFonts w:ascii="Arial" w:cs="Arial" w:eastAsia="Arial" w:hAnsi="Arial"/>
          <w:sz w:val="17"/>
          <w:szCs w:val="17"/>
          <w:color w:val="auto"/>
        </w:rPr>
        <w:t>— The Company’s revenue is presented on a disaggregated basis on the Consolidated Statements of Income (Loss) and in Note</w:t>
      </w:r>
      <w:r>
        <w:rPr>
          <w:rFonts w:ascii="Arial" w:cs="Arial" w:eastAsia="Arial" w:hAnsi="Arial"/>
          <w:sz w:val="17"/>
          <w:szCs w:val="17"/>
          <w:i w:val="1"/>
          <w:iCs w:val="1"/>
          <w:color w:val="auto"/>
        </w:rPr>
        <w:t xml:space="preserve"> </w:t>
      </w:r>
      <w:r>
        <w:rPr>
          <w:rFonts w:ascii="Arial" w:cs="Arial" w:eastAsia="Arial" w:hAnsi="Arial"/>
          <w:sz w:val="17"/>
          <w:szCs w:val="17"/>
          <w:color w:val="auto"/>
        </w:rPr>
        <w:t>19 of 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products and services, revenue from reportable segments, and revenue by major product categories within the segments.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341" w:right="359" w:bottom="1440" w:gutter="0" w:footer="0" w:header="0"/>
        </w:sectPr>
      </w:pPr>
    </w:p>
    <w:bookmarkStart w:id="104" w:name="page105"/>
    <w:bookmarkEnd w:id="104"/>
    <w:p>
      <w:pPr>
        <w:ind w:right="10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the Company has transferred to a customer when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a right is conditional on something other than the passage of time. Such amounts have been insignificant to date.</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Contract liabilities primarily consist of deferred revenue. Deferred revenue is recorded when the Company has a right to invoice 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have been received for undelivered products or services, or in situations where revenue recognition criteria have not been met. Deferred revenue also represents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9 of the Notes to the Consolidated Financial Statements for additional information about deferred revenue.</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Costs to Obtain a Contract </w:t>
      </w:r>
      <w:r>
        <w:rPr>
          <w:rFonts w:ascii="Arial" w:cs="Arial" w:eastAsia="Arial" w:hAnsi="Arial"/>
          <w:sz w:val="16"/>
          <w:szCs w:val="16"/>
          <w:color w:val="auto"/>
        </w:rPr>
        <w:t>— The incremental direct costs of obtaining a contract primarily consist of sales commissions and employer taxes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payments. The Company has elected, as a practical expedient, to expense as incurred costs to obtain a contract equal to or less than one year in duration. For contracts greater than one year in duration, the associated costs to obtain a contract are deferred and amortized over the period of contract performance or a longer period, generally the estimated life of the customer relationship, if renewals are expected and the renewal commission is not commensurate with the initial commission. Deferred costs to obtain a contract are typically amortized over an average period of three to seven years, depending on the contract term and expectation of the period of benefit for the costs, which may exceed the contract term. Amortization expense is recognized on a straight-line basis and included in selling, general, and administrative expenses in the Consolidated Statements of Income (Loss).</w:t>
      </w:r>
    </w:p>
    <w:p>
      <w:pPr>
        <w:spacing w:after="0" w:line="16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January 31, 2020, February 1, 2019, and February 2, 2018.</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Deferred costs to obtain a contract as of January 31, 2020 and February 1, 2019 were $1.6 billion and $1.3 billion,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January 31, 2020, February 1, 2019, and February 2, 2018 was $675 million, $517 million, and $292 million, respectively.</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Standard Warranty Liabilities </w:t>
      </w:r>
      <w:r>
        <w:rPr>
          <w:rFonts w:ascii="Arial" w:cs="Arial" w:eastAsia="Arial" w:hAnsi="Arial"/>
          <w:sz w:val="16"/>
          <w:szCs w:val="16"/>
          <w:color w:val="auto"/>
        </w:rPr>
        <w:t>— The Company records warranty liabilities for estimated costs of fulfilling its obligations under standard limited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software warranties at the time of sale. The liability for standard warranties is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liability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18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17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color w:val="auto"/>
        </w:rPr>
        <w:t xml:space="preserve">Vendor Rebates and Settlements </w:t>
      </w:r>
      <w:r>
        <w:rPr>
          <w:rFonts w:ascii="Arial" w:cs="Arial" w:eastAsia="Arial" w:hAnsi="Arial"/>
          <w:sz w:val="16"/>
          <w:szCs w:val="16"/>
          <w:color w:val="auto"/>
        </w:rPr>
        <w:t>— The Company may receive consideration from vendors in the normal course of business. Certain of these funds are</w:t>
      </w:r>
      <w:r>
        <w:rPr>
          <w:rFonts w:ascii="Arial" w:cs="Arial" w:eastAsia="Arial" w:hAnsi="Arial"/>
          <w:sz w:val="16"/>
          <w:szCs w:val="16"/>
          <w:i w:val="1"/>
          <w:iCs w:val="1"/>
          <w:color w:val="auto"/>
        </w:rPr>
        <w:t xml:space="preserve"> </w:t>
      </w:r>
      <w:r>
        <w:rPr>
          <w:rFonts w:ascii="Arial" w:cs="Arial" w:eastAsia="Arial" w:hAnsi="Arial"/>
          <w:sz w:val="16"/>
          <w:szCs w:val="16"/>
          <w:color w:val="auto"/>
        </w:rPr>
        <w:t>rebates 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such costs, most often operating expenses, in the Consolidated Statements of Income (Loss). In order to be recognized as a reduction of operating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41"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expenses, the reimbursement must be for a specific, incremental, and identifiable cost incurred by the Company in selling the vendor’s products or services.</w:t>
      </w:r>
    </w:p>
    <w:p>
      <w:pPr>
        <w:spacing w:after="0" w:line="2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The Company is subject to the possibility of various losses arising in the ordinary course of business. The Company considers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Shipping Costs </w:t>
      </w:r>
      <w:r>
        <w:rPr>
          <w:rFonts w:ascii="Arial" w:cs="Arial" w:eastAsia="Arial" w:hAnsi="Arial"/>
          <w:sz w:val="17"/>
          <w:szCs w:val="17"/>
          <w:color w:val="auto"/>
        </w:rPr>
        <w:t>— The Company’s shipping and handling costs are included in cost of net revenue in the Consolidated Statements of Income (Loss).</w:t>
      </w:r>
    </w:p>
    <w:p>
      <w:pPr>
        <w:spacing w:after="0" w:line="2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 Selling expenses include items such as sales salaries and commissions, marketing and advertising costs, contractor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allowance for doubtful accounts. Advertising costs are expensed as incurred in selling, general, and administrative expenses in the Consolidated Statements of Income (Loss). For the fiscal years ended January 31, 2020, February 1, 2019, and February 2, 2018, advertising expenses were $1.3 billion, $1.1 billion, and $1.0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spacing w:after="0" w:line="16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Research and development (“R&amp;D”) costs are expensed as incurred. R&amp;D costs include salaries and benefits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associated with product development. Also included in R&amp;D expenses are infrastructure costs, which consist of equipment and material costs, facilities-related costs, and depreciation expense.</w:t>
      </w:r>
    </w:p>
    <w:p>
      <w:pPr>
        <w:spacing w:after="0" w:line="1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recorded based on the difference between the financial statement and tax basis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would be charged to earnings in the period in which such a determination is made.</w:t>
      </w:r>
    </w:p>
    <w:p>
      <w:pPr>
        <w:spacing w:after="0" w:line="19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measures stock-based compensation expense for all share-based awards granted based on the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those awards at grant date. The Company estimates the fair value of service-based stock options using the Black-Scholes valuation model. To estimate the fair value of performance-based awards containing a market condition, the Company uses the Monte Carlo valuation model. The fair value of all other share-based awards is based on the closing price of the Class C Common Stock as reported on the NYSE on the date of grant.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341" w:right="339" w:bottom="1440" w:gutter="0" w:footer="0" w:header="0"/>
        </w:sectPr>
      </w:pPr>
    </w:p>
    <w:bookmarkStart w:id="106" w:name="page107"/>
    <w:bookmarkEnd w:id="106"/>
    <w:p>
      <w:pPr>
        <w:spacing w:after="0" w:line="257" w:lineRule="auto"/>
        <w:rPr>
          <w:sz w:val="20"/>
          <w:szCs w:val="20"/>
          <w:color w:val="auto"/>
        </w:rPr>
      </w:pPr>
      <w:r>
        <w:rPr>
          <w:rFonts w:ascii="Arial" w:cs="Arial" w:eastAsia="Arial" w:hAnsi="Arial"/>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 See Note 16 of the Notes to the Consolidated Financial Statements for further discussion of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Measurement of Credit Losses on Financial Instruments — </w:t>
      </w:r>
      <w:r>
        <w:rPr>
          <w:rFonts w:ascii="Arial" w:cs="Arial" w:eastAsia="Arial" w:hAnsi="Arial"/>
          <w:sz w:val="18"/>
          <w:szCs w:val="18"/>
          <w:color w:val="auto"/>
        </w:rPr>
        <w:t>In June 2016, the Financial Accounting Standards Board (“FASB”) issued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replaces the current incurred loss impairment methodology for measurement of credit losses on financial instruments with a methodology that reflects expected credit losses and requires consideration of a broader range of reasonable and supportable information to inform credit loss estimates. Public entities must adopt the new guidance for fiscal years beginning after December 15, 2019, and interim periods within those fiscal years, with early adoption permitted for fiscal periods beginning after December 15, 2018. Adoption of the standard will be applied using a modified retrospective approach through a cumulative-effect adjustment to accumulated deficit as of the effective date beginning February 1, 2020. The Company expects the adoption of this guidance to have an immaterial impact on accounts receivable, net, financing receivables, net, and accumulated deficit in the Consolidated Financial Statements.</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Intangibles - Goodwill and Other - Internal-Use Software </w:t>
      </w:r>
      <w:r>
        <w:rPr>
          <w:rFonts w:ascii="Arial" w:cs="Arial" w:eastAsia="Arial" w:hAnsi="Arial"/>
          <w:sz w:val="17"/>
          <w:szCs w:val="17"/>
          <w:color w:val="auto"/>
        </w:rPr>
        <w:t>— In August 2018, the FASB issued guidance on a customer’s accounting for implementation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incurred in a cloud-computing arrangement when hosted by a vendor. In a hosting arrangement that is a service contract, certain implementation costs should be capitalized and amortized over the term of the arrangement. Public entities must adopt the new guidance for fiscal years beginning after December 15, 2019, and interim periods within those fiscal years, with early adoption permitted for fiscal periods beginning after December 15, 2018. The Company will adopt this standard using the prospective approach as of the effective date beginning February 1, 2020, and does not expect adoption to have a material impact on the Consolidated Financial Statements.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Simplifying Accounting for Income Taxes </w:t>
      </w:r>
      <w:r>
        <w:rPr>
          <w:rFonts w:ascii="Arial" w:cs="Arial" w:eastAsia="Arial" w:hAnsi="Arial"/>
          <w:sz w:val="18"/>
          <w:szCs w:val="18"/>
          <w:color w:val="auto"/>
        </w:rPr>
        <w:t>— In December 2019, the FASB issued guidance to simplify the accounting for income taxes by removing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exceptions to the general principles in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by clarifying and amending existing guidance in order to improve consistent application of GAAP for other areas of Topic 740. Public entities must adopt the new guidance for fiscal years beginning after December 15, 2020, and interim periods within those fiscal years, with early adoption permitted for fiscal periods beginning after December 15, 2019. The Company is currently evaluating the impact and timing of adoption of this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amended guidance on the accounting for leasing transactions. The primary objective of this update is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transparency and comparability among organizations by requiring lessees to recognize a lease liability for the obligation to make lease payments and an ROU asset for the right to use the underlying asset for the lease term. The guidance also results in some changes to lessor accounting and requires additional disclosures about all leasing arrangements.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Company adopted the new lease standard as of February 2, 2019 using the modified retrospective approach, with the cumulative-effect adjustment to the opening balance of stockholders’ equity (deficit) as of the adoption date. The Company elected to apply the practical expedient using the transition option whereby prior comparative periods were not retrospectively adjusted in the Consolidated Financial Statements. Accordingly, prior comparative periods have not been adjusted in the Consolidated Financial Statements. The Company also elected the package of practical expedients that does not require reassessment of initial direct costs, classification of a lease, and definition of a lease.</w:t>
      </w:r>
    </w:p>
    <w:p>
      <w:pPr>
        <w:spacing w:after="0" w:line="1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adoption of the new lease standard resulted in the recognition of $1.6 billion in operating lease liabilities and related ROU assets on the Consolidated Statements of Financial Position. The Company recorded an immaterial adjustment to stockholders’ equity (deficit) as of February 2, 2019 to reflect the cumulative effect of adoption of the new lease standard. As of February 2, 2019, there were no material finance leases for which the Company was a lessee.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341" w:right="339" w:bottom="1440" w:gutter="0" w:footer="0" w:header="0"/>
        </w:sectPr>
      </w:pPr>
    </w:p>
    <w:bookmarkStart w:id="107" w:name="page108"/>
    <w:bookmarkEnd w:id="107"/>
    <w:p>
      <w:pPr>
        <w:ind w:right="20"/>
        <w:spacing w:after="0" w:line="259" w:lineRule="auto"/>
        <w:rPr>
          <w:sz w:val="20"/>
          <w:szCs w:val="20"/>
          <w:color w:val="auto"/>
        </w:rPr>
      </w:pPr>
      <w:r>
        <w:rPr>
          <w:rFonts w:ascii="Arial" w:cs="Arial" w:eastAsia="Arial" w:hAnsi="Arial"/>
          <w:sz w:val="18"/>
          <w:szCs w:val="18"/>
          <w:color w:val="auto"/>
        </w:rPr>
        <w:t>In the area of lessor accounting, as of February 2, 2019, the Company began to originate operating leases due to the elimination of third-party residual value guarantee insurance from the sales-type lease classification test. Leases that commenced prior to the adoption of the new lease standard were not reassessed or restated pursuant to the practical expedients elected. Accordingly, there was no cumulative adjustment to stockholders’ equity (deficit) related to lessor accounting.</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4 and Note 5 of the Notes to the Consolidated Financial Statements for additional information about the Company’s leases from a lessor and lessee perspective, respectively.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Revenue from Contracts with Customers — </w:t>
      </w:r>
      <w:r>
        <w:rPr>
          <w:rFonts w:ascii="Arial" w:cs="Arial" w:eastAsia="Arial" w:hAnsi="Arial"/>
          <w:sz w:val="17"/>
          <w:szCs w:val="17"/>
          <w:color w:val="auto"/>
        </w:rPr>
        <w:t>In May 2014, the FASB issued amended guidance on the recognition of revenue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standard established a single comprehensive model for entities to use in accounting for revenue arising from contracts with customers and supersedes substantially all of the previous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The Company adopted these standards during the three months ended May 4, 2018 using the full retrospective method, which requires the Company to recast each prior period presented consistent with the new guidance. The Company recorded a credit of approximately $1 billion to retained earnings as of January 29, 2016 to reflect the cumulative effect of the adoption.</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 In January 2016, the FASB issued amended guidance that generally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fair value of equity investments, other than those accounted for under the equity method, to be recognized through net income, rather than other comprehensive income. For equity investments without readily determinable fair values, the Company is no longer permitted to use the cost method of accounting. The Company has elected to apply the measurement alternative for those investments. Under the alternative, the Company measures investments without readily determinable fair values at cost, less impairment, adjusted by observable price changes on a prospective basis. The Company must make a separate election to use the alternative for each eligible investment and is required to reassess at each reporting period whether an investment qualifies for the alternative. The Company adopted this standard during the three months ended May 4, 2018. Adoption of the standard was applied through a cumulative one-time adjustment to accumulated deficit of $56 million for the accumulated unrealized gain previously recorded in other comprehensive income.</w:t>
      </w:r>
    </w:p>
    <w:p>
      <w:pPr>
        <w:spacing w:after="0" w:line="1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 In August 2016, the FASB issued amended guidance on the presentation and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eight specific cash flow issues with the objective of reducing existing diversity in practice. Companies should reflect any adjustments on a retrospective basis, if practicable; otherwise, adoption is required to be applied as of the earliest date practicable. The Company adopted this standard during the three months ended May 4, 2018.</w:t>
      </w:r>
    </w:p>
    <w:p>
      <w:pPr>
        <w:spacing w:after="0" w:line="18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i w:val="1"/>
          <w:iCs w:val="1"/>
          <w:color w:val="auto"/>
        </w:rPr>
        <w:t xml:space="preserve">Statement of Cash Flows, Restricted Cash </w:t>
      </w:r>
      <w:r>
        <w:rPr>
          <w:rFonts w:ascii="Arial" w:cs="Arial" w:eastAsia="Arial" w:hAnsi="Arial"/>
          <w:sz w:val="17"/>
          <w:szCs w:val="17"/>
          <w:color w:val="auto"/>
        </w:rPr>
        <w:t>— In November 2016, the FASB issued amended guidance requiring entities to include restricted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equivalents in cash balances on the cash flow statement, and also to provide a supplemental reconciliation of cash, cash equivalents, and restricted cash. Public entities must adopt the new guidance for fiscal years, and interim periods within those fiscal years, beginning after December 15, 2017, with early adoption permitted. The Company adopted this standard during the three months ended May 4, 2018. See Note 20 of the Notes to the Consolidated Financial Statements for supplemental cash flow information.</w:t>
      </w:r>
    </w:p>
    <w:p>
      <w:pPr>
        <w:spacing w:after="0" w:line="17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Intra-Entity Transfers of Assets Other Than Inventory </w:t>
      </w:r>
      <w:r>
        <w:rPr>
          <w:rFonts w:ascii="Arial" w:cs="Arial" w:eastAsia="Arial" w:hAnsi="Arial"/>
          <w:sz w:val="18"/>
          <w:szCs w:val="18"/>
          <w:color w:val="auto"/>
        </w:rPr>
        <w:t>— In October 2016, the FASB issued amended guidance on the accounting for income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companies to recognize the income tax effects of intra-entity asset transfers, other than transfers of inventory, when the transfer occurs instead of when the asset is sold to a third party. The new guidance should be applied on a modified-retrospective basis with the cumulative-effect adjustment to retained earnings as of the beginning of the period of adoption. The Company early adopted this guidance during the three months ended May 5, 2017. At adoption, approximately $84 million was reclassified from other non-current liabilities to retained earnings, resulting in a net credit to retained earnings.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341" w:right="339" w:bottom="1440" w:gutter="0" w:footer="0" w:header="0"/>
        </w:sectPr>
      </w:pPr>
    </w:p>
    <w:bookmarkStart w:id="108" w:name="page109"/>
    <w:bookmarkEnd w:id="108"/>
    <w:p>
      <w:pPr>
        <w:ind w:right="40"/>
        <w:spacing w:after="0" w:line="291" w:lineRule="auto"/>
        <w:rPr>
          <w:sz w:val="20"/>
          <w:szCs w:val="20"/>
          <w:color w:val="auto"/>
        </w:rPr>
      </w:pPr>
      <w:r>
        <w:rPr>
          <w:rFonts w:ascii="Arial" w:cs="Arial" w:eastAsia="Arial" w:hAnsi="Arial"/>
          <w:sz w:val="16"/>
          <w:szCs w:val="16"/>
          <w:i w:val="1"/>
          <w:iCs w:val="1"/>
          <w:color w:val="auto"/>
        </w:rPr>
        <w:t xml:space="preserve">Simplifying the Test for Goodwill Impairment — </w:t>
      </w:r>
      <w:r>
        <w:rPr>
          <w:rFonts w:ascii="Arial" w:cs="Arial" w:eastAsia="Arial" w:hAnsi="Arial"/>
          <w:sz w:val="16"/>
          <w:szCs w:val="16"/>
          <w:color w:val="auto"/>
        </w:rPr>
        <w:t>In January 2017, the FASB issued amended guidance to simplify the subsequent measurement of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by removing Step 2 of the goodwill impairment test. Instead, under the amendments in the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Public entities must adopt the new guidance in fiscal years beginning after December 15, 2019, with early adoption permitted. In conjunction with its annual goodwill and indefinite-lived intangible assets impairment testing which occurs during the third fiscal quarter of each year, the Company elected to early adopt this guidance during the three months ended November 2, 2018. See Note 8 of the Notes to the Consolidated Financial Statements for additional information about goodwill impairment testing.</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Derivatives and Hedging — </w:t>
      </w:r>
      <w:r>
        <w:rPr>
          <w:rFonts w:ascii="Arial" w:cs="Arial" w:eastAsia="Arial" w:hAnsi="Arial"/>
          <w:sz w:val="16"/>
          <w:szCs w:val="16"/>
          <w:color w:val="auto"/>
        </w:rPr>
        <w:t>In August 2017, the FASB issued amended guidance that will make more financial and non-financial hedging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for hedge accounting. The amended guidance changes how companies assess effectiveness, and also amends the presentation and disclosure requirements. The guidance is intended to simplify the application of hedge accounting and increase transparency as to the scope and results of hedging programs. Immediate early adoption is permitted in any interim or annual period. The Company elected to early adopt this standard during the three months ended May 4, 2018. The impact of the adoption of the standard was immaterial to the Consolidated Financial Statements.</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Income Statement - Reporting Comprehensive Income </w:t>
      </w:r>
      <w:r>
        <w:rPr>
          <w:rFonts w:ascii="Arial" w:cs="Arial" w:eastAsia="Arial" w:hAnsi="Arial"/>
          <w:sz w:val="17"/>
          <w:szCs w:val="17"/>
          <w:color w:val="auto"/>
        </w:rPr>
        <w:t>— In February 2018, the FASB issued guidance that will permit entities to reclassify the tax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in accumulated other comprehensive income to accumulated deficit as a result of U.S. Tax Reform, discussed in Note 11 of the Notes to the Consolidated Financial Statements. The guidance gives entities the option to reclassify these amounts, but requires new disclosures regardless of whether they elect to do so. The guidance is effective for fiscal years beginning after December 15, 2018, and interim periods within those fiscal years. The Company elected to early adopt this standard during the three months ended May 4, 2018 and recorded the impact of the adoption as a cumulative adjustment to accumulated deficit. The impact of the adoption was immaterial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341"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hierarchy for its assets and liabilities measured at fair value on a recurring basis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32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b w:val="1"/>
                <w:bCs w:val="1"/>
                <w:color w:val="auto"/>
                <w:w w:val="92"/>
              </w:rPr>
              <w:t>Total</w:t>
            </w:r>
          </w:p>
        </w:tc>
      </w:tr>
      <w:tr>
        <w:trPr>
          <w:trHeight w:val="27"/>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5"/>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w w:val="91"/>
              </w:rPr>
              <w:t>Quoted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65" w:lineRule="exact"/>
              <w:rPr>
                <w:sz w:val="20"/>
                <w:szCs w:val="20"/>
                <w:color w:val="auto"/>
              </w:rPr>
            </w:pPr>
            <w:r>
              <w:rPr>
                <w:rFonts w:ascii="Arial" w:cs="Arial" w:eastAsia="Arial" w:hAnsi="Arial"/>
                <w:sz w:val="15"/>
                <w:szCs w:val="15"/>
                <w:b w:val="1"/>
                <w:bCs w:val="1"/>
                <w:color w:val="auto"/>
                <w:w w:val="91"/>
              </w:rPr>
              <w:t>Quoted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8"/>
              </w:rPr>
              <w:t>Prices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8"/>
              </w:rPr>
              <w:t>Prices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in Active</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2"/>
        </w:trPr>
        <w:tc>
          <w:tcPr>
            <w:tcW w:w="2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5"/>
              </w:rPr>
              <w:t>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3"/>
              </w:rPr>
              <w:t>Inputs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41"/>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5,221</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Equity and other securities</w:t>
            </w:r>
          </w:p>
        </w:tc>
        <w:tc>
          <w:tcPr>
            <w:tcW w:w="14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7"/>
                <w:szCs w:val="17"/>
                <w:color w:val="auto"/>
              </w:rPr>
              <w:t>334</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w:t>
            </w:r>
          </w:p>
        </w:tc>
      </w:tr>
      <w:tr>
        <w:trPr>
          <w:trHeight w:val="283"/>
        </w:trPr>
        <w:tc>
          <w:tcPr>
            <w:tcW w:w="2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4,633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4,714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5,535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5,652</w:t>
            </w:r>
          </w:p>
        </w:tc>
      </w:tr>
      <w:tr>
        <w:trPr>
          <w:trHeight w:val="22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ind w:left="600"/>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14"/>
              <w:spacing w:after="0"/>
              <w:rPr>
                <w:sz w:val="20"/>
                <w:szCs w:val="20"/>
                <w:color w:val="auto"/>
              </w:rPr>
            </w:pPr>
            <w:r>
              <w:rPr>
                <w:rFonts w:ascii="Arial" w:cs="Arial" w:eastAsia="Arial" w:hAnsi="Arial"/>
                <w:sz w:val="17"/>
                <w:szCs w:val="17"/>
                <w:color w:val="auto"/>
              </w:rPr>
              <w:t>60</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2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January 31, 2020, the Company’s U.S. portfolio had no material exposure to money market funds with a fluctuating net asset value.</w:t>
      </w:r>
    </w:p>
    <w:p>
      <w:pPr>
        <w:spacing w:after="0" w:line="1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 xml:space="preserve">Equity and Other Securities </w:t>
      </w:r>
      <w:r>
        <w:rPr>
          <w:rFonts w:ascii="Arial" w:cs="Arial" w:eastAsia="Arial" w:hAnsi="Arial"/>
          <w:sz w:val="16"/>
          <w:szCs w:val="16"/>
          <w:color w:val="auto"/>
        </w:rPr>
        <w:t>— The majority of the Company’s investments in equity and other securities that are measured at fair value on a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basis consist of strategic investments in publicly-traded companies. The valuation of these securities is based on quoted prices in active markets.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7 of the Notes to the Consolidated Financial Statements for a description of the Company’s derivative financial instrument activities.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Deferred Compensation Plans </w:t>
      </w:r>
      <w:r>
        <w:rPr>
          <w:rFonts w:ascii="Arial" w:cs="Arial" w:eastAsia="Arial" w:hAnsi="Arial"/>
          <w:sz w:val="18"/>
          <w:szCs w:val="18"/>
          <w:color w:val="auto"/>
        </w:rPr>
        <w:t>—The Company offers deferred compensation plans for eligible employees, which allow participants to defer payment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their compensation. Assets were the same as liabilities associated with the plans at approximately $241 million and $192 million as of January 31, 2020 and February 1, 2019, respectively, and are included in other assets and other liabilities on the Consolidated Statements of Financial Position. The net impact to the Consolidated Statements of Income (Loss)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i w:val="1"/>
          <w:iCs w:val="1"/>
          <w:color w:val="auto"/>
        </w:rPr>
        <w:t xml:space="preserve">Assets and Liabilities Measured at Fair Value on a Nonrecurring Basis </w:t>
      </w:r>
      <w:r>
        <w:rPr>
          <w:rFonts w:ascii="Arial" w:cs="Arial" w:eastAsia="Arial" w:hAnsi="Arial"/>
          <w:sz w:val="16"/>
          <w:szCs w:val="16"/>
          <w:color w:val="auto"/>
        </w:rPr>
        <w:t>— Certain assets are measured at fair value on a nonrecurring basis and therefore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included in the recurring fair value table above. These assets consist primarily of non-financial assets such as goodwill and intangible assets. See Note 8 of the Notes to the Consolidated Financial Statements for additional information about goodwill and intangible assets.</w:t>
      </w:r>
    </w:p>
    <w:p>
      <w:pPr>
        <w:spacing w:after="0" w:line="1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of January 31, 2020 and February 1, 2019, the Company held private strategic investments of $852 million and $671 million, respectively. As these investments represent early-stage companies without readily determinable fair values, they are not included in the recurring fair value table above.</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19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summarizes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6 of the Notes to the Consolidated Financial Statements, including the current portion, as of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ind w:left="84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308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February 1, 2019</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Carrying Value</w:t>
            </w:r>
          </w:p>
        </w:tc>
        <w:tc>
          <w:tcPr>
            <w:tcW w:w="3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4"/>
          </w:tcPr>
          <w:p>
            <w:pPr>
              <w:jc w:val="right"/>
              <w:ind w:right="113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VMware Notes and VMware Term Loan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fair values of the outstanding debt shown in the table above, as well as the DFS debt described in Note 4 of the Notes to the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carrying value of the Company’s strategic investments in publicly-traded and privately-held companies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356"/>
              <w:spacing w:after="0"/>
              <w:rPr>
                <w:sz w:val="20"/>
                <w:szCs w:val="20"/>
                <w:color w:val="auto"/>
              </w:rPr>
            </w:pPr>
            <w:r>
              <w:rPr>
                <w:rFonts w:ascii="Arial" w:cs="Arial" w:eastAsia="Arial" w:hAnsi="Arial"/>
                <w:sz w:val="18"/>
                <w:szCs w:val="18"/>
                <w:b w:val="1"/>
                <w:bCs w:val="1"/>
                <w:color w:val="auto"/>
              </w:rPr>
              <w:t>January 31, 2020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356"/>
              <w:spacing w:after="0"/>
              <w:rPr>
                <w:sz w:val="20"/>
                <w:szCs w:val="20"/>
                <w:color w:val="auto"/>
              </w:rPr>
            </w:pPr>
            <w:r>
              <w:rPr>
                <w:rFonts w:ascii="Arial" w:cs="Arial" w:eastAsia="Arial" w:hAnsi="Arial"/>
                <w:sz w:val="18"/>
                <w:szCs w:val="18"/>
                <w:b w:val="1"/>
                <w:bCs w:val="1"/>
                <w:color w:val="auto"/>
              </w:rPr>
              <w:t>February 1, 2019</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92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860" w:type="dxa"/>
            <w:vAlign w:val="bottom"/>
          </w:tcPr>
          <w:p>
            <w:pPr>
              <w:jc w:val="center"/>
              <w:ind w:right="56"/>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95"/>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Gain</w:t>
            </w:r>
          </w:p>
        </w:tc>
        <w:tc>
          <w:tcPr>
            <w:tcW w:w="20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Gain</w:t>
            </w:r>
          </w:p>
        </w:tc>
        <w:tc>
          <w:tcPr>
            <w:tcW w:w="220" w:type="dxa"/>
            <w:vAlign w:val="bottom"/>
          </w:tcPr>
          <w:p>
            <w:pPr>
              <w:spacing w:after="0"/>
              <w:rPr>
                <w:sz w:val="18"/>
                <w:szCs w:val="18"/>
                <w:color w:val="auto"/>
              </w:rPr>
            </w:pPr>
          </w:p>
        </w:tc>
        <w:tc>
          <w:tcPr>
            <w:tcW w:w="920" w:type="dxa"/>
            <w:vAlign w:val="bottom"/>
          </w:tcPr>
          <w:p>
            <w:pPr>
              <w:jc w:val="center"/>
              <w:ind w:right="9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860" w:type="dxa"/>
            <w:vAlign w:val="bottom"/>
          </w:tcPr>
          <w:p>
            <w:pPr>
              <w:jc w:val="center"/>
              <w:ind w:right="76"/>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4"/>
          </w:tcPr>
          <w:p>
            <w:pPr>
              <w:ind w:left="48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other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1,005</w:t>
            </w:r>
          </w:p>
        </w:tc>
      </w:tr>
      <w:tr>
        <w:trPr>
          <w:trHeight w:val="27"/>
        </w:trPr>
        <w:tc>
          <w:tcPr>
            <w:tcW w:w="2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For the fiscal year ended January 31, 2020, the equity and other securities without readily determinable fair values of $852 million increased by $110 million due to upward adjustments for observable price changes, offset by $15 million of downward adjustments that were primarily attributable to impairments. </w:t>
      </w:r>
      <w:r>
        <w:rPr>
          <w:rFonts w:ascii="Arial" w:cs="Arial" w:eastAsia="Arial" w:hAnsi="Arial"/>
          <w:sz w:val="17"/>
          <w:szCs w:val="17"/>
          <w:color w:val="212529"/>
        </w:rPr>
        <w:t>For the fiscal year ended February 1, 2019, the equity and other securities without readily determinable fair values increased by $233</w:t>
      </w:r>
      <w:r>
        <w:rPr>
          <w:rFonts w:ascii="Arial" w:cs="Arial" w:eastAsia="Arial" w:hAnsi="Arial"/>
          <w:sz w:val="17"/>
          <w:szCs w:val="17"/>
          <w:color w:val="auto"/>
        </w:rPr>
        <w:t xml:space="preserve"> </w:t>
      </w:r>
      <w:r>
        <w:rPr>
          <w:rFonts w:ascii="Arial" w:cs="Arial" w:eastAsia="Arial" w:hAnsi="Arial"/>
          <w:sz w:val="17"/>
          <w:szCs w:val="17"/>
          <w:color w:val="212529"/>
        </w:rPr>
        <w:t xml:space="preserve">million due to upward adjustments for observable price changes, offset by $80 million of downward adjustments that were primarily attributable to impairments. </w:t>
      </w:r>
      <w:r>
        <w:rPr>
          <w:rFonts w:ascii="Arial" w:cs="Arial" w:eastAsia="Arial" w:hAnsi="Arial"/>
          <w:sz w:val="17"/>
          <w:szCs w:val="17"/>
          <w:color w:val="000000"/>
        </w:rPr>
        <w:t>The remainder of equity and other securities consisted of publicly-traded investments that are measured at fair value on a recurring basis for</w:t>
      </w:r>
      <w:r>
        <w:rPr>
          <w:rFonts w:ascii="Arial" w:cs="Arial" w:eastAsia="Arial" w:hAnsi="Arial"/>
          <w:sz w:val="17"/>
          <w:szCs w:val="17"/>
          <w:color w:val="212529"/>
        </w:rPr>
        <w:t xml:space="preserve"> </w:t>
      </w:r>
      <w:r>
        <w:rPr>
          <w:rFonts w:ascii="Arial" w:cs="Arial" w:eastAsia="Arial" w:hAnsi="Arial"/>
          <w:sz w:val="17"/>
          <w:szCs w:val="17"/>
          <w:color w:val="000000"/>
        </w:rPr>
        <w:t xml:space="preserve">both the fiscal years ended January 31, 2020 and </w:t>
      </w:r>
      <w:r>
        <w:rPr>
          <w:rFonts w:ascii="Arial" w:cs="Arial" w:eastAsia="Arial" w:hAnsi="Arial"/>
          <w:sz w:val="17"/>
          <w:szCs w:val="17"/>
          <w:color w:val="212529"/>
        </w:rPr>
        <w:t>February 1, 2019</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SERVICES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offers or arranges various financing options and services, and alternative payment structures for its customers in North America, Europe, Australia, and New Zealand through DFS. The Company also arranges financing for some of its customers in various countries where DFS does not currently operate as a captive enterprise. The key activities of DFS include originating, collecting, and servicing of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$8.5 billion, $7.3 billion, and $6.3 billion for the fiscal years ended January 31, 2020, February 1, 2019, and February 2,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and loan arrangements with customers are aggregated into the following categories:</w:t>
      </w:r>
    </w:p>
    <w:p>
      <w:pPr>
        <w:spacing w:after="0" w:line="225"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164" w:lineRule="exact"/>
        <w:rPr>
          <w:sz w:val="20"/>
          <w:szCs w:val="20"/>
          <w:color w:val="auto"/>
        </w:rPr>
      </w:pPr>
    </w:p>
    <w:p>
      <w:pPr>
        <w:ind w:left="340" w:right="160"/>
        <w:spacing w:after="0" w:line="272" w:lineRule="auto"/>
        <w:rPr>
          <w:sz w:val="20"/>
          <w:szCs w:val="20"/>
          <w:color w:val="auto"/>
        </w:rPr>
      </w:pPr>
      <w:r>
        <w:rPr>
          <w:rFonts w:ascii="Arial" w:cs="Arial" w:eastAsia="Arial" w:hAnsi="Arial"/>
          <w:sz w:val="17"/>
          <w:szCs w:val="17"/>
          <w:i w:val="1"/>
          <w:iCs w:val="1"/>
          <w:color w:val="auto"/>
        </w:rPr>
        <w:t xml:space="preserve">Fixed-term leases and loans </w:t>
      </w:r>
      <w:r>
        <w:rPr>
          <w:rFonts w:ascii="Arial" w:cs="Arial" w:eastAsia="Arial" w:hAnsi="Arial"/>
          <w:sz w:val="17"/>
          <w:szCs w:val="17"/>
          <w:color w:val="auto"/>
        </w:rPr>
        <w:t>— The Company enters into financing arrangements with customers who seek lease financing for equipment they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purchase. Under the new lease standard discussed in Note 2 of the Notes to the Consolidated Financial Statements, new DFS leases are classified as sales-type leases, direct financing leases, or operating leases. When the terms of the DFS lease transfer control of the underlying asset to the lessee, the contract is typically classified as a sales-type lease. Direct financing leases under the new lease standard are immaterial. All other new DFS leases are classified as operating leases. Leases that commenced prior to the adoption of the new lease standard were not reassessed or restated pursuant to the practical expedients elected and will continue to be accounted for under previous lease accounting guidance. Leases with business customers have fixed terms of generally two to four years.</w:t>
      </w:r>
    </w:p>
    <w:p>
      <w:pPr>
        <w:spacing w:after="0" w:line="177"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the Company’s financing receivables segregated by portfolio segment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January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February 1,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right"/>
              <w:ind w:right="65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Customer receivables, gross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8,084</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372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7,948</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r>
      <w:tr>
        <w:trPr>
          <w:trHeight w:val="297"/>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8,622</w:t>
            </w:r>
          </w:p>
        </w:tc>
      </w:tr>
      <w:tr>
        <w:trPr>
          <w:trHeight w:val="237"/>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240" w:hanging="332"/>
        <w:spacing w:after="0" w:line="26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receivables, gross includes amounts due from customers under revolving loans, fixed-term loans, fixed-term sales-type or direct financing leases, and accrued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allowance for financing receivable losses for the periods indicated: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Revolving</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ind w:left="500"/>
              <w:spacing w:after="0"/>
              <w:rPr>
                <w:sz w:val="20"/>
                <w:szCs w:val="20"/>
                <w:color w:val="auto"/>
              </w:rPr>
            </w:pPr>
            <w:r>
              <w:rPr>
                <w:rFonts w:ascii="Arial" w:cs="Arial" w:eastAsia="Arial" w:hAnsi="Arial"/>
                <w:sz w:val="18"/>
                <w:szCs w:val="18"/>
                <w:b w:val="1"/>
                <w:bCs w:val="1"/>
                <w:color w:val="auto"/>
                <w:w w:val="99"/>
              </w:rPr>
              <w:t>Fixed-term</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ind w:left="500"/>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Allowance for financing receivable losses:</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Balances as of February 3, 2017</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5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 net of recoveries</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3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5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February 2, 2018</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Charge-offs, net of recoveries</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3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Balances as of February 1, 2019</w:t>
            </w:r>
          </w:p>
        </w:tc>
        <w:tc>
          <w:tcPr>
            <w:tcW w:w="1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 net of recoveries</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3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5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31, 2020</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5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Aging</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aging of the Company’s customer financing receivables, gross, including accrued interest, segregated by class,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22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22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Past Due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Total</w:t>
            </w:r>
          </w:p>
        </w:tc>
      </w:tr>
      <w:tr>
        <w:trPr>
          <w:trHeight w:val="27"/>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7,249</w:t>
            </w:r>
          </w:p>
        </w:tc>
      </w:tr>
      <w:tr>
        <w:trPr>
          <w:trHeight w:val="257"/>
        </w:trPr>
        <w:tc>
          <w:tcPr>
            <w:tcW w:w="3040" w:type="dxa"/>
            <w:vAlign w:val="bottom"/>
          </w:tcPr>
          <w:p>
            <w:pPr>
              <w:ind w:left="180"/>
              <w:spacing w:after="0"/>
              <w:rPr>
                <w:sz w:val="20"/>
                <w:szCs w:val="20"/>
                <w:color w:val="auto"/>
              </w:rPr>
            </w:pPr>
            <w:r>
              <w:rPr>
                <w:rFonts w:ascii="Arial" w:cs="Arial" w:eastAsia="Arial" w:hAnsi="Arial"/>
                <w:sz w:val="18"/>
                <w:szCs w:val="18"/>
                <w:color w:val="auto"/>
              </w:rPr>
              <w:t>Total customer receivables, gross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8,084</w:t>
            </w: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Aging is likely to fluctuate as a result of the variability in volume of large transactions entered into over the period, and the administrative processes that accompany those transactions. Aging is also impacted by the timing of Dell Technologies fiscal period end date, relative to calendar month-end customer payment due dates. As a result of these factors, fluctuations in aging from period to period do not necessarily indicate a material change in the collectibility of the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following table presents customer receivables, gross, including accrued interest, by credit quality indicator segregated by class, as of the dates indicated.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8"/>
              </w:rPr>
              <w:t>January 31, 2020</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February 1, 2019</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Higher</w:t>
            </w:r>
          </w:p>
        </w:tc>
        <w:tc>
          <w:tcPr>
            <w:tcW w:w="3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4"/>
          </w:tcPr>
          <w:p>
            <w:pPr>
              <w:jc w:val="right"/>
              <w:ind w:right="53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7,249</w:t>
            </w:r>
          </w:p>
        </w:tc>
      </w:tr>
      <w:tr>
        <w:trPr>
          <w:trHeight w:val="27"/>
        </w:trPr>
        <w:tc>
          <w:tcPr>
            <w:tcW w:w="2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sales-type lease receivables was $259 million for the fiscal year ended January 31, 2020.</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the net revenue, cost of net revenue, and gross margin recognized at the commencement date of sales-type leases for the period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Cost of net revenue </w:t>
      </w:r>
      <w:r>
        <w:rPr>
          <w:rFonts w:ascii="Arial" w:cs="Arial" w:eastAsia="Arial" w:hAnsi="Arial"/>
          <w:sz w:val="16"/>
          <w:szCs w:val="16"/>
          <w:i w:val="1"/>
          <w:iCs w:val="1"/>
          <w:color w:val="auto"/>
        </w:rPr>
        <w:t>—</w:t>
      </w:r>
      <w:r>
        <w:rPr>
          <w:rFonts w:ascii="Arial" w:cs="Arial" w:eastAsia="Arial" w:hAnsi="Arial"/>
          <w:sz w:val="16"/>
          <w:szCs w:val="16"/>
          <w:color w:val="auto"/>
        </w:rPr>
        <w:t xml:space="preser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 Ended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63"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770</w:t>
      </w:r>
    </w:p>
    <w:p>
      <w:pPr>
        <w:spacing w:after="0" w:line="8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582</w:t>
      </w:r>
    </w:p>
    <w:p>
      <w:pPr>
        <w:spacing w:after="0" w:line="100"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63500</wp:posOffset>
            </wp:positionV>
            <wp:extent cx="1423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300" w:space="720"/>
            <w:col w:w="2220"/>
          </w:cols>
          <w:pgMar w:left="320" w:top="125" w:right="339" w:bottom="1440" w:gutter="0" w:footer="0" w:header="0"/>
          <w:type w:val="continuous"/>
        </w:sectPr>
      </w:pPr>
    </w:p>
    <w:p>
      <w:pPr>
        <w:spacing w:after="0" w:line="295"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January 31, 2020</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Years</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(in millions)</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2,615</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901</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2025 and beyond</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undiscounted cash flows</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Fixed-term loans</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loans</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unearned income</w:t>
            </w: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customer receivables, gross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r>
      <w:tr>
        <w:trPr>
          <w:trHeight w:val="20"/>
        </w:trPr>
        <w:tc>
          <w:tcPr>
            <w:tcW w:w="9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Disclosure related to periods prior to adoption of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 Future maturities of minimum lease and associated financing payments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of February 1, 2019 were as follows: $2.6 billion in Fiscal 2020; $1.7 billion in Fiscal 2021; $0.9 billion in Fiscal 2022; $0.3 billion in Fiscal 2023; and $0.1 billion in Fiscal 2024 and beyond. Future maturities and associated financing payments referenced herein represent the aggregate payments under the customer lease contract.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5" w:right="3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January 31, 2020</w:t>
            </w:r>
          </w:p>
        </w:tc>
      </w:tr>
      <w:tr>
        <w:trPr>
          <w:trHeight w:val="27"/>
        </w:trPr>
        <w:tc>
          <w:tcPr>
            <w:tcW w:w="9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operating lease,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under operating lease,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0"/>
        </w:trPr>
        <w:tc>
          <w:tcPr>
            <w:tcW w:w="9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the Company’s equipment under operating lease, net was immaterial.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income relating to lease payments was $169 million for the fiscal year ended January 31, 2020. Depreciation expense was $115 million for the fiscal year ended January 31,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payments to be received by the Company as lessor in operating lease contracts as of the date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2025 and beyond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(in millions)</w:t>
            </w: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0"/>
        </w:trPr>
        <w:tc>
          <w:tcPr>
            <w:tcW w:w="3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0"/>
        </w:trPr>
        <w:tc>
          <w:tcPr>
            <w:tcW w:w="3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0"/>
        </w:trPr>
        <w:tc>
          <w:tcPr>
            <w:tcW w:w="3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3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-1062355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-719455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-376555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40"/>
          </w:cols>
          <w:pgMar w:left="320" w:top="125"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 The following table presents DFS debt as of the dates indicated. The table excludes the allocated portion of the Company’s other borrowings, which represents the additional amount considered to fund the DFS business.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DFS debt</w:t>
            </w: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Securitization facilities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DFS U.S.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Dell Bank Senior Unsecured Eurobonds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DFS international debt</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DFS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short-term DFS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Total long-term DFS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Securitization Facilities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separate securitization facilities in the United States for fixed-term leases and loans and for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loans. This debt is collateralized solely by the U.S. loan and lease payments and associated equipment in the facilities. The debt has a variable interest rate and the duration of the debt is based on the terms of the underlying loan and lease payments. As of January 31, 2020, the total debt capacity related to the U.S. securitization facilities was $4.0 billion. The Company enters into interest swap agreements to effectively convert a portion of its securitization debt from a floating rate to a fixed rate. See Note 7 of the Notes to the Consolidated Financial Statements for additional information about interest rate swaps.</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U.S. securitization facility for revolving loans is effective through June 25, 2022. The Company’s two U.S. securitization facilities for fixed-term leases and loans are effective through August 22, 2021 and July 26, 2022, respectively.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securitization facilities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31, 2020, these criteria were met.</w:t>
      </w:r>
    </w:p>
    <w:p>
      <w:pPr>
        <w:spacing w:after="0" w:line="18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i w:val="1"/>
          <w:iCs w:val="1"/>
          <w:color w:val="auto"/>
        </w:rPr>
        <w:t xml:space="preserve">Fixed-Term Securitization Offerings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periodically issues asset-backed debt securities under fixed-term securitization programs to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The asset-backed debt securities are collateralized solely by the U.S. fixed-term leases and loans in the offerings, which are held by Special Purpose Entities (“SPEs”), as discussed below. The interest rate on these securities is fixed and ranges from 1.91% to 3.97% per annum, and the duration of these securities is based on the terms of the underlying lease and loan payment streams.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21, 2020 and had a total debt capacity of $883 million as of January 31, 2020.</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31, 2020, these criteria were met.</w:t>
      </w:r>
    </w:p>
    <w:p>
      <w:pPr>
        <w:spacing w:after="0" w:line="1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Other Borrowings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Company’s international financing operations, the Company has entered into revolving structured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programs related to its fixed-term lease and loan products sold in Canada, Europe, Australia, and New Zealand. The Canadian facility, which is collateralized solely by Canadian loan and lease payments and associated equipment, had a total debt capacity of $284 million as of January 31, 2020, and is effective through January 16, 2023. The European facility, which is collateralized solely by European loan and lease payments and associated equipment, had a total debt capacity of $662 million as of January 31, 2020, and is effective through June 14, 2022. The Australia and New Zealand facility, which is collateralized solely by Australia and New Zealand loan and lease payments and associated equipment, had a total debt capacity of $202 million as of January 31, 2020, and is effective through December 20, 2021.</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27, 2017, the Company entered into an unsecured credit agreement to fund receivables in Mexico. As of January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principal amount of the note payable is $200 million. The note bears interest at either the applicable London Interbank Offered Rate (“LIBOR”) plus 2.25%, for the borrowings denominated in U.S. Dollars, or the Mexican Interbank Equilibrium Interest Rate (“TIIE”) plus 2.00%, for the borrowings denominated in Mexican pesos. The note will mature on December 1, 2020. Although the note is unsecured, the Company manages the note in the same manner as its structured financing programs, so that the collections from loan and lease payments and associated equipment in Mexico are used to pay down principal and interest of the note.</w:t>
      </w:r>
    </w:p>
    <w:p>
      <w:pPr>
        <w:spacing w:after="0" w:line="187" w:lineRule="exact"/>
        <w:rPr>
          <w:sz w:val="20"/>
          <w:szCs w:val="20"/>
          <w:color w:val="auto"/>
        </w:rPr>
      </w:pPr>
    </w:p>
    <w:p>
      <w:pPr>
        <w:jc w:val="both"/>
        <w:ind w:right="380"/>
        <w:spacing w:after="0" w:line="347" w:lineRule="auto"/>
        <w:rPr>
          <w:sz w:val="20"/>
          <w:szCs w:val="20"/>
          <w:color w:val="auto"/>
        </w:rPr>
      </w:pPr>
      <w:r>
        <w:rPr>
          <w:rFonts w:ascii="Arial" w:cs="Arial" w:eastAsia="Arial" w:hAnsi="Arial"/>
          <w:sz w:val="16"/>
          <w:szCs w:val="16"/>
          <w:i w:val="1"/>
          <w:iCs w:val="1"/>
          <w:color w:val="auto"/>
        </w:rPr>
        <w:t xml:space="preserve">Dell Bank Senior Unsecured Eurobonds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17, 2019, Dell Bank International D.A.C. issued 500 million Euro of 0.625% senior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 eurobonds due October 2022. The issuance of the senior unsecured eurobonds supports the expansion of the financing operations in Europe.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securitization facilities and offerings discussed above, the Company transfers certain U.S. and European loan and lease payments and associated equipment to SPEs that meet the definition of a Variable Interest Entity (“VIE”) and are consolidated, along with the associated debt detailed above, into the Consolidated Financial Statements, as the Company is the primary beneficiary of those VIEs. The SPEs are bankruptcy-remote legal entities with separate assets and liabilities. The purpose of the SPEs is to facilitate the funding of customer loan and lease payments and associated equipment in the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financing receivables and equipment under operating leases, net held by the consolidated VIEs as of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 held by consolidated VIEs,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2,940</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57"/>
        </w:trPr>
        <w:tc>
          <w:tcPr>
            <w:tcW w:w="7540" w:type="dxa"/>
            <w:vAlign w:val="bottom"/>
          </w:tcPr>
          <w:p>
            <w:pPr>
              <w:ind w:left="180"/>
              <w:spacing w:after="0"/>
              <w:rPr>
                <w:sz w:val="20"/>
                <w:szCs w:val="20"/>
                <w:color w:val="auto"/>
              </w:rPr>
            </w:pPr>
            <w:r>
              <w:rPr>
                <w:rFonts w:ascii="Arial" w:cs="Arial" w:eastAsia="Arial" w:hAnsi="Arial"/>
                <w:sz w:val="18"/>
                <w:szCs w:val="18"/>
                <w:color w:val="auto"/>
              </w:rPr>
              <w:t>Assets held by consolidated VIEs,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5,448</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Loan and lease payments and associated equipment transferred via securitization through SPEs were $5.4 billion and $4.6 billion for the fiscal years ended January 31, 2020 and February 1, 2019,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Some of the SPEs have entered into financing arrangements with multi-seller conduits that, in turn, issue asset-backed debt securities in the capital markets. The DFS debt outstanding, which is collateralized by the loan and lease payments and associated equipment held by the consolidated VIEs, was $5.9 billion and $4.8 billion as of January 31, 2020 and February 1, 2019,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Receivable Sales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$538 million, $949 million, and $683 million for the fiscal years ended January 31, 2020, February 1, 2019, and February 2, 2018, respectively. The Company’s continuing involvement in the above mentioned customer receivables is primarily limited to servicing arrangements.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January 31, 2020, the remaining terms of the Company’s leases range from less than one month to 27 years.</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also enters into leasing transactions in which the Company is the lessor, primarily through customer financing arrangements offered through DFS. DFS originates leases that are primarily classified as either sales-type leases or operating leases. See Note 4 of the Notes to the Consolidated Financial Statements for more information on the DFS lease portfolio and related lease disclosures.</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adopting the new lease standard discussed in Note 2 of the Notes to the Consolidated Financial Statements, the Company elected to apply a transition method that does not require the retrospective application to periods prior to adoption. Financial information associated with the Company’s leases in which the Company is the lessee is contained in this Note 5. As of January 31, 2020, there were no material finance leases for which the Company was a lessee.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costs included in the Consolidated Statements of Income (Loss) for the period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lease costs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costs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 Ended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34290</wp:posOffset>
            </wp:positionV>
            <wp:extent cx="1354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510</w:t>
      </w:r>
    </w:p>
    <w:p>
      <w:pPr>
        <w:spacing w:after="0" w:line="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46355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63500</wp:posOffset>
            </wp:positionV>
            <wp:extent cx="1354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420" w:space="720"/>
            <w:col w:w="2100"/>
          </w:cols>
          <w:pgMar w:left="320" w:top="125"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January 31, 2020, sublease income, finance lease costs, and short-term lease costs were immaterial.</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supplemental information related to operating leases included in the Consolidated Statements of Financial Position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560" w:type="dxa"/>
            <w:vAlign w:val="bottom"/>
            <w:gridSpan w:val="2"/>
          </w:tcPr>
          <w:p>
            <w:pPr>
              <w:ind w:left="1220"/>
              <w:spacing w:after="0"/>
              <w:rPr>
                <w:sz w:val="20"/>
                <w:szCs w:val="20"/>
                <w:color w:val="auto"/>
              </w:rPr>
            </w:pPr>
            <w:r>
              <w:rPr>
                <w:rFonts w:ascii="Arial" w:cs="Arial" w:eastAsia="Arial" w:hAnsi="Arial"/>
                <w:sz w:val="18"/>
                <w:szCs w:val="18"/>
                <w:b w:val="1"/>
                <w:bCs w:val="1"/>
                <w:color w:val="auto"/>
              </w:rPr>
              <w:t>Classification</w:t>
            </w:r>
          </w:p>
        </w:tc>
        <w:tc>
          <w:tcPr>
            <w:tcW w:w="280" w:type="dxa"/>
            <w:vAlign w:val="bottom"/>
          </w:tcPr>
          <w:p>
            <w:pPr>
              <w:spacing w:after="0"/>
              <w:rPr>
                <w:sz w:val="20"/>
                <w:szCs w:val="20"/>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January 31, 2020</w:t>
            </w:r>
          </w:p>
        </w:tc>
      </w:tr>
      <w:tr>
        <w:trPr>
          <w:trHeight w:val="27"/>
        </w:trPr>
        <w:tc>
          <w:tcPr>
            <w:tcW w:w="5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22"/>
        </w:trPr>
        <w:tc>
          <w:tcPr>
            <w:tcW w:w="5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3"/>
              </w:rPr>
              <w:t>(in millions, except for term</w:t>
            </w:r>
          </w:p>
        </w:tc>
      </w:tr>
      <w:tr>
        <w:trPr>
          <w:trHeight w:val="230"/>
        </w:trPr>
        <w:tc>
          <w:tcPr>
            <w:tcW w:w="5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center"/>
              <w:ind w:right="190"/>
              <w:spacing w:after="0"/>
              <w:rPr>
                <w:sz w:val="20"/>
                <w:szCs w:val="20"/>
                <w:color w:val="auto"/>
              </w:rPr>
            </w:pPr>
            <w:r>
              <w:rPr>
                <w:rFonts w:ascii="Arial" w:cs="Arial" w:eastAsia="Arial" w:hAnsi="Arial"/>
                <w:sz w:val="18"/>
                <w:szCs w:val="18"/>
                <w:color w:val="auto"/>
                <w:w w:val="90"/>
              </w:rPr>
              <w:t>and discount rate)</w:t>
            </w:r>
          </w:p>
        </w:tc>
      </w:tr>
      <w:tr>
        <w:trPr>
          <w:trHeight w:val="27"/>
        </w:trPr>
        <w:tc>
          <w:tcPr>
            <w:tcW w:w="5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w:t>
            </w: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1,780</w:t>
            </w:r>
          </w:p>
        </w:tc>
      </w:tr>
      <w:tr>
        <w:trPr>
          <w:trHeight w:val="324"/>
        </w:trPr>
        <w:tc>
          <w:tcPr>
            <w:tcW w:w="5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1,360</w:t>
            </w:r>
          </w:p>
        </w:tc>
      </w:tr>
      <w:tr>
        <w:trPr>
          <w:trHeight w:val="27"/>
        </w:trPr>
        <w:tc>
          <w:tcPr>
            <w:tcW w:w="54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3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1,792</w:t>
            </w:r>
          </w:p>
        </w:tc>
      </w:tr>
      <w:tr>
        <w:trPr>
          <w:trHeight w:val="20"/>
        </w:trPr>
        <w:tc>
          <w:tcPr>
            <w:tcW w:w="5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5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891"/>
        </w:trPr>
        <w:tc>
          <w:tcPr>
            <w:tcW w:w="546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53"/>
        </w:trPr>
        <w:tc>
          <w:tcPr>
            <w:tcW w:w="8980" w:type="dxa"/>
            <w:vAlign w:val="bottom"/>
            <w:gridSpan w:val="3"/>
          </w:tcPr>
          <w:p>
            <w:pPr>
              <w:spacing w:after="0"/>
              <w:rPr>
                <w:sz w:val="20"/>
                <w:szCs w:val="20"/>
                <w:color w:val="auto"/>
              </w:rPr>
            </w:pPr>
            <w:r>
              <w:rPr>
                <w:rFonts w:ascii="Arial" w:cs="Arial" w:eastAsia="Arial" w:hAnsi="Arial"/>
                <w:sz w:val="18"/>
                <w:szCs w:val="18"/>
                <w:color w:val="auto"/>
              </w:rPr>
              <w:t>The following table presents supplemental cash flow information related to leases for the period indicated:</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 Year Ended</w:t>
            </w:r>
          </w:p>
        </w:tc>
      </w:tr>
      <w:tr>
        <w:trPr>
          <w:trHeight w:val="270"/>
        </w:trPr>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90"/>
              <w:spacing w:after="0"/>
              <w:rPr>
                <w:sz w:val="20"/>
                <w:szCs w:val="20"/>
                <w:color w:val="auto"/>
              </w:rPr>
            </w:pPr>
            <w:r>
              <w:rPr>
                <w:rFonts w:ascii="Arial" w:cs="Arial" w:eastAsia="Arial" w:hAnsi="Arial"/>
                <w:sz w:val="18"/>
                <w:szCs w:val="18"/>
                <w:color w:val="auto"/>
                <w:w w:val="98"/>
              </w:rPr>
              <w:t>(in millions)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r>
      <w:tr>
        <w:trPr>
          <w:trHeight w:val="32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r>
      <w:tr>
        <w:trPr>
          <w:trHeight w:val="27"/>
        </w:trPr>
        <w:tc>
          <w:tcPr>
            <w:tcW w:w="4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January 31, 2020</w:t>
            </w:r>
          </w:p>
        </w:tc>
        <w:tc>
          <w:tcPr>
            <w:tcW w:w="0" w:type="dxa"/>
            <w:vAlign w:val="bottom"/>
          </w:tcPr>
          <w:p>
            <w:pPr>
              <w:spacing w:after="0"/>
              <w:rPr>
                <w:sz w:val="1"/>
                <w:szCs w:val="1"/>
                <w:color w:val="auto"/>
              </w:rPr>
            </w:pPr>
          </w:p>
        </w:tc>
      </w:tr>
      <w:tr>
        <w:trPr>
          <w:trHeight w:val="27"/>
        </w:trPr>
        <w:tc>
          <w:tcPr>
            <w:tcW w:w="9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2025</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00" w:type="dxa"/>
            <w:vAlign w:val="bottom"/>
          </w:tcPr>
          <w:p>
            <w:pPr>
              <w:ind w:left="60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9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amount of future lease commitments after Fiscal 2025 is primarily for the ground lease on VMware, Inc.’s Palo Alto, California headquarter facilities, which expires in Fiscal 2047.</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January 31, 2020, the Company has additional operating leases that have not yet commenced of $681 million. These operating leases will commence during Fiscal 2021 with lease terms of one year to 16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Disclosure related to periods prior to adoption of the new lease standard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Prior to the adoption of the new lease standard, the Company had the following future minimum lease payments under non-cancelable leases: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February 1, 2019</w:t>
            </w:r>
          </w:p>
        </w:tc>
        <w:tc>
          <w:tcPr>
            <w:tcW w:w="0" w:type="dxa"/>
            <w:vAlign w:val="bottom"/>
          </w:tcPr>
          <w:p>
            <w:pPr>
              <w:spacing w:after="0"/>
              <w:rPr>
                <w:sz w:val="1"/>
                <w:szCs w:val="1"/>
                <w:color w:val="auto"/>
              </w:rPr>
            </w:pPr>
          </w:p>
        </w:tc>
      </w:tr>
      <w:tr>
        <w:trPr>
          <w:trHeight w:val="27"/>
        </w:trPr>
        <w:tc>
          <w:tcPr>
            <w:tcW w:w="8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Years</w:t>
            </w: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2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0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NOTE 6 — DEBT</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Senior Secured Credit Facilities: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B Facility due September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3.65% Term Loan B-1 Facility due September 2025</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A-2 Facility due September 2021</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3.40% Term Loan A-4 Facility due December 2023</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A-5 Facility due December 2019</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3.41% Term Loan A-6 Facility due March 2024</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Lien Notes: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3.48% due June 2019</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4.42% due June 2021</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5.45% due June 2023</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4.00% due July 2024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6.02% due June 2026</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4.90% due October 2026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5.30% due October 2029</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8.10% due July 2036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8.35% due July 2046</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Unsecured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Unsecured Notes and Debentures: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5.875% due June 2019</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4.625% due April 2021</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7.10% due April 2028</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6.50% due April 2038</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5.40% due September 2040</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5.875% due June 2021</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7.125% due June 2024</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EMC Notes: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2.650% due June 2020</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3.375% due June 2023</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Debt of Public Subsidiary</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2.30% due August 2020</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2.95% due August 2022</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3.90% due August 2027</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VMware Term Loan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DFS Debt (Note 4)</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5,929</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4.03% Margin Loan Facility due April 2022</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52,665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54,239</w:t>
            </w:r>
          </w:p>
        </w:tc>
      </w:tr>
      <w:tr>
        <w:trPr>
          <w:trHeight w:val="20"/>
        </w:trPr>
        <w:tc>
          <w:tcPr>
            <w:tcW w:w="12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108"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830"/>
        </w:trPr>
        <w:tc>
          <w:tcPr>
            <w:tcW w:w="1280" w:type="dxa"/>
            <w:vAlign w:val="bottom"/>
            <w:tcBorders>
              <w:top w:val="single" w:sz="8" w:color="0000EE"/>
            </w:tcBorders>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6"/>
        </w:trPr>
        <w:tc>
          <w:tcPr>
            <w:tcW w:w="12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54,239</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97"/>
        </w:trPr>
        <w:tc>
          <w:tcPr>
            <w:tcW w:w="7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52,056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r>
      <w:tr>
        <w:trPr>
          <w:trHeight w:val="237"/>
        </w:trPr>
        <w:tc>
          <w:tcPr>
            <w:tcW w:w="7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r>
      <w:tr>
        <w:trPr>
          <w:trHeight w:val="243"/>
        </w:trPr>
        <w:tc>
          <w:tcPr>
            <w:tcW w:w="754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long-term debt, carrying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44,319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49,201</w:t>
            </w:r>
          </w:p>
        </w:tc>
      </w:tr>
    </w:tbl>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fiscal year ended January 31, 2020, the Company repaid $1.4 billion principal amount of its EMC 2.650% unsecured notes due June 2020, $550 million principal amount of its 5.875% senior unsecured notes due June 2021, $600 million principal amount of its 5.875% senior unsecured notes due June 2019, $950 million principal amount of its Term Loan A-4 Facility, and approximately $193 million of principal amortization under its term loan facilities. As described below under “Refinancing Transactions,” the Company also repaid $162.5 million principal amount as part of the Term Loan B Facility refinancing and the remaining principal amount of approximately $1,277 million of its Term Loan A-2 Facility in connection with the First Lien Notes issued on March 20, 2019.</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Additionally, during the fiscal year ended January 31, 2020, the Company issued an additional $1.8 billion, net, in DFS debt to support the expansion of its financing receivables portfolio. See Note 4 of the Notes to the Consolidated Financial Statements for more information about DFS debt.</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fiscal year ended February 1, 2019, the Company repaid $3.0 billion principal amount of its unsecured notes and $1.5 billion principal amount of its term loan facilities, which included approximately $0.3 billion of amortization. The Term Loan A-3 Facility was fully repaid during the three months ended November 2, 2018. Additionally, during the fiscal year ended February 1, 2019, the Company issued an additional $1.2 billion, net, in DFS debt to support the expansion of its financing receivables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Transactions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Class V transaction described in Note 14 of the Notes to the Consolidated Financial Statements, on December 20, 2018, the Company entered into an amendment to the credit agreement for the Senior Secured Credit Facilities, described below, which included (a) a new senior secured Term Loan A-4 Facility under its Senior Secured Credit Facilities consisting of $1.7 billion term A-4 loans, (b) a new senior secured Term Loan A-5 Facility under the Senior Secured Credit Facilities consisting of $2.0 billion term A-5 loans, (c) $1.4 billion in incremental loans under the Margin Loan Facility, and (d) an increase in the aggregate revolving commitments available under the Revolving Credit Facility to $4.5 billion. See below for additional information regarding the Senior Secured Credit Facilities, the Margin Loan Facility, and the Revolving Credit Facility.</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7, 2019, the Company amended the Margin Loan Facility agreement to increase the aggregate principal amount of borrowings under the Margin Loan Facility by $650 million. See below for additional information regarding the Margin Loan Facility.</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13, 2019, the Company entered into an amendment to the credit agreement for the Senior Secured Credit Facilities to obtain a new senior secured Term Loan A-6 Facility in order to refinance the $5 billion aggregate principal amount of debt incurred in connection with the Class V transaction described in Note 14 of the Notes to the Consolidated Financial Statements. The Term Loan A-6 Facility aggregate principal amount of $3,634 million matures on March 13, 2024, of which $2,839 million aggregate principal amount represents the amounts outstanding under the Term Loan A-2 Facility that rolled over into the new facility. The remaining principal amount outstanding under the Term Loan A-2 Facility was subsequently repaid in full during the fiscal year ended January 31, 2020, partially with proceeds from a private offering of First Lien Notes described below.</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08"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March 20, 2019, Dell International L.L.C. and EMC Corporation, both of which are wholly-owned subsidiaries of Dell Technologies Inc., completed a private offering of multiple series of First Lien Notes in an aggregate principal amount of $4.5 billion. The principal amount, interest rate, and maturity of each series of such First Lien Notes were $1,000 million of 4.00% First Lien Notes due July 15, 2024, $1,750 million of 4.90% First Lien Notes due October 1, 2026, and $1,750 million of 5.30% First Lien Notes due October 1, 2029. See below for additional information regarding the First Lien Notes.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majority of the proceeds from the First Lien Notes issued on March 20, 2019 was used to repay all of the outstanding $3,750 million principal amount of the 3.48% First Lien Notes due June 2019. In addition, proceeds of approximately $800 million of borrowings under the new Term Loan A-6 Facility, the proceeds of the $650 million increase in the Margin Loan Facility, and a portion of the proceeds from the 2019 First Lien Notes were used to repay all $2,016 million of outstanding amounts under the Term Loan A-5 Facility due December 2019. The remaining proceeds available from the 2019 First Lien Notes were used to repay a portion of outstanding amounts under the Term Loan A-2 Facility as described above, and to pay related premiums, accrued interest, fees, and expenses.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September 19, 2019, the Company entered into a sixth refinancing amendment to the Senior Secured Credit Agreement (the “Sixth Refinancing Amendment”) to refinance the Term Loan B Facility due September 2023 with a new term loan B facility consisting of an aggregate principal amount of $4,750 million refinancing term B-1 loans maturing on September 19, 2025 (the “Term Loan B-1 Facility”). The Company used the proceeds from the Term Loan B-1 Facility, together with other available funds, to repay $4,913 million of outstanding amounts under the Term Loan B Facility due September 2023 and to pay related accrued interest, fees and expenses.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refinancing and amendments were evaluated in accordance with FASB ASC 470, “Debt-Modifications and Extinguishments.” The amendment to the Margin Loan Facility agreement on March 7, 2019, the term debt refinancing on March 13, 2019, and the Term Loan B Facility refinancing on September 19, 2019 were accounted for as modifications for all existing lenders and as new issuances for new lenders. The First Lien Notes issued on March 20, 2019 were accounted for as new issuances for all lenders, and repayment of the Company’s outstanding amounts under the Term Loan A-5 Facility was accounted for as an extinguishment.</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refinancing and amendments described above, the Company capitalized $80.4 million in new fees paid to creditors as a result of the modifications and new issuances, and also recognized expenses of $33.8 million in write-offs of unamortized costs and $12.2 million in new third-party costs during the fiscal year ended January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The Company has entered into a credit agreement that provides for senior secured credit facilities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comprising (a) term loan facilities and (b) a senior secured Revolving Credit Facility, which includes capacity for up to $0.5 billion of letters of credit and for borrowings of up to $0.4 billion under swing-line loans.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January 31, 2020, available borrowings under the Revolving Credit Facility totaled $4.5 billion. The Senior Secured Credit Facilities provide that the borrowers have the right at any time, subject to customary conditions, to request incremental term loans or incremental revolving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Senior Secured Credit Facilities bear interest at a rate per annum equal to an applicable margin, plus, at the borrowers’ option, either</w:t>
      </w:r>
    </w:p>
    <w:p>
      <w:pPr>
        <w:spacing w:after="0" w:line="46" w:lineRule="exact"/>
        <w:rPr>
          <w:sz w:val="20"/>
          <w:szCs w:val="20"/>
          <w:color w:val="auto"/>
        </w:rPr>
      </w:pPr>
    </w:p>
    <w:p>
      <w:pPr>
        <w:ind w:right="160" w:firstLine="8"/>
        <w:spacing w:after="0" w:line="253"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base rate, or (b) a London Interbank Offered Rate (“LIBOR”). The Term Loan B-1 Facility bears interest at LIBOR plus an applicable margin of 2.00% or a base rate plus an applicable margin of 1.00%. The Term Loan A-4 Facility and the Term Loan A-6 Facility bear interest at LIBOR plus an applicable margin ranging from 1.25% to 2.00% or a base rate plus an applicable margin ranging from 0.25% to 1.00%. Interest is payable, in the case of loans bearing interest based on LIBOR, at the end of each interest period (but at least every three months), in arrears and, in the case of loans bearing interest based on the base rate, quarterly in arrears.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125" w:right="3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Loan B-1 Facility amortizes in equal quarterly installments in aggregate annual amounts equal to 1% of the original principal amount. The Term Loan A-4 Facility amortizes in equal quarterly installments in aggregate annual amounts equal to 5% of the original principal in each of the first four years after the facility closing date of December 20, 2018, and 80% of the original principal amount in the fifth year after December 20, 2018. The Term Loan A-6 Facility amortizes in equal quarterly installments in aggregate annual amounts equal to 5% of the original principal amount in each of the first four years after the facility closing date of March 13, 2019, and 80% of the original principal amount in the fifth year after March 13, 2019. The Revolving Credit Facility has no amortization.</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borrowers may voluntarily repay outstanding loans under the term loan facilities and the Revolving Credit Facility at any time without premium or penalty, other than customary “breakage” costs.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w:t>
      </w:r>
    </w:p>
    <w:p>
      <w:pPr>
        <w:ind w:right="20" w:firstLine="8"/>
        <w:spacing w:after="0" w:line="216" w:lineRule="exact"/>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first-priority security interest in certain tangible and intangible assets of the borrowers and the guarantors and (b) a first-priority pledge of 100% of the capital stock of the borrowers, Dell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Company (</w:t>
      </w:r>
      <w:r>
        <w:rPr>
          <w:rFonts w:ascii="Arial" w:cs="Arial" w:eastAsia="Arial" w:hAnsi="Arial"/>
          <w:sz w:val="16"/>
          <w:szCs w:val="16"/>
          <w:color w:val="auto"/>
        </w:rPr>
        <w:t>“</w:t>
      </w:r>
      <w:r>
        <w:rPr>
          <w:rFonts w:ascii="Arial" w:cs="Arial" w:eastAsia="Arial" w:hAnsi="Arial"/>
          <w:sz w:val="18"/>
          <w:szCs w:val="18"/>
          <w:color w:val="auto"/>
        </w:rPr>
        <w:t>Dell</w:t>
      </w:r>
      <w:r>
        <w:rPr>
          <w:rFonts w:ascii="Arial" w:cs="Arial" w:eastAsia="Arial" w:hAnsi="Arial"/>
          <w:sz w:val="16"/>
          <w:szCs w:val="16"/>
          <w:color w:val="auto"/>
        </w:rPr>
        <w:t>”</w:t>
      </w:r>
      <w:r>
        <w:rPr>
          <w:rFonts w:ascii="Arial" w:cs="Arial" w:eastAsia="Arial" w:hAnsi="Arial"/>
          <w:sz w:val="18"/>
          <w:szCs w:val="18"/>
          <w:color w:val="auto"/>
        </w:rPr>
        <w:t>), and each wholly-owned material restricted subsidiary of the borrowers and the guarantors, in each case subject to certain thresholds, exceptions, and permitted liens.</w:t>
      </w:r>
    </w:p>
    <w:p>
      <w:pPr>
        <w:spacing w:after="0" w:line="20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 xml:space="preserve">First Lien Notes </w:t>
      </w:r>
      <w:r>
        <w:rPr>
          <w:rFonts w:ascii="Arial" w:cs="Arial" w:eastAsia="Arial" w:hAnsi="Arial"/>
          <w:sz w:val="17"/>
          <w:szCs w:val="17"/>
          <w:color w:val="auto"/>
        </w:rPr>
        <w:t>— The senior secured notes (collectively, the “First Lien Notes”) were issued on June 1, 2016 and March 20, 2019 in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$20.0 billion and $4.5 billion, respectively. As discussed above, during the three months ended May 3, 2019, the Company used a portion of the proceeds from the First Lien Notes issued on March 20, 2019 to repay all of the outstanding $3,750 million principal amount of its 3.48% First Lien Notes due June 2019.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Dell, and certain wholly-owned material subsidiaries of the issuers and the guarantors, subject to certain exceptions.</w:t>
      </w:r>
    </w:p>
    <w:p>
      <w:pPr>
        <w:spacing w:after="0" w:line="1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 in the case of the First Lien Notes issued on June 1, 2016, and within five years after their issue date, in the case of the First Lien Notes issued on March 20, 2019.</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China Revolving Credit Facility </w:t>
      </w:r>
      <w:r>
        <w:rPr>
          <w:rFonts w:ascii="Arial" w:cs="Arial" w:eastAsia="Arial" w:hAnsi="Arial"/>
          <w:sz w:val="18"/>
          <w:szCs w:val="18"/>
          <w:color w:val="auto"/>
        </w:rPr>
        <w:t>— During the fiscal year ended January 31, 2020, the Company renewed its credit agreement (the “China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Credit Facility”) with a bank lender. The new terms provided an uncommitted line, with no change to the aggregate principal amount not to exceed $500 million at an interest rate of LIBOR plus 0.6% per annum. As of January 31, 2020, no amounts were outstanding under the facility, which expires on February 26, 2020. </w:t>
      </w:r>
      <w:r>
        <w:rPr>
          <w:rFonts w:ascii="Arial" w:cs="Arial" w:eastAsia="Arial" w:hAnsi="Arial"/>
          <w:sz w:val="18"/>
          <w:szCs w:val="18"/>
          <w:i w:val="1"/>
          <w:iCs w:val="1"/>
          <w:color w:val="auto"/>
        </w:rPr>
        <w:t>Unaudited update:</w:t>
      </w:r>
      <w:r>
        <w:rPr>
          <w:rFonts w:ascii="Arial" w:cs="Arial" w:eastAsia="Arial" w:hAnsi="Arial"/>
          <w:sz w:val="18"/>
          <w:szCs w:val="18"/>
          <w:color w:val="auto"/>
        </w:rPr>
        <w:t xml:space="preserve"> Subsequent to the fiscal year ended January 31, 2020, the China Revolving Credit Facility was terminated as of its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by Dell prior to the acquisition of Dell by Dell Technologies Inc. in the going-private transaction that closed in October 2013. Interest on these borrowings is payable semiannually.</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The senior unsecured notes (collectively, the “Senior Notes”) were issued on June 22, 2016 in an aggregate principal amount of $3.25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Interest on these borrowings is payable semiannually.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EMC Notes </w:t>
      </w:r>
      <w:r>
        <w:rPr>
          <w:rFonts w:ascii="Arial" w:cs="Arial" w:eastAsia="Arial" w:hAnsi="Arial"/>
          <w:sz w:val="18"/>
          <w:szCs w:val="18"/>
          <w:color w:val="auto"/>
        </w:rPr>
        <w:t>— On September 7, 2016, EMC had outstanding $2.5 billion aggregate principal amount of its 1.875% Notes due June 2018,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fully repaid during the three months ended August 3, 2018, $2.0 billion aggregate principal amount of its 2.650% Notes due June 2020, and $1.0 billion aggregate principal amount of its 3.375% Notes due June 2023 (collectively, the “EMC Notes”). Interest on these borrowings is payable semiannually.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VMware Notes </w:t>
      </w:r>
      <w:r>
        <w:rPr>
          <w:rFonts w:ascii="Arial" w:cs="Arial" w:eastAsia="Arial" w:hAnsi="Arial"/>
          <w:sz w:val="17"/>
          <w:szCs w:val="17"/>
          <w:color w:val="auto"/>
        </w:rPr>
        <w:t>— On August 21, 2017, VMware, Inc. completed a public offering of unsecured senior notes in the aggregate amount of $4.0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outstanding principal due on the following dates: $1.25 billion due August 21, 2020, $1.50 billion due August 21, 2022, and $1.25 billion due August 21, 2027 (collectively, the “VMware Notes”). The VMware Notes bear interest, payable semiannually, at annual rates of 2.30%, 2.95%, and 3.90%, respectively.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VMware Revolving Credit Facility </w:t>
      </w:r>
      <w:r>
        <w:rPr>
          <w:rFonts w:ascii="Arial" w:cs="Arial" w:eastAsia="Arial" w:hAnsi="Arial"/>
          <w:sz w:val="16"/>
          <w:szCs w:val="16"/>
          <w:color w:val="auto"/>
        </w:rPr>
        <w:t>— On September 12, 2017, VMware, Inc. entered into an unsecured credit agreement, establishing a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(the “VMware Revolving Credit Facility”), with a syndicate of lenders that provides the company with a borrowing capacity of up to $1.0 billion which may be used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January 31, 2020, there were no outstanding borrowings under the VMware Revolving Credit Facility.</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VMware Term Loan Facility </w:t>
      </w:r>
      <w:r>
        <w:rPr>
          <w:rFonts w:ascii="Arial" w:cs="Arial" w:eastAsia="Arial" w:hAnsi="Arial"/>
          <w:sz w:val="16"/>
          <w:szCs w:val="16"/>
          <w:color w:val="auto"/>
        </w:rPr>
        <w:t>— On September 26, 2019, VMware, Inc. entered into a senior unsecured term loan facility (the “VMware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with a syndicate of lenders that provides VMware, Inc. with a borrowing capacity of up to $2.0 billion for VMware, Inc. general corporate purposes. VMware, Inc. may borrow against the VMware Term Loan Facility two times up to its borrowing capacity of $2.0 billion until February 7, 2020. The VMware Term Loan Facility matures on the 364th day following the initial funding under the facility. The VMware Term Loan Facility bears interest at LIBOR plus 0.75% to 1.25%, or an alternative base rate plus 0.00% to 0.25%, depending on VMware Inc.’s external credit ratings. During the fiscal year ended January 31, 2020, VMware, Inc. drew down $3.4 billion and repaid $1.9 billion. As of January 31, 2020, the outstanding borrowings under the VMware Term Loan Facility were $1.5 billion, with no remaining amount available for additional borrowings. The VMware Term Loan Facility contains certain representations, warranties, and covenants.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See Note 4 and Note 7 of the Notes to the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Margin Loan Facility </w:t>
      </w:r>
      <w:r>
        <w:rPr>
          <w:rFonts w:ascii="Arial" w:cs="Arial" w:eastAsia="Arial" w:hAnsi="Arial"/>
          <w:sz w:val="17"/>
          <w:szCs w:val="17"/>
          <w:color w:val="auto"/>
        </w:rPr>
        <w:t>— On April 12, 2017, the Company entered into the Margin Loan Facility in an aggregate principal amount of $2.0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Class V transaction, on December 20, 2018, the Company amended the Margin Loan Facility to increase the aggregate principal amount of the facility to $3.35 billion. In connection with obtaining the Term Loan A-6 Facility, the Company increased the aggregate principal amount of the Margin Loan Facility to $4.0 billion. VMW Holdco LLC, a wholly-owned subsidiary of EMC, is the borrower under the Margin Loan Facility, which is secured by 60 million shares of Class B common stock of VMware, Inc. and 20 million shares of Class A common stock of VMware, Inc. Loans under the Margin Loan Facility bear interest at a rate per annum payable, at the borrower’s option, either at (a) a base rate plus 1.25% or (b) a LIBOR-based rate plus 2.25%. Interest under the Margin Loan Facility is payable quarterly. 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Pivotal Revolving Credit Facility </w:t>
      </w:r>
      <w:r>
        <w:rPr>
          <w:rFonts w:ascii="Arial" w:cs="Arial" w:eastAsia="Arial" w:hAnsi="Arial"/>
          <w:sz w:val="18"/>
          <w:szCs w:val="18"/>
          <w:color w:val="auto"/>
        </w:rPr>
        <w:t>— On September 7, 2017, Pivotal entered into a credit agreement (the “Pivotal Revolving Credit Facility”) that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for a senior secured revolving loan facility in an aggregate principal amount not to exceed $100 million. The credit facility contained customary representations, warranties, and covenants, including financial covenants. During the fiscal year ended January 31, 2020, the Pivotal Revolving Credit Facility was terminated.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aggregate future maturities of the Company’s debt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jc w:val="center"/>
              <w:ind w:left="259"/>
              <w:spacing w:after="0"/>
              <w:rPr>
                <w:sz w:val="20"/>
                <w:szCs w:val="20"/>
                <w:color w:val="auto"/>
              </w:rPr>
            </w:pPr>
            <w:r>
              <w:rPr>
                <w:rFonts w:ascii="Arial" w:cs="Arial" w:eastAsia="Arial" w:hAnsi="Arial"/>
                <w:sz w:val="16"/>
                <w:szCs w:val="16"/>
                <w:b w:val="1"/>
                <w:bCs w:val="1"/>
                <w:color w:val="auto"/>
                <w:w w:val="92"/>
              </w:rPr>
              <w:t>Maturities by Fiscal Year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6"/>
                <w:szCs w:val="16"/>
                <w:color w:val="auto"/>
                <w:w w:val="98"/>
              </w:rPr>
              <w:t>(in millions)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Secured Credit Facilities and First Lien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29,664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1,352</w:t>
            </w:r>
          </w:p>
        </w:tc>
      </w:tr>
      <w:tr>
        <w:trPr>
          <w:trHeight w:val="33"/>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5,500</w:t>
            </w:r>
          </w:p>
        </w:tc>
      </w:tr>
      <w:tr>
        <w:trPr>
          <w:trHeight w:val="33"/>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7,765</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17"/>
        </w:trPr>
        <w:tc>
          <w:tcPr>
            <w:tcW w:w="338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52,665</w:t>
            </w:r>
          </w:p>
        </w:tc>
      </w:tr>
      <w:tr>
        <w:trPr>
          <w:trHeight w:val="33"/>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43"/>
        </w:trPr>
        <w:tc>
          <w:tcPr>
            <w:tcW w:w="3380" w:type="dxa"/>
            <w:vAlign w:val="bottom"/>
          </w:tcPr>
          <w:p>
            <w:pPr>
              <w:ind w:left="180"/>
              <w:spacing w:after="0"/>
              <w:rPr>
                <w:sz w:val="20"/>
                <w:szCs w:val="20"/>
                <w:color w:val="auto"/>
              </w:rPr>
            </w:pPr>
            <w:r>
              <w:rPr>
                <w:rFonts w:ascii="Arial" w:cs="Arial" w:eastAsia="Arial" w:hAnsi="Arial"/>
                <w:sz w:val="16"/>
                <w:szCs w:val="16"/>
                <w:color w:val="auto"/>
              </w:rPr>
              <w:t>Total maturities, carrying value amount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7,737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7,745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17,862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52,056</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Covenants and Unrestricted Net Assets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agreement for the Senior Secured Credit Facilities contains customary negative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January 31, 2020,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Secureworks, and their respective subsidiaries, as of January 31, 2020.</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Term Loan A-4 Facility, the Term Loan A-6 Facility, and the Revolving Credit Facility are subject to a first lien leverage ratio covenant that is tested at the end of each fiscal quarter of Dell with respect to Dell’s preceding four fiscal quarters. The Company was in compliance with all financial covenants as of January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 AND HEDGING ACTIVITIES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fiscal years ended January 31, 2020, February 1, 2019, and February 2, 2018, the Company did not discontinue any cash flow hedges related to foreign exchange contracts that had a material impact on the Company’s results of operations due to the probability that the forecasted cash flows would not occur.</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connection with expanded offerings of DFS in Europe, forward contracts are used to hedge financing receivables denominated in foreign currencies other than Euro. These contracts are not designated for hedge accounting and most expire within three years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Euribor-based floating rate in order to match the floating rate nature of the banks’ funding pool. These contracts are not designated for hedge accounting and most expire within five years or less.</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0D0D0D"/>
        </w:rPr>
        <w:t xml:space="preserve">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Arial" w:cs="Arial" w:eastAsia="Arial" w:hAnsi="Arial"/>
          <w:sz w:val="17"/>
          <w:szCs w:val="17"/>
          <w:color w:val="000000"/>
        </w:rPr>
        <w:t>five years</w:t>
      </w:r>
      <w:r>
        <w:rPr>
          <w:rFonts w:ascii="Arial" w:cs="Arial" w:eastAsia="Arial" w:hAnsi="Arial"/>
          <w:sz w:val="17"/>
          <w:szCs w:val="17"/>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5"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Derivative Instruments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2"/>
        </w:trPr>
        <w:tc>
          <w:tcPr>
            <w:tcW w:w="7540" w:type="dxa"/>
            <w:vAlign w:val="bottom"/>
            <w:gridSpan w:val="3"/>
          </w:tcPr>
          <w:p>
            <w:pPr>
              <w:spacing w:after="0"/>
              <w:rPr>
                <w:sz w:val="20"/>
                <w:szCs w:val="20"/>
                <w:color w:val="auto"/>
              </w:rPr>
            </w:pPr>
            <w:r>
              <w:rPr>
                <w:rFonts w:ascii="Arial" w:cs="Arial" w:eastAsia="Arial" w:hAnsi="Arial"/>
                <w:sz w:val="18"/>
                <w:szCs w:val="18"/>
                <w:i w:val="1"/>
                <w:iCs w:val="1"/>
                <w:color w:val="auto"/>
              </w:rPr>
              <w:t>Notional Amounts of Outstanding Derivative Instruments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6"/>
        </w:trPr>
        <w:tc>
          <w:tcPr>
            <w:tcW w:w="128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8,703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7,573</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w:t>
            </w:r>
          </w:p>
        </w:tc>
      </w:tr>
      <w:tr>
        <w:trPr>
          <w:trHeight w:val="297"/>
        </w:trPr>
        <w:tc>
          <w:tcPr>
            <w:tcW w:w="754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13,702</w:t>
            </w:r>
          </w:p>
        </w:tc>
      </w:tr>
      <w:tr>
        <w:trPr>
          <w:trHeight w:val="237"/>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Non-designated as hedging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2,674</w:t>
            </w:r>
          </w:p>
        </w:tc>
      </w:tr>
    </w:tbl>
    <w:p>
      <w:pPr>
        <w:spacing w:after="0" w:line="200" w:lineRule="exact"/>
        <w:rPr>
          <w:sz w:val="20"/>
          <w:szCs w:val="20"/>
          <w:color w:val="auto"/>
        </w:rPr>
      </w:pPr>
    </w:p>
    <w:p>
      <w:pPr>
        <w:spacing w:after="0" w:line="24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Consolidated Statements of Financial Position and the Consolidated Statements of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Gain (Loss) Recognized in</w:t>
            </w: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Gain (Loss) Reclassified from</w:t>
            </w: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8"/>
                <w:szCs w:val="18"/>
                <w:b w:val="1"/>
                <w:bCs w:val="1"/>
                <w:color w:val="auto"/>
              </w:rPr>
              <w:t>Derivatives in Cash Flow Hedging</w:t>
            </w:r>
          </w:p>
        </w:tc>
        <w:tc>
          <w:tcPr>
            <w:tcW w:w="16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Accumulated OCI, Net of</w:t>
            </w:r>
          </w:p>
        </w:tc>
        <w:tc>
          <w:tcPr>
            <w:tcW w:w="120" w:type="dxa"/>
            <w:vAlign w:val="bottom"/>
          </w:tcPr>
          <w:p>
            <w:pPr>
              <w:spacing w:after="0"/>
              <w:rPr>
                <w:sz w:val="18"/>
                <w:szCs w:val="18"/>
                <w:color w:val="auto"/>
              </w:rPr>
            </w:pPr>
          </w:p>
        </w:tc>
        <w:tc>
          <w:tcPr>
            <w:tcW w:w="3240" w:type="dxa"/>
            <w:vAlign w:val="bottom"/>
            <w:gridSpan w:val="2"/>
          </w:tcPr>
          <w:p>
            <w:pPr>
              <w:ind w:left="180"/>
              <w:spacing w:after="0"/>
              <w:rPr>
                <w:sz w:val="20"/>
                <w:szCs w:val="20"/>
                <w:color w:val="auto"/>
              </w:rPr>
            </w:pPr>
            <w:r>
              <w:rPr>
                <w:rFonts w:ascii="Arial" w:cs="Arial" w:eastAsia="Arial" w:hAnsi="Arial"/>
                <w:sz w:val="18"/>
                <w:szCs w:val="18"/>
                <w:b w:val="1"/>
                <w:bCs w:val="1"/>
                <w:color w:val="auto"/>
                <w:w w:val="97"/>
              </w:rPr>
              <w:t>Location of Gain (Loss) Reclassified</w:t>
            </w:r>
          </w:p>
        </w:tc>
        <w:tc>
          <w:tcPr>
            <w:tcW w:w="200" w:type="dxa"/>
            <w:vAlign w:val="bottom"/>
          </w:tcPr>
          <w:p>
            <w:pPr>
              <w:spacing w:after="0"/>
              <w:rPr>
                <w:sz w:val="18"/>
                <w:szCs w:val="18"/>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Accumulated OCI into</w:t>
            </w:r>
          </w:p>
        </w:tc>
      </w:tr>
      <w:tr>
        <w:trPr>
          <w:trHeight w:val="234"/>
        </w:trPr>
        <w:tc>
          <w:tcPr>
            <w:tcW w:w="3160" w:type="dxa"/>
            <w:vAlign w:val="bottom"/>
            <w:gridSpan w:val="2"/>
          </w:tcPr>
          <w:p>
            <w:pPr>
              <w:ind w:left="100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Pr>
          <w:p>
            <w:pPr>
              <w:spacing w:after="0"/>
              <w:rPr>
                <w:sz w:val="20"/>
                <w:szCs w:val="20"/>
                <w:color w:val="auto"/>
              </w:rPr>
            </w:pPr>
          </w:p>
        </w:tc>
        <w:tc>
          <w:tcPr>
            <w:tcW w:w="2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Tax, on Derivatives</w:t>
            </w:r>
          </w:p>
        </w:tc>
        <w:tc>
          <w:tcPr>
            <w:tcW w:w="120" w:type="dxa"/>
            <w:vAlign w:val="bottom"/>
          </w:tcPr>
          <w:p>
            <w:pPr>
              <w:spacing w:after="0"/>
              <w:rPr>
                <w:sz w:val="20"/>
                <w:szCs w:val="20"/>
                <w:color w:val="auto"/>
              </w:rPr>
            </w:pPr>
          </w:p>
        </w:tc>
        <w:tc>
          <w:tcPr>
            <w:tcW w:w="3240" w:type="dxa"/>
            <w:vAlign w:val="bottom"/>
            <w:gridSpan w:val="2"/>
          </w:tcPr>
          <w:p>
            <w:pPr>
              <w:ind w:left="180"/>
              <w:spacing w:after="0"/>
              <w:rPr>
                <w:sz w:val="20"/>
                <w:szCs w:val="20"/>
                <w:color w:val="auto"/>
              </w:rPr>
            </w:pPr>
            <w:r>
              <w:rPr>
                <w:rFonts w:ascii="Arial" w:cs="Arial" w:eastAsia="Arial" w:hAnsi="Arial"/>
                <w:sz w:val="18"/>
                <w:szCs w:val="18"/>
                <w:b w:val="1"/>
                <w:bCs w:val="1"/>
                <w:color w:val="auto"/>
              </w:rPr>
              <w:t>from Accumulated OCI into Income</w:t>
            </w: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color w:val="auto"/>
                <w:w w:val="96"/>
              </w:rPr>
              <w:t>(in millions)</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358"/>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0"/>
              </w:rPr>
              <w:t>For the fiscal year ended January 31, 2020</w:t>
            </w:r>
          </w:p>
        </w:tc>
        <w:tc>
          <w:tcPr>
            <w:tcW w:w="16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8"/>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1"/>
              </w:rPr>
              <w:t>For the fiscal year ended February 1, 2019</w:t>
            </w:r>
          </w:p>
        </w:tc>
        <w:tc>
          <w:tcPr>
            <w:tcW w:w="16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8"/>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1"/>
              </w:rPr>
              <w:t>For the fiscal year ended February 2, 2018</w:t>
            </w:r>
          </w:p>
        </w:tc>
        <w:tc>
          <w:tcPr>
            <w:tcW w:w="16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2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Not Designated as Hedging Instruments on the Consolidated Statements of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Fiscal Year Ended</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7"/>
              </w:rPr>
              <w:t>Location of Gain (Loss)</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31, 2020</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February 1, 2019</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2, 2018</w:t>
            </w:r>
          </w:p>
        </w:tc>
        <w:tc>
          <w:tcPr>
            <w:tcW w:w="100" w:type="dxa"/>
            <w:vAlign w:val="bottom"/>
          </w:tcPr>
          <w:p>
            <w:pPr>
              <w:spacing w:after="0"/>
              <w:rPr>
                <w:sz w:val="20"/>
                <w:szCs w:val="20"/>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Recognized</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Interest and other, net</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40" w:type="dxa"/>
            <w:vAlign w:val="bottom"/>
            <w:gridSpan w:val="3"/>
          </w:tcPr>
          <w:p>
            <w:pPr>
              <w:jc w:val="right"/>
              <w:ind w:right="450"/>
              <w:spacing w:after="0"/>
              <w:rPr>
                <w:sz w:val="20"/>
                <w:szCs w:val="20"/>
                <w:color w:val="auto"/>
              </w:rPr>
            </w:pPr>
            <w:r>
              <w:rPr>
                <w:rFonts w:ascii="Arial" w:cs="Arial" w:eastAsia="Arial" w:hAnsi="Arial"/>
                <w:sz w:val="18"/>
                <w:szCs w:val="18"/>
                <w:color w:val="auto"/>
              </w:rPr>
              <w:t>4   Interest and other, net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08" w:right="3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Consolidated Statements of Financial Position</w:t>
      </w:r>
    </w:p>
    <w:p>
      <w:pPr>
        <w:spacing w:after="0" w:line="2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presents its foreign exchange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January 31,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980" w:type="dxa"/>
            <w:vAlign w:val="bottom"/>
          </w:tcPr>
          <w:p>
            <w:pPr>
              <w:jc w:val="right"/>
              <w:ind w:right="7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6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Liabilities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(in millions)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175</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1, 2019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980" w:type="dxa"/>
            <w:vAlign w:val="bottom"/>
          </w:tcPr>
          <w:p>
            <w:pPr>
              <w:jc w:val="right"/>
              <w:ind w:right="7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6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Liabilities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(in millions)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gross amounts of the Company’s derivative instruments, amounts offset due to master netting agreements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counterparties, and the net amounts recognized in the Consolidated Statements of Financial Position as of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January 31,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Gross Amounts not Offset in the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4"/>
              </w:rPr>
              <w:t>Assets/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Cash Collateral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February 1,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Gross Amounts not Offset in the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4"/>
              </w:rPr>
              <w:t>Assets/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Cash Collateral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COMBINATIONS,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January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 of Carbon Black, Inc.</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8, 2019, VMware, Inc. completed the acquisition of Carbon Black, Inc. (“Carbon Black”), a developer of cloud-native endpoint protection, in a cash tender offer for all of the outstanding shares of Carbon Black’s common stock, at a price of $26.00 per share. VMware, Inc. acquired Carbon Black to create a comprehensive intrinsic security portfolio to protect workloads, clients, and infrastructure from cloud to edge. VMware, Inc. believes that the acquisition will result in synergies with the Carbon Black platform and VMware NSX and VMware Workspace ONE offerings, among others, and enable VMware, Inc. to offer a highly-differentiated intrinsic security platform addressing multiple concerns of the security industry. The total preliminary purchase price was $2.0 billion, net of cash acquired of $111 million.</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Merger consideration totaling $18 million is held with a third-party paying agent and is payable to a certain employee of Carbon Black subject to specified future employment conditions and is being recognized as an expense over the requisite service period of approximately two years on a straight-line basis.</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VMware, Inc. assumed all of Carbon Black’s unvested stock options and restricted stock awards outstanding at the completion of the acquisition with an estimated fair value of $181 million. Of the total consideration, $10 million was allocated to the purchase price and $171 million was allocated to future services and will be expensed over the remaining requisite service periods of approximately three years on a straight-line basis. The estimated fair value of the stock options assumed by VMware, Inc. was determined using the Black-Scholes option pricing model. A share conversion ratio of 0.2 was applied to convert Carbon Black’s outstanding stock awards into awards for shares of VMware, Inc.'s common stock.</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preliminary allocation of the consideration to the fair value of the assets acquired and liabilities assumed on the date of acquisition.</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Preliminary Allocation</w:t>
            </w:r>
          </w:p>
        </w:tc>
      </w:tr>
      <w:tr>
        <w:trPr>
          <w:trHeight w:val="27"/>
        </w:trPr>
        <w:tc>
          <w:tcPr>
            <w:tcW w:w="8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8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right"/>
              <w:ind w:right="650"/>
              <w:spacing w:after="0"/>
              <w:rPr>
                <w:sz w:val="20"/>
                <w:szCs w:val="20"/>
                <w:color w:val="auto"/>
              </w:rPr>
            </w:pPr>
            <w:r>
              <w:rPr>
                <w:rFonts w:ascii="Arial" w:cs="Arial" w:eastAsia="Arial" w:hAnsi="Arial"/>
                <w:sz w:val="18"/>
                <w:szCs w:val="18"/>
                <w:color w:val="auto"/>
              </w:rPr>
              <w:t>(in millions)</w:t>
            </w:r>
          </w:p>
        </w:tc>
      </w:tr>
      <w:tr>
        <w:trPr>
          <w:trHeight w:val="27"/>
        </w:trPr>
        <w:tc>
          <w:tcPr>
            <w:tcW w:w="8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8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1,588</w:t>
            </w:r>
          </w:p>
        </w:tc>
      </w:tr>
      <w:tr>
        <w:trPr>
          <w:trHeight w:val="27"/>
        </w:trPr>
        <w:tc>
          <w:tcPr>
            <w:tcW w:w="8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acquired assets</w:t>
            </w:r>
          </w:p>
        </w:tc>
        <w:tc>
          <w:tcPr>
            <w:tcW w:w="2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37"/>
        </w:trPr>
        <w:tc>
          <w:tcPr>
            <w:tcW w:w="8820" w:type="dxa"/>
            <w:vAlign w:val="bottom"/>
          </w:tcPr>
          <w:p>
            <w:pPr>
              <w:ind w:left="2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2,301</w:t>
            </w:r>
          </w:p>
        </w:tc>
      </w:tr>
      <w:tr>
        <w:trPr>
          <w:trHeight w:val="27"/>
        </w:trPr>
        <w:tc>
          <w:tcPr>
            <w:tcW w:w="8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Other assumed liabilities</w:t>
            </w:r>
          </w:p>
        </w:tc>
        <w:tc>
          <w:tcPr>
            <w:tcW w:w="20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8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57"/>
        </w:trPr>
        <w:tc>
          <w:tcPr>
            <w:tcW w:w="8820" w:type="dxa"/>
            <w:vAlign w:val="bottom"/>
          </w:tcPr>
          <w:p>
            <w:pPr>
              <w:ind w:left="480"/>
              <w:spacing w:after="0"/>
              <w:rPr>
                <w:sz w:val="20"/>
                <w:szCs w:val="20"/>
                <w:color w:val="auto"/>
              </w:rPr>
            </w:pPr>
            <w:r>
              <w:rPr>
                <w:rFonts w:ascii="Arial" w:cs="Arial" w:eastAsia="Arial" w:hAnsi="Arial"/>
                <w:sz w:val="18"/>
                <w:szCs w:val="18"/>
                <w:color w:val="auto"/>
              </w:rPr>
              <w:t>Fair value of assets acquired and liabilities assumed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2,105</w:t>
            </w: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components of the intangible assets acquired and their estimated useful lives by VMware, Inc. in conjunction with the acquisition.</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 Useful</w:t>
            </w: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638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Lives</w:t>
            </w:r>
          </w:p>
        </w:tc>
        <w:tc>
          <w:tcPr>
            <w:tcW w:w="280" w:type="dxa"/>
            <w:vAlign w:val="bottom"/>
          </w:tcPr>
          <w:p>
            <w:pPr>
              <w:spacing w:after="0"/>
              <w:rPr>
                <w:sz w:val="20"/>
                <w:szCs w:val="20"/>
                <w:color w:val="auto"/>
              </w:rPr>
            </w:pP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 Value Amount</w:t>
            </w:r>
          </w:p>
        </w:tc>
      </w:tr>
      <w:tr>
        <w:trPr>
          <w:trHeight w:val="27"/>
        </w:trPr>
        <w:tc>
          <w:tcPr>
            <w:tcW w:w="638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91"/>
        </w:trPr>
        <w:tc>
          <w:tcPr>
            <w:tcW w:w="638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4"/>
                <w:szCs w:val="24"/>
                <w:color w:val="auto"/>
              </w:rPr>
            </w:pPr>
          </w:p>
        </w:tc>
        <w:tc>
          <w:tcPr>
            <w:tcW w:w="2080" w:type="dxa"/>
            <w:vAlign w:val="bottom"/>
          </w:tcPr>
          <w:p>
            <w:pPr>
              <w:jc w:val="right"/>
              <w:ind w:right="650"/>
              <w:spacing w:after="0"/>
              <w:rPr>
                <w:sz w:val="20"/>
                <w:szCs w:val="20"/>
                <w:color w:val="auto"/>
              </w:rPr>
            </w:pPr>
            <w:r>
              <w:rPr>
                <w:rFonts w:ascii="Arial" w:cs="Arial" w:eastAsia="Arial" w:hAnsi="Arial"/>
                <w:sz w:val="18"/>
                <w:szCs w:val="18"/>
                <w:color w:val="auto"/>
              </w:rPr>
              <w:t>(in millions)</w:t>
            </w:r>
          </w:p>
        </w:tc>
      </w:tr>
      <w:tr>
        <w:trPr>
          <w:trHeight w:val="27"/>
        </w:trPr>
        <w:tc>
          <w:tcPr>
            <w:tcW w:w="6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Customer relationships and customer lists</w:t>
            </w:r>
          </w:p>
        </w:tc>
        <w:tc>
          <w:tcPr>
            <w:tcW w:w="234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6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63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r>
      <w:tr>
        <w:trPr>
          <w:trHeight w:val="20"/>
        </w:trPr>
        <w:tc>
          <w:tcPr>
            <w:tcW w:w="6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acquired was recorded as goodwill. The estimated fair value assigned to the tangible assets, identifiable intangible assets, and assumed liabilities were based on VMware, Inc. management's estimates and assumptions. The initial allocation of the purchase price was based on preliminary valuations and assumptions and is subject to change within the measurement period. Additionally, current and non-current income taxes payable and deferred taxes may be subject to change as additional information is received and tax returns are finalized. VMware, Inc. expects to finalize the allocation of the purchase price within the measurement period. VMware, Inc. expects that goodwill and identifiable intangible assets will not be deductible for tax purposes.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 forma financial information assuming the acquisition had occurred as of the beginning of the fiscal year prior to the fiscal year of acquisition, as well as the revenue and earnings generated during the current fiscal year, were not material for disclosure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VMware, Inc. Acquisitions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fiscal year ended January 31, 2020, VMware, Inc. completed the acquisition of Avi Networks, Inc., a provider of multi-cloud application delivery services. Together, VMware, Inc. and Avi Networks, Inc. expect to deliver a software defined networking stack built for the multi-cloud environment. The total purchase price was $326 million, net of cash acquired of $9 million. The purchase price primarily included $94 million of identifiable intangible assets and $228 million of goodwill that is not expected to be deductible for tax purposes. The Company has not presented pro forma results of operations for this acquisition because it is not material to the Company’s consolidated results of operations, financial position, or cash flows.</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VMware, Inc. completed other acquisitions during the fiscal year ended January 31, 2020 which were not material individually or collectively to the Consolidated Financial Statements. VMware, Inc. expects that these acquisitions will enhance its product features and capabilities for its software-defined data center solutions and software-as-a-service offerings.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each of the acquisitions during the fiscal year ended January 31, 2020, the initial allocation of the purchase price was based on preliminary valuations and assumptions and is subject to change within the measurement period. VMware, Inc. expects to finalize the allocation of the purchase price for each of the acquisitions within the measurement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February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CloudHealth Technologies, Inc. </w:t>
      </w:r>
      <w:r>
        <w:rPr>
          <w:rFonts w:ascii="Arial" w:cs="Arial" w:eastAsia="Arial" w:hAnsi="Arial"/>
          <w:sz w:val="17"/>
          <w:szCs w:val="17"/>
          <w:color w:val="auto"/>
        </w:rPr>
        <w:t>— During the third quarter of the fiscal year ended February 1, 2019, VMware, Inc. completed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CloudHealth Technologies, Inc. (“CloudHealth Technologies”), a company delivering a cloud operations platform that enables customers to analyze and manage cloud cost, usage, security, and performance centrally for native public clouds. The total purchase price was $495 million, net of cash acquired of $26 million and primarily included $101 million of identifiable intangible assets and $394 million of goodwill that is not expected to be deductible for tax purposes. The identifiable intangible assets included completed technology of $69 million and customer relationships of $18 million, with estimated useful lives of one to five years. The fair value of assumed unvested equity awards attributed to post-combination services was $39 million and will be expensed over the remaining requisite service periods on a straight-line basis.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Heptio Inc. </w:t>
      </w:r>
      <w:r>
        <w:rPr>
          <w:rFonts w:ascii="Arial" w:cs="Arial" w:eastAsia="Arial" w:hAnsi="Arial"/>
          <w:sz w:val="16"/>
          <w:szCs w:val="16"/>
          <w:color w:val="auto"/>
        </w:rPr>
        <w:t>— During the fourth quarter of the fiscal year ended February 1, 2019, VMware, Inc. completed the acquisition of Heptio Inc. (“Heptio”),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of products and services that help enterprises deploy and operationalize Kubernetes software. The total purchase price was $420 million, net of cash acquired of $15 million. The purchase price primarily included $27 million of identifiable intangible assets and $392 million of goodwill that is not expected to be deductible for tax purposes. The identifiable intangible assets primarily consisted of completed technology of $20 million, with an estimated useful life of five years. Merger consideration totaling $117 million, including $24 million that was held in escrow, is payable to certain employees of Heptio subject to specified future employment conditions and is being recognized as expense over the requisite service periods on a straight-line basis. Compensation expense recognized during the year ended February 1, 2019 was not significant. The fair value of assumed unvested equity awards attributed to post-combination services was $47 million and will be expensed over the remaining requisite service periods on a straight-line basis.</w:t>
      </w:r>
    </w:p>
    <w:p>
      <w:pPr>
        <w:spacing w:after="0" w:line="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not presented pro forma results of operations for the foregoing acquisitions because they are not material to the Company’s consolidated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February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 xml:space="preserve">VeloCloud Networks, Inc. </w:t>
      </w:r>
      <w:r>
        <w:rPr>
          <w:rFonts w:ascii="Arial" w:cs="Arial" w:eastAsia="Arial" w:hAnsi="Arial"/>
          <w:sz w:val="17"/>
          <w:szCs w:val="17"/>
          <w:color w:val="auto"/>
        </w:rPr>
        <w:t>— During the fourth quarter of the fiscal year ended February 2, 2018, VMware, Inc. completed the acquisition of VeloCloud</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Inc. (“VeloCloud”), a provider of cloud-delivered software-defined wide-area network (SD-WAN) technology for enterprises and service providers. VMware, Inc. acquired VeloCloud to build on its network virtualization platform, VMware NSX, and to expand its networking portfolio. The total purchase price was $449 million, net of cash acquired of $24 million. Prior to the closing of the acquisition, Dell Technologies, including VMware Inc., held an ownership interest in VeloCloud. Upon completion of the step acquisition, Dell Technologies recognized a gain of $8 million in interest and other, net for the remeasurement of its previously held ownership interest to fair value, which was $12 million.</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Other Business Combinations </w:t>
      </w:r>
      <w:r>
        <w:rPr>
          <w:rFonts w:ascii="Arial" w:cs="Arial" w:eastAsia="Arial" w:hAnsi="Arial"/>
          <w:sz w:val="18"/>
          <w:szCs w:val="18"/>
          <w:color w:val="auto"/>
        </w:rPr>
        <w:t>— During the second quarter of the fiscal year ended February 2, 2018, VMware, Inc. completed the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Wavefront and Apteligent, Inc., which were not material to the Consolidated Financial Statements. These acquisitions are a part of VMware, Inc.’s strategy to accelerate the development of VMware, Inc.’s cloud services and other technologies. The aggregate purchase price for the two acquisitions was $323 million, inclusive of the fair value of the Company’s existing investment in Wavefront of $69 million and cash acquired of $35 million. The aggregate purchase price included $36 million of identifiable intangible assets and $238 million of goodwill that is not expected to be deductible for tax purposes. Prior to the closing of the acquisition, Dell Technologies, including VMware, Inc., held an ownership interest in Wavefront. Upon completion of the step acquisition, Dell Technologies recognized a $45 million gain in interest and other, net for the remeasurement of its previously held ownership interest to fair value.</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not presented pro forma results of operations for the foregoing acquisitions because they are not material to the Company’s consolidated results of operations, financial position,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Infrastructure Solutions Group, Client Solutions Group, and VMware reporting units are consistent with the reportable segments identified in Note 19 of the Notes to the Consolidated Financial Statements. Offerings within Other Businesses as defined below represent separate reporting units.</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fiscal year ended January 31, 2020, VMware, Inc. completed its acquisition of Pivotal which was accounted for as a transaction by entities under common control, and Dell Technologies now reports Pivotal results within the VMware reportable segment. Pivotal results and goodwill were previously included within Other businesses. The historical segment results and the historical carrying amounts of goodwill attributable to Pivotal ($2.2 billion as of February 2, 2018) have been recast to reflect this change. See Note 19 of the Notes to the Consolidated Financial Statements for the recast of segment results.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fiscal year ended February 1, 2019, the Company made certain segment reporting changes, which included the movement of operating results of Virtustream Group Holdings, Inc. (“Virtustream”) from the Infrastructure Solutions Group segment to Other Businesses. The historical carrying amount of goodwill attributable to Virtustream was reclassified to Other Businesses to align with these reporting changes.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goodwill allocated to the Company’s reportable segments and changes in the carrying amount of goodwill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Infrastructure</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Client Solutions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Solutions Group</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Group</w:t>
            </w:r>
          </w:p>
        </w:tc>
        <w:tc>
          <w:tcPr>
            <w:tcW w:w="24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(a)</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Goodwill acquired (b)</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Goodwill divested</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impaired (c)</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Balances as of February 1, 2019</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acquired (b)</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impaired (c)</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Balance as of January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41,691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Businesses consists of offerings by Secureworks, Virtustream, Boomi, and RSA Security.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VMware, Inc. business combinations completed during the fiscal years ended January 31, 2020 and February 1, 2019, as discussed above.</w:t>
      </w:r>
    </w:p>
    <w:p>
      <w:pPr>
        <w:spacing w:after="0" w:line="20" w:lineRule="exact"/>
        <w:rPr>
          <w:rFonts w:ascii="Arial" w:cs="Arial" w:eastAsia="Arial" w:hAnsi="Arial"/>
          <w:sz w:val="17"/>
          <w:szCs w:val="17"/>
          <w:color w:val="auto"/>
        </w:rPr>
      </w:pPr>
    </w:p>
    <w:p>
      <w:pPr>
        <w:ind w:left="340" w:right="60" w:hanging="332"/>
        <w:spacing w:after="0" w:line="26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recognized goodwill impairment charges related to Virtustream during the fiscal years ended January 31, 2020 and February 1, 2019, as discussed below.</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u w:val="single" w:color="auto"/>
          <w:color w:val="auto"/>
        </w:rPr>
        <w:t>Annual Goodwill Impairment Test</w:t>
      </w:r>
      <w:r>
        <w:rPr>
          <w:rFonts w:ascii="Arial" w:cs="Arial" w:eastAsia="Arial" w:hAnsi="Arial"/>
          <w:sz w:val="16"/>
          <w:szCs w:val="16"/>
          <w:i w:val="1"/>
          <w:iCs w:val="1"/>
          <w:color w:val="auto"/>
        </w:rPr>
        <w:t xml:space="preserve"> </w:t>
      </w:r>
      <w:r>
        <w:rPr>
          <w:rFonts w:ascii="Arial" w:cs="Arial" w:eastAsia="Arial" w:hAnsi="Arial"/>
          <w:sz w:val="16"/>
          <w:szCs w:val="16"/>
          <w:color w:val="auto"/>
        </w:rPr>
        <w:t>— Goodwill and indefinite-lived intangible assets are tested for impairment annually during the third fiscal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circumstances may indicate that an impairment has occurred.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performing a quantitative goodwill impairment test to measure the fair value of each goodwill reporting unit relative to its carrying amount, and to determine the amount of goodwill impairment loss to be recognized, if any.</w:t>
      </w:r>
    </w:p>
    <w:p>
      <w:pPr>
        <w:spacing w:after="0" w:line="16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unless the reporting unit relates to a publicly-traded entity (VMware, Inc. or Secureworks), in which case the fair value is determined based primarily on the public company market valuation. The discounted cash flow and public company multiples methodologies require significant judgment, including estimation of future cash flows, which is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of the indefinite-lived trade names is generally estimated using discounted cash flow methodologies. The discounted cash flow methodology requires significant judgment, including estimation of future revenue, which is dependent on internal forecasts,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Based on the results of the annual impairment test performed during the fiscal year ended January 31, 2020, the fair values of each of the reporting units exceeded their carrying values. However, it was determined that the fair value of the RSA Security reporting unit exceeded its carrying value by 13% as of November 1, 2019. The Company’s entry into a definitive agreement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sell RSA Security for $2.075 billion provided a new fair value indication that the RSA Security reporting unit exceeds carrying value. Subsequent to the annual impairment test, based on fair value indicators as of January 31, 2020 it was determined that the fair value of the RSA Security reporting unit exceeded its carrying amount by 20%. For more information regarding the pending sale of RSA Security, see Note 24 of the Notes to the Consolidated Financial Statements. During the fiscal year ended January 31, 2020, an interim impairment assessment of Virtustream was required as discussed further below.</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fiscal year ended February 1, 2019, an annual impairment test was performed, and then an additional interim impairment analysis was performed following the close of the Class V transaction in December 2018 given the availability of market data for the fair value of the Class C Common Stock. Based on the results of the impairment tests performed during the fiscal year ended February 1, 2019, the fair values of each of the reporting units, except for the Virtustream reporting unit, exceeded their carrying values.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Virtustream’s results, which are reported within the Company’s Other businesses, do not meet the requirements for a reportable segment and are not material to the Company’s overall results. Virtustream delivers an application management cloud platform for enterprise mission-critical workloads in the infrastructure-as-a-service market, and had approximately $0.4 billion in goodwill that was derived from the EMC merger transaction during the fiscal year ended February 3, 2017. Virtustream forecasts were revised downward due to a resetting of the longer term business model that is focused on a streamlined product portfolio.</w:t>
      </w:r>
    </w:p>
    <w:p>
      <w:pPr>
        <w:spacing w:after="0" w:line="18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During the fiscal year ended February 1, 2019, it was determined that the carrying value of the Virtustream reporting unit exceeded its fair value, and, as such, a goodwill impairment charge of approximately $190 million was recognized, and was classified in Selling, general, and administrative in the Consolidated Statements of Income (Loss). The impairment is reflected as a reduction in Goodwill of approximately $190 million in the Consolidated Statements of Financial Position as of February 1, 2019. The Company did not have any accumulated goodwill impairment charges from prior period goodwill impairment tests.</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During the fiscal year ended January 31, 2020, the Company evaluated strategic alternatives for Virtustream that provided new fair value indicators and resulted in the need to perform an interim impairment assessment of both long-lived assets (including intangible assets) and goodwill. Based on the results of the impairment assessment, it was determined that the fair value of the asset group was less than its carrying value. A gross impairment charge of $619 million ($524 million net of tax benefits) was recognized related to Virtustream intangible assets, property, plant, and equipment, and remaining goodwill during the three months ended August 2, 2019 and was classified in Selling, general, and administrative in the Consolidated Statements of Income (Loss). Additionally, required deferred tax adjustments associated with the intangible assets and property, plant, and equipment resulted in the recognition of an income tax benefit of $95 million in the Consolidated Statements of Income (Loss). The impairment is reflected in the Consolidated Statements of Financial Position as of January 31, 2020 as a reduction in Goodwill of $207 million, a reduction in Intangible assets, net of $266 million, a reduction in Property, plant, and equipment, net of $146 million, and a reduction in Other non-current liabilities of $95 million related to deferred income taxes.</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are no remaining balances of Virtustream goodwill, intangible assets, or property, plant, and equipment as of January 31, 2020 following the respective impairment charges recognized during the fiscal years ended January 31, 2020 and February 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January 31, 2020</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February 1, 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5"/>
          </w:tcPr>
          <w:p>
            <w:pPr>
              <w:ind w:left="38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6,665</w:t>
            </w: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Leasehold assets (liabilities)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18,515</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3,755</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22,270</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Amortization expense related to definite-lived intangible assets was approximately $4.4 billion, $6.1 billion, and $7.0 billion for the fiscal years ended January 31, 2020, February 1, 2019, and February 2, 2018, respectively. During the fiscal year ended January 31, 2020, an impairment charge related to Virtustream intangible assets, net was approximately $266 million, as discussed above. During the fiscal year ended February 1, 2019, due to Virtustream business changes, the Virtustream definite-lived intangible assets were tested for impairment using a quantitative analysis, and no impairment was identified. There were no material impairment charges related to intangible assets during the fiscal year ended February 2, 2018.</w:t>
      </w:r>
    </w:p>
    <w:p>
      <w:pPr>
        <w:spacing w:after="0" w:line="16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Due to the adoption of the new lease standard discussed in Note 2 of the Notes to the Consolidated Financial Statements, the Company derecognized all intangible leasehold assets and adjusted the carrying amount of the ROU assets by a corresponding amount as of January 31, 2020.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estimated future annual pre-tax amortization expense of definite-lived intangible assets as of the date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January 31, 2020</w:t>
            </w:r>
          </w:p>
        </w:tc>
        <w:tc>
          <w:tcPr>
            <w:tcW w:w="0" w:type="dxa"/>
            <w:vAlign w:val="bottom"/>
          </w:tcPr>
          <w:p>
            <w:pPr>
              <w:spacing w:after="0"/>
              <w:rPr>
                <w:sz w:val="1"/>
                <w:szCs w:val="1"/>
                <w:color w:val="auto"/>
              </w:rPr>
            </w:pPr>
          </w:p>
        </w:tc>
      </w:tr>
      <w:tr>
        <w:trPr>
          <w:trHeight w:val="27"/>
        </w:trPr>
        <w:tc>
          <w:tcPr>
            <w:tcW w:w="3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5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ind w:right="6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2021</w:t>
            </w:r>
          </w:p>
        </w:tc>
        <w:tc>
          <w:tcPr>
            <w:tcW w:w="5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2023</w:t>
            </w:r>
          </w:p>
        </w:tc>
        <w:tc>
          <w:tcPr>
            <w:tcW w:w="5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2025</w:t>
            </w:r>
          </w:p>
        </w:tc>
        <w:tc>
          <w:tcPr>
            <w:tcW w:w="5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57"/>
        </w:trPr>
        <w:tc>
          <w:tcPr>
            <w:tcW w:w="3220" w:type="dxa"/>
            <w:vAlign w:val="bottom"/>
          </w:tcPr>
          <w:p>
            <w:pPr>
              <w:ind w:left="180"/>
              <w:spacing w:after="0"/>
              <w:rPr>
                <w:sz w:val="20"/>
                <w:szCs w:val="20"/>
                <w:color w:val="auto"/>
              </w:rPr>
            </w:pPr>
            <w:r>
              <w:rPr>
                <w:rFonts w:ascii="Arial" w:cs="Arial" w:eastAsia="Arial" w:hAnsi="Arial"/>
                <w:sz w:val="18"/>
                <w:szCs w:val="18"/>
                <w:color w:val="auto"/>
              </w:rPr>
              <w:t>Total</w:t>
            </w:r>
          </w:p>
        </w:tc>
        <w:tc>
          <w:tcPr>
            <w:tcW w:w="56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14,352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660" w:type="dxa"/>
            <w:vAlign w:val="bottom"/>
            <w:vMerge w:val="restart"/>
          </w:tcPr>
          <w:p>
            <w:pPr>
              <w:jc w:val="right"/>
              <w:ind w:right="3030"/>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22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REVENUE</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for support and deployment services, software maintenance, professional services, training, and SaaS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has a right to invoice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deferred revenue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2020</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February 1, 2019</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Deferred revenue at beginning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24,010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20,816</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Revenue deferrals for new contracts and changes in estimates for pre-existing contracts (a)</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(19,676)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(17,386)</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revenue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27,800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24,010</w:t>
            </w: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deferred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12,944</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Long-term 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11,066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9" w:lineRule="exact"/>
        <w:rPr>
          <w:rFonts w:ascii="Arial" w:cs="Arial" w:eastAsia="Arial" w:hAnsi="Arial"/>
          <w:sz w:val="18"/>
          <w:szCs w:val="18"/>
          <w:color w:val="auto"/>
        </w:rPr>
      </w:pPr>
    </w:p>
    <w:p>
      <w:pPr>
        <w:ind w:left="340" w:right="620" w:hanging="332"/>
        <w:spacing w:after="0" w:line="26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Acquired deferred revenue from Carbon Black, Inc. during the fiscal year ended January 31, 2020. See Note 8 of the Notes to the Consolidated Financial Statements for additional information related to this acquisition.</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 Remaining performance obligations represent the aggregate amount of the transaction price allocated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January 31, 2020 was approximately $36 billion. The Company expects to recognize approximately 61% of remaining performance obligations as revenue in the next twelve months, and the remainder thereafter.</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1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contractual obligations to purchase goods or services, which specify significant terms, including fixed or minimum quantities to be purchased; fixed, minimum, or variable price provisions; and the approximate timing of the transaction. As of January 31, 2020, purchase obligations were $3,900 million, $298 million, and $154 million for Fiscal 2021, Fiscal 2022, and Fiscal 2023 and thereafter,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leases property and equipment, manufacturing facilities, and office space under non-cancelable leases. As of January 31, 2020, the future maturity of the Company’s operating lease liabilities under non-cancelable leases was as follows: $458 million in Fiscal 2021; $380 million in Fiscal 2022; $292 million in Fiscal 2023; $201 million in Fiscal 2024; $131 million in Fiscal 2025; and $677 million thereafter.</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amount of future lease commitments after Fiscal 2025 is primarily for the ground lease on VMware, Inc.’s Palo Alto, California headquarter facilities, which expires in Fiscal 2047.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January 31, 2020, the Company has additional operating leases that have not yet commenced of $681 million. These operating leases will commence during Fiscal 2021 with lease terms of one year to 16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significant legal matters and other proceedings:</w:t>
      </w:r>
    </w:p>
    <w:p>
      <w:pPr>
        <w:spacing w:after="0" w:line="225"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 On May 21, 2014, a securities class action seeking compensatory damages was filed in the United States District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Southern District of New York, captioned City of Pontiac General Employees’ Retirement System v. Dell Inc., et. al. (Case No. 1:14-cv-03644). The action names as defendants Dell Inc. (“Dell”) and certain current and former executive officers, and alleges that Dell made false and misleading statements about Dell’s financial results and future prospects between February 21, 2012 and May 22, 2012, which resulted in artificially inflated stock prices. The case was transferred to the United States District Court for the Western District of Texas under the same caption (Case No. 1:15-cv-00374), where the defendants filed a motion to dismiss. On September 16, 2016, the Court denied the motion to dismiss. On March 29, 2018, the Court granted the plaintiffs’ motion for class certification, and certified a class consisting of all purchasers of Dell common stock between February 22, 2012 and May 22, 2012. The parties subsequently agreed to an immaterial settlement amount, and notice of the settlement was mailed to stockholders in October 2019. The Count approved the settlement on January 10, 2020 and payments are currently being made thereunder. The matter is now closed.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125" w:right="3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69" w:lineRule="auto"/>
        <w:rPr>
          <w:sz w:val="20"/>
          <w:szCs w:val="20"/>
          <w:color w:val="auto"/>
        </w:rPr>
      </w:pPr>
      <w:r>
        <w:rPr>
          <w:rFonts w:ascii="Arial" w:cs="Arial" w:eastAsia="Arial" w:hAnsi="Arial"/>
          <w:sz w:val="17"/>
          <w:szCs w:val="17"/>
          <w:i w:val="1"/>
          <w:iCs w:val="1"/>
          <w:color w:val="auto"/>
        </w:rPr>
        <w:t xml:space="preserve">Class Actions Related to the Class V Transaction </w:t>
      </w:r>
      <w:r>
        <w:rPr>
          <w:rFonts w:ascii="Arial" w:cs="Arial" w:eastAsia="Arial" w:hAnsi="Arial"/>
          <w:sz w:val="17"/>
          <w:szCs w:val="17"/>
          <w:color w:val="auto"/>
        </w:rPr>
        <w:t>— Four purported stockholders brought putative class action complaints arising out of the Class</w:t>
      </w:r>
      <w:r>
        <w:rPr>
          <w:rFonts w:ascii="Arial" w:cs="Arial" w:eastAsia="Arial" w:hAnsi="Arial"/>
          <w:sz w:val="17"/>
          <w:szCs w:val="17"/>
          <w:i w:val="1"/>
          <w:iCs w:val="1"/>
          <w:color w:val="auto"/>
        </w:rPr>
        <w:t xml:space="preserve"> </w:t>
      </w:r>
      <w:r>
        <w:rPr>
          <w:rFonts w:ascii="Arial" w:cs="Arial" w:eastAsia="Arial" w:hAnsi="Arial"/>
          <w:sz w:val="17"/>
          <w:szCs w:val="17"/>
          <w:color w:val="auto"/>
        </w:rPr>
        <w:t>V transaction described in Note 14 of the Notes to the Consolidated Financial Statements. The actions were captioned Hallandale Beach Police and Fire Retirement Plan v. Michael Dell et al. (Civil Action No. 2018-0816-JTL), Howard Karp v. Michael Dell et al. (Civil Action No. 2019-0032-JTL), Miramar Police Officers’ Retirement Plan v. Michael Dell et al. (Civil Action No. 2019-0049-JTL), and Steamfitters Local 449 Pension Plan v. Michael Dell et al. (Civil Action No. 2019-0115-JTL). The four actions were consolidated into In Re Dell Class V Litigation (Consol. C.A. No. 2018-0816-JTL), which names as defendants the Company’s board of directors and certain stockholders of the Company, including Michael S. Dell. The plaintiffs generally allege that the defendants breached their fiduciary duties to the former holders of Class V Common Stock in connection with the Class V transaction by allegedly causing the Company to enter into a transaction that favored the interests of the controlling stockholders at the expense of such former stockholders. The plaintiffs filed an amended complaint in August 2019 making substantially similar allegations to those described above. The defendants filed a motion to dismiss the action in September 2019. The plaintiffs replied to the motion to dismiss in November 2019, and the defendants filed a reply in December 2019. A hearing on the motion to dismiss was held on March 13, 2020, and we expect a decision within ninety days.</w:t>
      </w:r>
    </w:p>
    <w:p>
      <w:pPr>
        <w:spacing w:after="0" w:line="179"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i w:val="1"/>
          <w:iCs w:val="1"/>
          <w:color w:val="auto"/>
        </w:rPr>
        <w:t xml:space="preserve">Patent Litigation </w:t>
      </w:r>
      <w:r>
        <w:rPr>
          <w:rFonts w:ascii="Arial" w:cs="Arial" w:eastAsia="Arial" w:hAnsi="Arial"/>
          <w:sz w:val="17"/>
          <w:szCs w:val="17"/>
          <w:color w:val="auto"/>
        </w:rPr>
        <w:t>— On April 25, 2019, Cirba Inc. (“Cirba”) filed a lawsuit against VMware, Inc. in the United States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Delaware, alleging two patent infringement claims and three trademark infringement-related claims. On May 6, 2019, Cirba filed a motion seeking a preliminary injunction tied to one of the two patents it alleges VMware, Inc. infringes. Following a hearing on August 6, 2019, the Court denied Cirba’s preliminary injunction motion and set the case for trial in mid-January 2020. On August 20, 2019, VMware, Inc. filed counterclaims against Cirba, asserting among other claims that Cirba is infringing four VMware, Inc. patents. The Delaware Court severed those claims from the January 2020 trial on Cirba’s claims, and the trial on VMware, Inc.’s patent claims is currently set for September 2021. On October 22, 2019, VMware, Inc. filed a separate patent infringement lawsuit against Cirba in the United States District Court for the Eastern District of Virginia, asserting that Cirba infringes four additional VMware, Inc. patents. The trial on Cirba’s claims in Delaware was completed on January 23, 2020, and on January 24, 2020, the jury returned a verdict finding that VMware, Inc. willfully infringed the two asserted patents and awarding approximately $237 million in damages. The jury further found that VMware, Inc. was not liable on Cirba’s trademark infringement-related claims. A total of $237 million has been accrued for the Delaware action and reflects the estimated losses that are considered both probable and reasonably estimable at this time. The parties will now move to the post-trial briefing stage in the Delaware Court. VMware, Inc. intends to vigorously defend itself in this matter, including seeking to overturn the jury’s verdict in the first Delaware trial during the post-trial briefing stage and, if necessary, on appeal. Cirba has expressed its intent to seek a permanent injunction, enhanced damages, and attorneys’ fees in the Delaware action. As noted above, VMware, Inc. intends to pursue arguments both in the Delaware Court and, if necessary, the Federal Circuit to overturn the jury’s verdict. Final resolution of this matter could be materially different from the amount accrued. The amount accrued for this matter is included in Accrued and other on the Consolidated Statements of Financial Position, and the charge is classified in Selling, general and administrative on the Consolidated Statements of Income (Loss).</w:t>
      </w:r>
    </w:p>
    <w:p>
      <w:pPr>
        <w:spacing w:after="0" w:line="190"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i w:val="1"/>
          <w:iCs w:val="1"/>
          <w:color w:val="auto"/>
        </w:rPr>
        <w:t xml:space="preserve">Copyright Levies </w:t>
      </w:r>
      <w:r>
        <w:rPr>
          <w:rFonts w:ascii="Arial" w:cs="Arial" w:eastAsia="Arial" w:hAnsi="Arial"/>
          <w:sz w:val="16"/>
          <w:szCs w:val="16"/>
          <w:color w:val="auto"/>
        </w:rPr>
        <w:t>— The Company is involved in various proceedings and negotiations regarding Dell’s obligation to collect and remit copyright</w:t>
      </w:r>
      <w:r>
        <w:rPr>
          <w:rFonts w:ascii="Arial" w:cs="Arial" w:eastAsia="Arial" w:hAnsi="Arial"/>
          <w:sz w:val="16"/>
          <w:szCs w:val="16"/>
          <w:i w:val="1"/>
          <w:iCs w:val="1"/>
          <w:color w:val="auto"/>
        </w:rPr>
        <w:t xml:space="preserve"> </w:t>
      </w:r>
      <w:r>
        <w:rPr>
          <w:rFonts w:ascii="Arial" w:cs="Arial" w:eastAsia="Arial" w:hAnsi="Arial"/>
          <w:sz w:val="16"/>
          <w:szCs w:val="16"/>
          <w:color w:val="auto"/>
        </w:rPr>
        <w:t>levies in certain European countries that seek to impose or modify levies on computing products (such as PCs, multi-function devices, and external storage devices) alleging those products enable the production of private copies of copyrighted materials. The levies are generally based upon the number of products sold and the per-product amounts of the levies, which vary. The Company continues to collect levies in European countries where it has determined that local laws require payment. The Company, along with other companies and various industry associations, also continues to oppose levy schemes that it believes do not comply with the European Union controlling law and continues to oppose extension of levies to the digital environment. In some European countries, the Company expects that levies will be extended to other products or that new, higher levies will be implemented. In other European countries, levies could become more limited, especially if arguments related to commercial users of devices or the industry’s opposition to levies in the digital environment are successful. Based on sales of products impacted by levies and its assessment of the merits of proceedings and negotiations, the Company believes it has accrued sufficient amounts to address current disputes.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and intellectual property litigation. Dell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anticipate that any of these matters will have a material adverse effect on its business, financial condition, results of operations, or cash flows.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January 31, 2020,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Concentrations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January 31, 2020, February 1, 2019, or February 2, 2018.</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utilizes a limited number of contract manufacturers that assemble a portion of its products. The Company may purchase components from suppliers and sell those components to such contract manufacturers, thereby creating receivables balances from the contract manufacturers. The agreements with the majority of the contract manufacturers permit the Company to offset its payables against these receivables, thus mitigating the credit risk wholly or in part. Receivables from the Company’s four largest contract manufacturers represented the majority of the Company’s gross non-trade receivables of $3.2 billion and $3.7 billion as of January 31, 2020 and February 1, 2019, respectively, of which $2.6 billion and $3.2 billion as of January 31, 2020 and February 1, 2019, respectively, have been offset against the corresponding payables. The portion of receivables not offset against payables is included in other current assets in the Consolidated Statements of Financial Position. The Company does not reflect the sale of the components in revenue and does not recognize any profit on the component sales until the related products are sold.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AND OTHER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the income tax benefit recognized for the periods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February 1, 2019</w:t>
            </w:r>
          </w:p>
        </w:tc>
        <w:tc>
          <w:tcPr>
            <w:tcW w:w="240" w:type="dxa"/>
            <w:vAlign w:val="bottom"/>
          </w:tcPr>
          <w:p>
            <w:pPr>
              <w:spacing w:after="0"/>
              <w:rPr>
                <w:sz w:val="20"/>
                <w:szCs w:val="20"/>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State/local</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i w:val="1"/>
                <w:iCs w:val="1"/>
                <w:color w:val="auto"/>
              </w:rPr>
              <w:t>Deferred:</w:t>
            </w:r>
          </w:p>
        </w:tc>
        <w:tc>
          <w:tcPr>
            <w:tcW w:w="2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State/local</w:t>
            </w: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provision for income taxes for the fiscal periods reflected in the Consolidated Financial Statements are not directly comparable primarily due to the intra-entity asset transfers of certain of its intellectual property completed in the fiscal year ended January 31, 2020 and the enactment of the Tax Cuts and Jobs Act of 2017 (“U.S. Tax Reform”) during the fiscal year ended February 2, 2018.</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fiscal year ended January 31, 2020, the Company completed two intra-entity asset transfers of certain of its intellectual property (the “IP”) to Irish subsidiaries, resulting in discrete tax benefits of $4.9 billion. The tax benefit for each intra-entity asset transfer was recorded as a deferred tax asset in the period of transaction and represents the book and tax basis difference on the transferred assets measured based on the IP’s current fair value and applicable Irish statutory tax rate. The Company applied significant judgment when determining the fair value of the IP, which serves as the tax basis of the deferred tax asset, and in evaluating the associated tax laws in the applicable jurisdictions. The tax deductions for amortization of the assets will be recognized in the future, and any amortization not deducted for tax purposes will be carried forward indefinitely under Irish tax laws. The Company expects to be able to realize the deferred tax assets resulting from these intra-entity asset transfers.</w:t>
      </w:r>
    </w:p>
    <w:p>
      <w:pPr>
        <w:spacing w:after="0" w:line="177"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U.S. Tax Reform was signed into law on December 22, 2017. Among other things, U.S. Tax Reform lowers the U.S. corporate income tax rate to 21% from 35%, establishes a modified territorial system requiring a mandatory deemed repatriation tax on undistributed earnings of foreign subsidiaries (the “Transition Tax”), requires a minimum tax on certain future earnings generated by foreign subsidiaries while providing for future tax-free repatriation of earnings through a 100% dividends-received deduction, and places limitations on the deductibility of net interest expense. In December 2019, the U.S.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Department of the Treasury released final and newly proposed regulations related to foreign tax credits and the base erosion anti-abuse tax, the impact of which was not material. The Company anticipates that the U.S. Department of the Treasury and the Internal Revenue Service (“IRS”) will continue to issue regulatory guidance clarifying certain provisions of U.S. Tax Reform. When additional guidance is issued, the Company will recognize the related tax impact of implementation of the guidance in the fiscal quarter of such issuance. For the fiscal year ended February 2, 2018, the Company recognized a provisional tax benefit of $0.5 billion under the SEC staff’s Accounting Bulletin No. 118. The provisional tax benefit was primarily attributable to a $1.5 billion tax benefit related to the remeasurement of deferred tax assets and liabilities, offset by $1.0 billion of current and future income tax expenses related to the Transition Tax. The Company completed its accounting for the income tax effects of U.S. Tax Reform during the fourth quarter of the fiscal year ended February 1, 2019 and determined that the adjustment to the provisional estimate was not material. These impacts are included in the U.S. Tax Reform in the Company’s effective tax rate reconciliation.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5" w:right="3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8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53"/>
        </w:trPr>
        <w:tc>
          <w:tcPr>
            <w:tcW w:w="9100" w:type="dxa"/>
            <w:vAlign w:val="bottom"/>
            <w:gridSpan w:val="9"/>
          </w:tcPr>
          <w:p>
            <w:pPr>
              <w:spacing w:after="0"/>
              <w:rPr>
                <w:sz w:val="20"/>
                <w:szCs w:val="20"/>
                <w:color w:val="auto"/>
              </w:rPr>
            </w:pPr>
            <w:r>
              <w:rPr>
                <w:rFonts w:ascii="Arial" w:cs="Arial" w:eastAsia="Arial" w:hAnsi="Arial"/>
                <w:sz w:val="18"/>
                <w:szCs w:val="18"/>
                <w:color w:val="auto"/>
              </w:rPr>
              <w:t>The following table presents components of income (loss) before income taxes for the periods indicated:</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2020</w:t>
            </w:r>
          </w:p>
        </w:tc>
        <w:tc>
          <w:tcPr>
            <w:tcW w:w="24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February 1, 2019</w:t>
            </w:r>
          </w:p>
        </w:tc>
        <w:tc>
          <w:tcPr>
            <w:tcW w:w="26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(in millions)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r>
      <w:tr>
        <w:trPr>
          <w:trHeight w:val="243"/>
        </w:trPr>
        <w:tc>
          <w:tcPr>
            <w:tcW w:w="2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Company’s income tax benefit to the statutory U.S. federal tax rate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Fiscal Year Ended</w:t>
            </w:r>
          </w:p>
        </w:tc>
        <w:tc>
          <w:tcPr>
            <w:tcW w:w="22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2300" w:type="dxa"/>
            <w:vAlign w:val="bottom"/>
            <w:gridSpan w:val="2"/>
          </w:tcPr>
          <w:p>
            <w:pPr>
              <w:ind w:left="440"/>
              <w:spacing w:after="0"/>
              <w:rPr>
                <w:sz w:val="20"/>
                <w:szCs w:val="20"/>
                <w:color w:val="auto"/>
              </w:rPr>
            </w:pPr>
            <w:r>
              <w:rPr>
                <w:rFonts w:ascii="Arial" w:cs="Arial" w:eastAsia="Arial" w:hAnsi="Arial"/>
                <w:sz w:val="18"/>
                <w:szCs w:val="18"/>
                <w:b w:val="1"/>
                <w:bCs w:val="1"/>
                <w:color w:val="auto"/>
              </w:rPr>
              <w:t>January 31, 2020</w:t>
            </w:r>
          </w:p>
        </w:tc>
        <w:tc>
          <w:tcPr>
            <w:tcW w:w="2300" w:type="dxa"/>
            <w:vAlign w:val="bottom"/>
            <w:gridSpan w:val="2"/>
          </w:tcPr>
          <w:p>
            <w:pPr>
              <w:ind w:left="440"/>
              <w:spacing w:after="0"/>
              <w:rPr>
                <w:sz w:val="20"/>
                <w:szCs w:val="20"/>
                <w:color w:val="auto"/>
              </w:rPr>
            </w:pPr>
            <w:r>
              <w:rPr>
                <w:rFonts w:ascii="Arial" w:cs="Arial" w:eastAsia="Arial" w:hAnsi="Arial"/>
                <w:sz w:val="18"/>
                <w:szCs w:val="18"/>
                <w:b w:val="1"/>
                <w:bCs w:val="1"/>
                <w:color w:val="auto"/>
              </w:rPr>
              <w:t>February 1, 2019</w:t>
            </w:r>
          </w:p>
        </w:tc>
        <w:tc>
          <w:tcPr>
            <w:tcW w:w="2200" w:type="dxa"/>
            <w:vAlign w:val="bottom"/>
          </w:tcPr>
          <w:p>
            <w:pPr>
              <w:jc w:val="right"/>
              <w:ind w:right="35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44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U.S. federal statutory rate</w:t>
            </w:r>
          </w:p>
        </w:tc>
        <w:tc>
          <w:tcPr>
            <w:tcW w:w="2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1194.6</w:t>
            </w:r>
          </w:p>
        </w:tc>
        <w:tc>
          <w:tcPr>
            <w:tcW w:w="120" w:type="dxa"/>
            <w:vAlign w:val="bottom"/>
          </w:tcPr>
          <w:p>
            <w:pPr>
              <w:spacing w:after="0"/>
              <w:rPr>
                <w:sz w:val="21"/>
                <w:szCs w:val="21"/>
                <w:color w:val="auto"/>
              </w:rPr>
            </w:pP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7"/>
        </w:trPr>
        <w:tc>
          <w:tcPr>
            <w:tcW w:w="4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impact of foreign operations</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(2741.3)</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Impact of intangible property transfers</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123367.9</w:t>
            </w:r>
          </w:p>
        </w:tc>
        <w:tc>
          <w:tcPr>
            <w:tcW w:w="120" w:type="dxa"/>
            <w:vAlign w:val="bottom"/>
          </w:tcPr>
          <w:p>
            <w:pPr>
              <w:spacing w:after="0"/>
              <w:rPr>
                <w:sz w:val="21"/>
                <w:szCs w:val="21"/>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Change in valuation allowance</w:t>
            </w:r>
          </w:p>
        </w:tc>
        <w:tc>
          <w:tcPr>
            <w:tcW w:w="2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1030.6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w w:val="98"/>
              </w:rPr>
              <w:t>Indirect tax effects of adoption of new revenue standard</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U.S. Tax Reform</w:t>
            </w:r>
          </w:p>
        </w:tc>
        <w:tc>
          <w:tcPr>
            <w:tcW w:w="2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U.S. tax audit settlement</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7615.7</w:t>
            </w:r>
          </w:p>
        </w:tc>
        <w:tc>
          <w:tcPr>
            <w:tcW w:w="120" w:type="dxa"/>
            <w:vAlign w:val="bottom"/>
          </w:tcPr>
          <w:p>
            <w:pPr>
              <w:spacing w:after="0"/>
              <w:rPr>
                <w:sz w:val="21"/>
                <w:szCs w:val="21"/>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Non-deductible transaction-related costs</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5873.2</w:t>
            </w:r>
          </w:p>
        </w:tc>
        <w:tc>
          <w:tcPr>
            <w:tcW w:w="120" w:type="dxa"/>
            <w:vAlign w:val="bottom"/>
          </w:tcPr>
          <w:p>
            <w:pPr>
              <w:spacing w:after="0"/>
              <w:rPr>
                <w:sz w:val="21"/>
                <w:szCs w:val="21"/>
                <w:color w:val="auto"/>
              </w:rPr>
            </w:pP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4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U.S. R&amp;D tax credits</w:t>
            </w:r>
          </w:p>
        </w:tc>
        <w:tc>
          <w:tcPr>
            <w:tcW w:w="2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4424.9</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(1761.6)</w:t>
            </w:r>
          </w:p>
        </w:tc>
        <w:tc>
          <w:tcPr>
            <w:tcW w:w="12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44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68"/>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138325.0 %</w:t>
            </w:r>
          </w:p>
        </w:tc>
        <w:tc>
          <w:tcPr>
            <w:tcW w:w="1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change in the Company’s effective tax rate for the fiscal year ended January 31, 2020 as compared to the fiscal year ended February 1, 2019 was primarily driven by discrete tax items and a change in the Company’s jurisdictional mix of income. For the fiscal year ended January 31, 2020, the Company had $5.5 billion in tax benefits on a loss before income taxes of $4 million. The change in the Company’s effective tax rate for the fiscal year ended February 1, 2019 as compared to the fiscal year ended February 2, 2018 was primarily attributable to impacts of U.S. Tax Reform.</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Company’s effective tax rate for the fiscal year ended January 31, 2020 includes $4.9 billion of discrete tax benefits related to the intra-entity asset transfers described above, $351 million of discrete tax benefits related to stock-based compensation, $305 million of discrete tax benefits related to an audit settlement, and $95 million of discrete tax benefits relating to Virtustream impairment charges discussed in Note 8 of the Notes to the Consolidated Financial Statements and included in Other in the table above. For the fiscal year ended February 1, 2019, the Company’s effective tax rate included $154 million of discrete tax benefits resulting from the impact of its adoption of the new revenue recognition standard.</w:t>
      </w:r>
    </w:p>
    <w:p>
      <w:pPr>
        <w:spacing w:after="0" w:line="17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differences between the estimated effective income tax rates and the U.S. federal statutory rate of 21% principally result from the Company’s geographical distribution of income and differences between the book and tax treatment of certain items. In certain jurisdictions, the Company’s tax rate is significantly less than the applicable statutory rate as a result of tax holidays. The majority of the Company’s foreign income that is subject to these tax holidays and lower tax rates is attributable to Singapore, China, and Malaysia. A significant portion of these income tax benefits relate to a tax holiday that will be effective until January 31, 2029. The Company’s other tax holidays will expire in whole or in part during fiscal years 2022 through 2030. Many of these tax holidays and reduced tax rates may be extended when certain conditions are met or may be terminated early if certain conditions are not met. As of January 31, 2020, the Company was not aware of any matters of noncompliance related to these tax holidays. For the fiscal years ended January 31, 2020, February 1, 2019, and February 2, 2018, the income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08"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tax benefits attributable to the tax status of the affected subsidiaries were estimated to be approximately $444 million ($0.59 per share of Dell Technologies Common Stock), $313 million ($0.54 per share of DHI Group Common Stock), and $238 million ($0.42 per share of DHI Group Common Stock), respectively. These income tax benefits are included in tax impact of foreign operations in the table above.</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Prior to U.S. Tax Reform, the Company had not provided deferred taxes on undistributed earnings of its foreign subsidiaries as it was the Company’s intention for these basis differences to remain indefinitely reinvested. U.S. Tax Reform fundamentally changes the U.S. approach to taxation of foreign earnings to a partial territorial tax system, which generally allows companies to make distributions of non-U.S. earnings to the United States without incurring additional U.S. tax. Additionally, as a result of the U.S. Tax Reform measures described above, the Company believes a significant portion of the Company’s undistributed earnings as of January 31, 2020 will not be subject to further U.S. federal taxation. As of January 31, 2020, the Company has undistributed earnings of certain foreign subsidiaries of approximately $34.1 billion that remain indefinitely reinvested, and as such has not recognized a deferred tax liability. Determination of the amount of unrecognized deferred income tax liability related to these undistributed earnings is not 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the Company’s net deferred tax assets (liabilities)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Deferred revenue and warranty provisions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1,267</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 for product returns and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Credit carryforwards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1,927</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Operating and compensation related accruals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683</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4,653</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2,949</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Leasing and financing</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r>
      <w:tr>
        <w:trPr>
          <w:trHeight w:val="257"/>
        </w:trPr>
        <w:tc>
          <w:tcPr>
            <w:tcW w:w="7540" w:type="dxa"/>
            <w:vAlign w:val="bottom"/>
          </w:tcPr>
          <w:p>
            <w:pPr>
              <w:ind w:left="500"/>
              <w:spacing w:after="0"/>
              <w:rPr>
                <w:sz w:val="20"/>
                <w:szCs w:val="20"/>
                <w:color w:val="auto"/>
              </w:rPr>
            </w:pPr>
            <w:r>
              <w:rPr>
                <w:rFonts w:ascii="Arial" w:cs="Arial" w:eastAsia="Arial" w:hAnsi="Arial"/>
                <w:sz w:val="18"/>
                <w:szCs w:val="18"/>
                <w:color w:val="auto"/>
              </w:rPr>
              <w:t>Net deferred tax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the net operating loss carryforwards, tax credit carryforwards, and other deferred tax assets with related valuation allowances recognized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31, 2020</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Net Deferred Tax</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Valuation Allowance</w:t>
            </w:r>
          </w:p>
        </w:tc>
        <w:tc>
          <w:tcPr>
            <w:tcW w:w="18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2021</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Fiscal 2021</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Net Deferred Tax</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Valuation Allowance</w:t>
            </w:r>
          </w:p>
        </w:tc>
        <w:tc>
          <w:tcPr>
            <w:tcW w:w="18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2020</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Fiscal 2020</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Company’s credit carryforwards as of January 31, 2020 and February 1, 2019 relate primarily to U.S. tax credits, including foreign tax credits associated with U.S. Tax Reform that will expire in Fiscal 2028. The Company assessed the realizability of these U.S. tax credits based on currently enacted and proposed regulations issued by the U.S. Department of the Treasury and the IRS and recorded a valuation allowance of $634 million against these assets for the fiscal year ended February 1, 2019, which is included with other impacts of U.S. Tax Reform in the Company’s effective tax rate reconciliation. The change in the valuation allowance against these credits is included in Change in valuation allowance in the Company’s effective tax reconciliation for the fiscal year ended January 31, 2020. The Company’s loss carryforwards as of January 31, 2020 and February 1, 2019 include net operating loss carryforwards from federal, state, and foreign jurisdictions. The valuation allowances for other deferred tax assets as of January 31, 2020 and February 1, 2019 are primarily related to foreign jurisdictions, the changes in which are included in Tax impact of foreign operations in the Company’s effective tax reconciliation. The Company has determined that it will be able to realize the remainder of its deferred tax assets, based on the future reversal of deferred tax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Company’s beginning and ending balances of unrecognized tax benefits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1, 2019</w:t>
            </w:r>
          </w:p>
        </w:tc>
        <w:tc>
          <w:tcPr>
            <w:tcW w:w="200" w:type="dxa"/>
            <w:vAlign w:val="bottom"/>
          </w:tcPr>
          <w:p>
            <w:pPr>
              <w:spacing w:after="0"/>
              <w:rPr>
                <w:sz w:val="20"/>
                <w:szCs w:val="20"/>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February 2, 2018</w:t>
            </w:r>
          </w:p>
        </w:tc>
      </w:tr>
      <w:tr>
        <w:trPr>
          <w:trHeight w:val="27"/>
        </w:trPr>
        <w:tc>
          <w:tcPr>
            <w:tcW w:w="5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2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Audit settlements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net unrecognized tax benefits were $2.5 billion, $3.4 billion, and $3.2 billion as of January 31, 2020, February 1, 2019, and February 2, 2018, respectively, and are included in accrued and other and other non-current liabilities in the Consolidated Statements of Financial Position.</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unrecognized tax benefits in the table above include $2.0 billion, $2.4 billion, and $2.2 billion as of January 31, 2020, February 1, 2019, and February 2, 2018, respectively, that, if recognized, would have impacted income tax expense. The table does not include accrued interest and penalties of $0.8 billion, $1.0 billion, and $0.9 billion as of January 31, 2020, February 1, 2019, and February 2, 2018, respectively. Tax benefits associated with interest and state tax deductions and other indirect jurisdictional effects of uncertain tax positions were $629 million, $611 million, and $537 million as of January 31, 2020, February 1, 2019, and February 2, 2018, respectively. Interest and penalties related to income tax liabilities are included in income tax expense. The Company recorded interest and penalties of $174 million, $127 million, and $184 million for the fiscal years ended January 31, 2020, February 1, 2019, and February 2, 2018, respectively.</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of the fiscal year ended January 31, 2020, the Company made a cash payment of $438 million in settlement of the IRS audit for fiscal years 2007 through 2009. In December 2019, the Company received a Revenue Agent’s Report (“RAR”) for the IRS’s examination of fiscal years 2010 through 2014. The Company disagrees with certain of the proposed assessments and is contesting them through the IRS administrative appeals procedures. Although this process has been progressing and the timing of any resolution remains uncertain, the Company anticipates reaching a settlement with the IRS in the first half of Fiscal 2021. The IRS has started its examination of fiscal years 2015 through 2019. The Company believes it has valid positions supporting its tax returns and that it is adequately reserved.</w:t>
      </w:r>
    </w:p>
    <w:p>
      <w:pPr>
        <w:spacing w:after="0" w:line="19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 is also currently under income tax audits in various U.S. state and foreign taxing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January 29, 2010.</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Although timing of resolution or closure of uncertain tax positions is not certain, the Company believes it is reasonably possible that certain tax matters in various jurisdictions, including those matters discussed above, could be concluded within the next twelve months. The resolution of these matters could reduce the Company’s unrecognized tax benefits by an estimated amount of between $550 million to $850 million. Such a reduction will have a material effect on the Company’s effective tax rate.</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ACCUMULATED OTHER COMPREHENSIVE INCOME (LOSS)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Accumulated other comprehensive income (loss) is presented in stockholders’ equity (deficit)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as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b w:val="1"/>
                <w:bCs w:val="1"/>
                <w:color w:val="auto"/>
              </w:rPr>
              <w:t>Foreign Currency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Pension and Other</w:t>
            </w:r>
          </w:p>
        </w:tc>
        <w:tc>
          <w:tcPr>
            <w:tcW w:w="15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Accumulated Other</w:t>
            </w:r>
          </w:p>
        </w:tc>
      </w:t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Translation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Cash Flow</w:t>
            </w: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Postretirement</w:t>
            </w:r>
          </w:p>
        </w:tc>
        <w:tc>
          <w:tcPr>
            <w:tcW w:w="16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7"/>
                <w:szCs w:val="17"/>
                <w:b w:val="1"/>
                <w:bCs w:val="1"/>
                <w:color w:val="auto"/>
                <w:w w:val="89"/>
              </w:rPr>
              <w:t>Comprehensive</w:t>
            </w:r>
          </w:p>
        </w:tc>
      </w:tr>
      <w:tr>
        <w:trPr>
          <w:trHeight w:val="220"/>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Adjustments</w:t>
            </w: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7"/>
                <w:szCs w:val="17"/>
                <w:b w:val="1"/>
                <w:bCs w:val="1"/>
                <w:color w:val="auto"/>
              </w:rPr>
              <w:t>Investments</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4"/>
              </w:rPr>
              <w:t>Hedges</w:t>
            </w:r>
          </w:p>
        </w:tc>
        <w:tc>
          <w:tcPr>
            <w:tcW w:w="18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Plans</w:t>
            </w:r>
          </w:p>
        </w:tc>
        <w:tc>
          <w:tcPr>
            <w:tcW w:w="16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7"/>
                <w:szCs w:val="17"/>
                <w:b w:val="1"/>
                <w:bCs w:val="1"/>
                <w:color w:val="auto"/>
                <w:w w:val="90"/>
              </w:rPr>
              <w:t>Income (Loss)</w:t>
            </w:r>
          </w:p>
        </w:tc>
      </w:tr>
      <w:tr>
        <w:trPr>
          <w:trHeight w:val="31"/>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w w:val="97"/>
              </w:rPr>
              <w:t>Other comprehensive income (loss) before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37"/>
        </w:trPr>
        <w:tc>
          <w:tcPr>
            <w:tcW w:w="3620" w:type="dxa"/>
            <w:vAlign w:val="bottom"/>
          </w:tcPr>
          <w:p>
            <w:pPr>
              <w:ind w:left="50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Less: Change in comprehensive loss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4"/>
              </w:rPr>
              <w:t>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189"/>
        </w:trPr>
        <w:tc>
          <w:tcPr>
            <w:tcW w:w="36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Adjustment for adoption of accounting</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3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standards (Note 2)</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w w:val="97"/>
              </w:rPr>
              <w:t>Other comprehensive income (loss) before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3620" w:type="dxa"/>
            <w:vAlign w:val="bottom"/>
          </w:tcPr>
          <w:p>
            <w:pPr>
              <w:ind w:left="50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Less: Change in comprehensive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4"/>
              </w:rPr>
              <w:t>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Balances as of February 1, 2019</w:t>
            </w: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189"/>
        </w:trPr>
        <w:tc>
          <w:tcPr>
            <w:tcW w:w="36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7"/>
              </w:rPr>
              <w:t>Other comprehensive income (loss) before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3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w w:val="92"/>
              </w:rPr>
              <w:t>Amounts reclassified from accumulated other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3620" w:type="dxa"/>
            <w:vAlign w:val="bottom"/>
          </w:tcPr>
          <w:p>
            <w:pPr>
              <w:ind w:left="720"/>
              <w:spacing w:after="0"/>
              <w:rPr>
                <w:sz w:val="20"/>
                <w:szCs w:val="20"/>
                <w:color w:val="auto"/>
              </w:rPr>
            </w:pPr>
            <w:r>
              <w:rPr>
                <w:rFonts w:ascii="Arial" w:cs="Arial" w:eastAsia="Arial" w:hAnsi="Arial"/>
                <w:sz w:val="18"/>
                <w:szCs w:val="18"/>
                <w:color w:val="auto"/>
                <w:w w:val="89"/>
              </w:rPr>
              <w:t>Less: Change in comprehensive income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3620" w:type="dxa"/>
            <w:vAlign w:val="bottom"/>
          </w:tcPr>
          <w:p>
            <w:pPr>
              <w:ind w:left="720"/>
              <w:spacing w:after="0"/>
              <w:rPr>
                <w:sz w:val="20"/>
                <w:szCs w:val="20"/>
                <w:color w:val="auto"/>
              </w:rPr>
            </w:pPr>
            <w:r>
              <w:rPr>
                <w:rFonts w:ascii="Arial" w:cs="Arial" w:eastAsia="Arial" w:hAnsi="Arial"/>
                <w:sz w:val="18"/>
                <w:szCs w:val="18"/>
                <w:color w:val="auto"/>
              </w:rPr>
              <w:t>(loss) attributable to non-controlling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3620" w:type="dxa"/>
            <w:vAlign w:val="bottom"/>
          </w:tcPr>
          <w:p>
            <w:pPr>
              <w:ind w:left="72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31, 2020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Amounts related to investments are reclassified to net income (loss) when gains and losses are realized. See Note 3 of the Notes to the Consolidated Financial Statements for more information on the Company’s investments. Amounts related to the Company’s cash flow hedges are reclassified to net income during the same period in which the items being hedged are recognized in earnings. See Note 7 of the Notes to the Consolidated Financial Statements for more information on the Company’s derivative instruments.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tables presents reclassifications out of accumulated other comprehensive income (loss), net of tax, to net income (loss) for the periods indicated: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0"/>
              </w:rPr>
              <w:t>Fiscal Year Ended</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January 31, 2020</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Investments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Cash Flow Hedges</w:t>
            </w:r>
          </w:p>
        </w:tc>
        <w:tc>
          <w:tcPr>
            <w:tcW w:w="4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center"/>
              <w:ind w:left="550"/>
              <w:spacing w:after="0"/>
              <w:rPr>
                <w:sz w:val="20"/>
                <w:szCs w:val="20"/>
                <w:color w:val="auto"/>
              </w:rPr>
            </w:pPr>
            <w:r>
              <w:rPr>
                <w:rFonts w:ascii="Arial" w:cs="Arial" w:eastAsia="Arial" w:hAnsi="Arial"/>
                <w:sz w:val="18"/>
                <w:szCs w:val="18"/>
                <w:color w:val="auto"/>
                <w:w w:val="98"/>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 reclassifications, net of tax:</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7"/>
        </w:trPr>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Interest and other, net</w:t>
            </w:r>
          </w:p>
        </w:tc>
        <w:tc>
          <w:tcPr>
            <w:tcW w:w="12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0"/>
              </w:rPr>
              <w:t>Fiscal Year Ended</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February 1, 2019</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Investments</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Cash Flow Hedges</w:t>
            </w:r>
          </w:p>
        </w:tc>
        <w:tc>
          <w:tcPr>
            <w:tcW w:w="4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center"/>
              <w:ind w:left="550"/>
              <w:spacing w:after="0"/>
              <w:rPr>
                <w:sz w:val="20"/>
                <w:szCs w:val="20"/>
                <w:color w:val="auto"/>
              </w:rPr>
            </w:pPr>
            <w:r>
              <w:rPr>
                <w:rFonts w:ascii="Arial" w:cs="Arial" w:eastAsia="Arial" w:hAnsi="Arial"/>
                <w:sz w:val="18"/>
                <w:szCs w:val="18"/>
                <w:color w:val="auto"/>
                <w:w w:val="98"/>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 reclassifications,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25" w:right="3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NON-CONTROLLING INTERESTS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VMware, Inc. </w:t>
      </w:r>
      <w:r>
        <w:rPr>
          <w:rFonts w:ascii="Arial" w:cs="Arial" w:eastAsia="Arial" w:hAnsi="Arial"/>
          <w:sz w:val="18"/>
          <w:szCs w:val="18"/>
          <w:color w:val="auto"/>
        </w:rPr>
        <w:t>— The non-controlling interests’ share of equity in VMware, Inc.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Financial Position and was $4.6 billion and $3.8 billion as of January 31, 2020 and February 1, 2019, respectively. As of January 31, 2020 and February 1, 2019, the Company held approximately 80.9% and 80.5%, respectively, of the outstanding equity interest in VMware, Inc. Restricted stock awards (“RSAs”) of VMware, Inc. were not included in the determination of these ownership interest percentages, as VMware, Inc. had no RSAs outstanding as of January 31, 2020 or February 1, 2019.</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 As a result of VMware, Inc.’s acquisition of the non-controlling interest in Pivotal from Pivotal’s public shareholders on December 30,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interests’ share of equity in Pivotal is only reflected as a component of the non-controlling interest through December 30, 2019. Pivotal’s Class A common stock ceased to be listed and traded on the NYSE as of the acquisition date, and Dell Technologies did not have a non-controlling interest in Pivotal as of January 31, 2020. For more information regarding VMware Inc.’s acquisition of Pivotal, see Note 1 of the Notes to the Consolidated Financial Statements.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February 1, 2019, the non-controlling interests’ share of equity in Pivotal was reflected as a component of the non-controlling interest in the accompanying Consolidated Statements of Financial Position and was $983 million. The Company held approximately 62.8% of the outstanding equity interest in Pivotal as of February 1, 2019.</w:t>
      </w:r>
    </w:p>
    <w:p>
      <w:pPr>
        <w:spacing w:after="0" w:line="184"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The non-controlling interests’ share of equity in Secureworks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Financial Position and was $88 million and $87 million as of January 31, 2020 and February 1, 2019, respectively. As of January 31, 2020 and February 1, 2019, the Company held approximately 86.8% and 87.4%, respectively, of the outstanding equity interest in Secureworks, excluding RSAs. As of January 31, 2020 and February 1, 2019, the Company held approximately 86.2% and 86.4%, respectively, of the outstanding equity interest in Secureworks, including RSAs.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changes in the Company’s ownership interest in VMware, Inc., Pivotal, and Secureworks on the Company’s equity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Fiscal Year Ended</w:t>
            </w:r>
          </w:p>
        </w:tc>
      </w:tr>
      <w:tr>
        <w:trPr>
          <w:trHeight w:val="270"/>
        </w:trPr>
        <w:tc>
          <w:tcPr>
            <w:tcW w:w="8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8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Dell Technologies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4,616</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Transfers (to)/from the non-controlling interests:</w:t>
            </w:r>
          </w:p>
        </w:tc>
        <w:tc>
          <w:tcPr>
            <w:tcW w:w="26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r>
      <w:tr>
        <w:trPr>
          <w:trHeight w:val="229"/>
        </w:trPr>
        <w:tc>
          <w:tcPr>
            <w:tcW w:w="8920" w:type="dxa"/>
            <w:vAlign w:val="bottom"/>
          </w:tcPr>
          <w:p>
            <w:pPr>
              <w:ind w:left="180"/>
              <w:spacing w:after="0"/>
              <w:rPr>
                <w:sz w:val="20"/>
                <w:szCs w:val="20"/>
                <w:color w:val="auto"/>
              </w:rPr>
            </w:pPr>
            <w:r>
              <w:rPr>
                <w:rFonts w:ascii="Arial" w:cs="Arial" w:eastAsia="Arial" w:hAnsi="Arial"/>
                <w:sz w:val="18"/>
                <w:szCs w:val="18"/>
                <w:color w:val="auto"/>
                <w:w w:val="95"/>
              </w:rPr>
              <w:t>Decrease in Dell Technologies Inc. additional paid-in-capital and accumulated deficit for equity issuances and other</w:t>
            </w: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920" w:type="dxa"/>
            <w:vAlign w:val="bottom"/>
          </w:tcPr>
          <w:p>
            <w:pPr>
              <w:ind w:left="180"/>
              <w:spacing w:after="0"/>
              <w:rPr>
                <w:sz w:val="20"/>
                <w:szCs w:val="20"/>
                <w:color w:val="auto"/>
              </w:rPr>
            </w:pPr>
            <w:r>
              <w:rPr>
                <w:rFonts w:ascii="Arial" w:cs="Arial" w:eastAsia="Arial" w:hAnsi="Arial"/>
                <w:sz w:val="18"/>
                <w:szCs w:val="18"/>
                <w:color w:val="auto"/>
              </w:rPr>
              <w:t>equity activity</w:t>
            </w:r>
          </w:p>
        </w:tc>
        <w:tc>
          <w:tcPr>
            <w:tcW w:w="2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(3,318)</w:t>
            </w: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57"/>
        </w:trPr>
        <w:tc>
          <w:tcPr>
            <w:tcW w:w="8920" w:type="dxa"/>
            <w:vAlign w:val="bottom"/>
          </w:tcPr>
          <w:p>
            <w:pPr>
              <w:ind w:left="180"/>
              <w:spacing w:after="0"/>
              <w:rPr>
                <w:sz w:val="20"/>
                <w:szCs w:val="20"/>
                <w:color w:val="auto"/>
              </w:rPr>
            </w:pPr>
            <w:r>
              <w:rPr>
                <w:rFonts w:ascii="Arial" w:cs="Arial" w:eastAsia="Arial" w:hAnsi="Arial"/>
                <w:sz w:val="18"/>
                <w:szCs w:val="18"/>
                <w:color w:val="auto"/>
              </w:rPr>
              <w:t>Change from net income attributable to Dell Technologies Inc. and transfers to the non-controlling interests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25" w:right="3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Authorized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56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1, 2019</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6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January 31, 2020</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Company’s certificate of incorporation as amended and restated upon the completion of the Class V transaction described below, the Company is prohibited from issuing any of the authorized shares of Class V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authorized to issue one million shares of preferred stock, par value $0.01 per share. As of January 31, 2020 and February 1, 2019, no shares of preferred stock were issued or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for Fiscal 2020 and Thereafter</w:t>
      </w:r>
    </w:p>
    <w:p>
      <w:pPr>
        <w:spacing w:after="0" w:line="225"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i w:val="1"/>
          <w:iCs w:val="1"/>
          <w:color w:val="auto"/>
        </w:rPr>
        <w:t xml:space="preserve">Dell Technologies Common Stock </w:t>
      </w:r>
      <w:r>
        <w:rPr>
          <w:rFonts w:ascii="Arial" w:cs="Arial" w:eastAsia="Arial" w:hAnsi="Arial"/>
          <w:sz w:val="16"/>
          <w:szCs w:val="16"/>
          <w:color w:val="auto"/>
        </w:rPr>
        <w:t>— For Fiscal 2020, the Class A Common Stock, the Class B Common Stock, the Class C Common Stock,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D Common Stock, formerly collectively referred to as the DHI Group Common Stock, are collectively referred to as Dell Technologies Common Stock. The redesignation of such classes of common stock from DHI Group Common Stock to Dell Technologies Common Stock is intended to align the Company’s reporting with how such classes are referred to by securities analysts, investors, and other users of the financial statements since the completion on December 28, 2018 of the Class V transaction described below. As a result of the cancellation of all outstanding Class V Common Stock upon the closing of that transaction, there is no requirement after the fourth quarter of Fiscal 2019 to allocate net income (loss) between two separate groups of common stock denoted the DHI Group Common Stock and the Class V Common Stock or to report earnings (loss) per share for each such group. Accordingly, net income (loss), earnings (loss) per share and other relevant information are reported for Dell Technologies Common Stock for all fiscal periods beginning with the first quarter of Fiscal 2020 and, because of lack of comparability with the new reporting, are reported separately for the DHI Group and the Class V Common Stock, as applicable, for prior fiscal periods. The par value for all classes of Dell Technologies Common Stock is $0.01 per share. For purposes of calculating earnings (loss) per share, the Company continues to use the two-class method. The Class A Common Stock, the Class B Common Stock, the Class C Common Stock, and the Class D Common Stock share equally in dividends declared or accumulated and have equal participation rights in undistributed earnings. As a result, earnings (loss) per share are the same for all classes of Dell Technologies Common Stock and are presented together.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prior to Fiscal 2020</w:t>
      </w:r>
    </w:p>
    <w:p>
      <w:pPr>
        <w:spacing w:after="0" w:line="221"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i w:val="1"/>
          <w:iCs w:val="1"/>
          <w:color w:val="auto"/>
        </w:rPr>
        <w:t xml:space="preserve">DHI Group Common Stock and DHI Group </w:t>
      </w:r>
      <w:r>
        <w:rPr>
          <w:rFonts w:ascii="Arial" w:cs="Arial" w:eastAsia="Arial" w:hAnsi="Arial"/>
          <w:sz w:val="17"/>
          <w:szCs w:val="17"/>
          <w:color w:val="auto"/>
        </w:rPr>
        <w:t>— For the fiscal periods prior to Fiscal 2020</w:t>
      </w:r>
      <w:r>
        <w:rPr>
          <w:rFonts w:ascii="Arial" w:cs="Arial" w:eastAsia="Arial" w:hAnsi="Arial"/>
          <w:sz w:val="17"/>
          <w:szCs w:val="17"/>
          <w:b w:val="1"/>
          <w:bCs w:val="1"/>
          <w:color w:val="auto"/>
        </w:rPr>
        <w:t>, t</w:t>
      </w:r>
      <w:r>
        <w:rPr>
          <w:rFonts w:ascii="Arial" w:cs="Arial" w:eastAsia="Arial" w:hAnsi="Arial"/>
          <w:sz w:val="17"/>
          <w:szCs w:val="17"/>
          <w:color w:val="auto"/>
        </w:rPr>
        <w:t>he Class A Common Stock, the Class B Common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C Common Stock, and the Class D Common Stock were collectively referred to as the DHI Group Common Stock. All classes of DHI Group Common Stock have a par value of $0.01 per share, and the Class A Common Stock, the Class B Common Stock, the Class C Common Stock, and the Class D Common Stock share equally in dividends declared or accumulated and have equal participation rights in undistributed earnings. Prior to the completion on December 28, 2018 of the Class V transaction,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Group Common Stock.</w:t>
      </w:r>
    </w:p>
    <w:p>
      <w:pPr>
        <w:spacing w:after="0" w:line="176"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i w:val="1"/>
          <w:iCs w:val="1"/>
          <w:color w:val="auto"/>
        </w:rPr>
        <w:t xml:space="preserve">Class V Common Stock and Class V Group </w:t>
      </w:r>
      <w:r>
        <w:rPr>
          <w:rFonts w:ascii="Arial" w:cs="Arial" w:eastAsia="Arial" w:hAnsi="Arial"/>
          <w:sz w:val="18"/>
          <w:szCs w:val="18"/>
          <w:color w:val="auto"/>
        </w:rPr>
        <w:t>— The Class V Common Stock was a class of common stock intended to track the performance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Dell Technologies’ economic interest in the Class V Group. The Class V Group consisted solely of VMware, Inc. common stock held by the Company. As of January 31, 2020, no shares of Class V Common Stock remained outstanding.</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Each holder of record of (a) Class A Common Stock is entitled to ten votes per share of Class A Common Stock; (b)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 Under the Company’s certificate of incorporation, at any time and from time to time, any holder of Class A Common Stock or Class</w:t>
      </w:r>
      <w:r>
        <w:rPr>
          <w:rFonts w:ascii="Arial" w:cs="Arial" w:eastAsia="Arial" w:hAnsi="Arial"/>
          <w:sz w:val="17"/>
          <w:szCs w:val="17"/>
          <w:i w:val="1"/>
          <w:iCs w:val="1"/>
          <w:color w:val="auto"/>
        </w:rPr>
        <w:t xml:space="preserve"> </w:t>
      </w:r>
      <w:r>
        <w:rPr>
          <w:rFonts w:ascii="Arial" w:cs="Arial" w:eastAsia="Arial" w:hAnsi="Arial"/>
          <w:sz w:val="17"/>
          <w:szCs w:val="17"/>
          <w:color w:val="auto"/>
        </w:rPr>
        <w:t>B Common Stock has the right to convert all or any of the shares of Class A Common Stock or Class B Common Stock, as applicable, held by such holder into shares of Class C Common Stock on a one-to-one basis. During the fiscal year ended January 31, 2020, the Company issued 35,822,123 shares of Class C Common Stock to stockholders upon their conversion of the same number of shares of Class A Common Stock into Class C Common Stock in accordance with the Company’s certificate of incorporation. During the fiscal year ended January 31, 2020, the Company issued 35,301,641 shares of Class C Common Stock to stockholders upon their conversion of the same number of shares of Class B Common Stock into Class C Common Stock in accordance with the Company’s certificate of incorporation.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December 28, 2018, the Company completed a transaction, referred to as the “Class V transaction,” pursuant to an Agreement and Plan of Merger (the “Merger Agreement”), dated as of July 1, 2018 and amended as of November 14, 2018, between Dell Technologies and Teton Merger Sub Inc. (“Merger Sub”), a Delaware corporation and wholly-owned subsidiary of Dell Technologies. Pursuant to the Merger Agreement, Merger Sub was merged with and into Dell Technologies (the “Merger”), with Dell Technologies continuing as the surviving corporation.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Dell Technologies completed the Class V transaction following approval of the transaction by its stockholders at a special meeting held on December 11, 2018. Dell Technologies paid $14.0 billion in cash and issued 149,387,617 shares of its Class C Common Stock in connection with the Class V transaction. The non-cash consideration portion of the Class V transaction totaled $6.9 billion. The Class C Common Stock began trading on the NYSE on a when-issued basis as of the opening of trading on December 26, 2018 and on a regular-way basis as of the opening of trading on December 28, 2018. The Class V Common Stock ceased trading on the NYSE prior to the opening of trading on December 28, 2018.</w:t>
      </w:r>
    </w:p>
    <w:p>
      <w:pPr>
        <w:spacing w:after="0" w:line="17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Class V Common Stock was a class of common stock intended to track the economic performance of a portion of the Company’s interest in the Class V Group, which consisted solely of VMware, Inc. common stock held by the Company. As a result of the Class V transaction, pursuant to which all outstanding shares of Class V Common Stock ceased to be outstanding, the tracking stock feature of the Company’s capital structure was terminated. The Class C Common Stock issued to former holders of the Class V Common Stock represents an interest in the Company’s entire business and, unlike the Class V Common Stock, is not intended to track the performance of any distinct assets or business. The Company’s amended and restated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certificate of incorporation that went into effect as of the effective time of the Merger (the “Effective Time”) prohibits the Company from issuing shares of Class V Common Stock.</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At the Effective Time, each outstanding share of Class V Common Stock was exchanged for either (a) $120.00 in cash, without interest, subject to a cap of $14.0 billion on the aggregate cash consideration, or (b) 1.8066 shares of Class C Common Stock. The exchange ratio was calculated based on the aggregate amount of cash elections, as well as the aggregate volume-weighted average price per share of Class V Common Stock on the NYSE (as reported on Bloomberg) of $104.8700 for the period of 17 consecutive trading days that began on November 28, 2018 and ended on December 21, 2018.</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the Company’s senior secured credit facilities, proceeds of a margin loan financing in an aggregate principal amount of $1.35 billion, proceeds of the Company’s pro-rata portion, in the amount of $8.87 billion, of a special $11 billion cash dividend paid by VMware, Inc. in connection with the Class V transaction, and cash on hand at Dell Technologies and its subsidiaries. See Note 6 of the Notes to the Consolidated Financial Statements for information about the debt incurred by the Company to finance the Class V transaction.</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Merger and the Class V transaction have been accounted for as a hybrid liability and equity transaction involving the 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or $120.00 per share in cash or combination of cash and shares, depending on each holder’s election and subject to proration of the cash elections. The variable nature of the cash obligation to repurchase the shares of Class V Common Stock required the Company to settle a portion of the shares in exchange for cash and therefore was accounted for as a financial instrument with an immaterial mark-to-market adjustment for the change in fair value from the date of the stockholder meeting at which the Company’s stockholders voted to approve the Class V transaction to the election deadline by which holders of Class V Common Stock elected the form of consideration for which they exchanged their shares.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additional information about the Class V transaction, see “Part I — Item 1 — Business” included in this the Company’s annual report on Form 10-K for the fiscal year ended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 and 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V Common Stock Repurchases by Dell Technologies Inc.</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Prior to the Class V transaction and since the date of the EMC merger transaction, the Company authorized several programs to repurchase shares of its Class V Common Stock. As of February 1, 2019, no amounts of the $2.1 billion total authorized repurchases under the various programs remained available. The DHI Group Repurchase program described below was suspended as of December 13, 2016 and the $676 million remaining repurchases authorized expired two years after the authorization date. All $1.1 billion authorized under various Class V Group Repurchase Programs described below were fully utilized as of the fiscal year ended February 2, 2018. The Company repurchased no shares of Class V Common Stock under repurchase programs during the fiscal year ended February 1, 2019.</w:t>
      </w:r>
    </w:p>
    <w:p>
      <w:pPr>
        <w:spacing w:after="0" w:line="1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September 7, 2016, the board of directors of the Company approved a stock repurchase program (the “DHI Group Repurchase Program”) under which the Company was authorized to use assets of the DHI Group to repurchase up to $1.0 billion shares of Class V Common Stock over a period of two years. On December 13, 2016, the board of directors approved the suspension of the DHI Group Repurchase Program until such time as the board of directors authorized the reinstatement of that program. Shares repurchased under the DHI Group Repurchase Program were held as treasury stock at cost until the completion of the Class V transaction, at which time all shares of Class V Common Stock held in treasury were retired. As cash of the DHI Group was used for Class V Common Stock repurchases under the DHI Group Repurchase Program, these repurchased shares were attributed to the DHI Group for the purposes of determining the DHI Group’s retained interest in the Class V Group. As a result, the number of retained interest shares of the DHI Group, which, together with the number of shares of Class V Common Stock outstanding, were used to calculate such retained interest, increased on a one-for-one basis for each share of Class V Common Stock repurchased under the program.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25" w:right="3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March 27, 2017 and August 18, 2017, the board of directors approved two amendments of the Class V Group Repurchase Program (the “March 2017 Class V Group Repurchase Program” and the “August 2017 Class V Group Repurchase Program,” respectively) which, when combined, authorized the Company to use assets of the Class V Group to repurchase up to an additional $600 million of Class V Common Stock over additional six month periods from the respective board approval dates. On May 9, 2017, the Company completed the March 2017 Class V Group Repurchase Program, pursuant to which it repurchased 4.6 million shares of Class V Common Stock for $300 million. On October 31, 2017, the Company completed the August 2017 Class V Group Repurchase Program, pursuant to which it repurchased 3.8 million shares of Class V Common Stock for $300 million. The repurchase of shares pursuant to the Class V Group repurchase programs was funded from proceeds received by the Class V Group from the sale by a subsidiary of the Company of shares of Class A common stock of VMware, Inc. owned by such subsidiary, as described below under “Class A Common Stock Repurchases by VMware, Inc.” Share repurchases made by VMware, Inc. of its Class A common stock from a subsidiary of the Company did not affect the determination of the respective interests of the Class V Common Stock and the DHI Group in the Class V Group. Shares repurchased under the V Group Repurchase Program were held as treasury stock at cost until the retirement of such shares upon the completion of the Class V transaction.</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repurchase activity with respect to the Class V Common Stock through the completion of the Class V transaction as of the dates indicated: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800" w:type="dxa"/>
            <w:vAlign w:val="bottom"/>
            <w:gridSpan w:val="3"/>
          </w:tcPr>
          <w:p>
            <w:pPr>
              <w:ind w:left="1040"/>
              <w:spacing w:after="0"/>
              <w:rPr>
                <w:sz w:val="20"/>
                <w:szCs w:val="20"/>
                <w:color w:val="auto"/>
              </w:rPr>
            </w:pPr>
            <w:r>
              <w:rPr>
                <w:rFonts w:ascii="Arial" w:cs="Arial" w:eastAsia="Arial" w:hAnsi="Arial"/>
                <w:sz w:val="16"/>
                <w:szCs w:val="16"/>
                <w:b w:val="1"/>
                <w:bCs w:val="1"/>
                <w:color w:val="auto"/>
              </w:rPr>
              <w:t>Class V Common Stock</w:t>
            </w:r>
          </w:p>
        </w:tc>
        <w:tc>
          <w:tcPr>
            <w:tcW w:w="3680" w:type="dxa"/>
            <w:vAlign w:val="bottom"/>
            <w:gridSpan w:val="2"/>
          </w:tcPr>
          <w:p>
            <w:pPr>
              <w:ind w:left="820"/>
              <w:spacing w:after="0"/>
              <w:rPr>
                <w:sz w:val="20"/>
                <w:szCs w:val="20"/>
                <w:color w:val="auto"/>
              </w:rPr>
            </w:pPr>
            <w:r>
              <w:rPr>
                <w:rFonts w:ascii="Arial" w:cs="Arial" w:eastAsia="Arial" w:hAnsi="Arial"/>
                <w:sz w:val="16"/>
                <w:szCs w:val="16"/>
                <w:b w:val="1"/>
                <w:bCs w:val="1"/>
                <w:color w:val="auto"/>
              </w:rPr>
              <w:t>DHI Group Retained Interest</w:t>
            </w:r>
          </w:p>
        </w:tc>
      </w:tr>
      <w:tr>
        <w:trPr>
          <w:trHeight w:val="33"/>
        </w:trPr>
        <w:tc>
          <w:tcPr>
            <w:tcW w:w="37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80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 of Class V</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Interest in Class V</w:t>
            </w:r>
          </w:p>
        </w:tc>
        <w:tc>
          <w:tcPr>
            <w:tcW w:w="1780" w:type="dxa"/>
            <w:vAlign w:val="bottom"/>
          </w:tcPr>
          <w:p>
            <w:pPr>
              <w:spacing w:after="0"/>
              <w:rPr>
                <w:sz w:val="18"/>
                <w:szCs w:val="18"/>
                <w:color w:val="auto"/>
              </w:rPr>
            </w:pPr>
          </w:p>
        </w:tc>
        <w:tc>
          <w:tcPr>
            <w:tcW w:w="1900" w:type="dxa"/>
            <w:vAlign w:val="bottom"/>
          </w:tcPr>
          <w:p>
            <w:pPr>
              <w:jc w:val="center"/>
              <w:ind w:left="14"/>
              <w:spacing w:after="0"/>
              <w:rPr>
                <w:sz w:val="20"/>
                <w:szCs w:val="20"/>
                <w:color w:val="auto"/>
              </w:rPr>
            </w:pPr>
            <w:r>
              <w:rPr>
                <w:rFonts w:ascii="Arial" w:cs="Arial" w:eastAsia="Arial" w:hAnsi="Arial"/>
                <w:sz w:val="16"/>
                <w:szCs w:val="16"/>
                <w:b w:val="1"/>
                <w:bCs w:val="1"/>
                <w:color w:val="auto"/>
                <w:w w:val="92"/>
              </w:rPr>
              <w:t>Interest in Class V</w:t>
            </w:r>
          </w:p>
        </w:tc>
      </w:tr>
      <w:tr>
        <w:trPr>
          <w:trHeight w:val="210"/>
        </w:trPr>
        <w:tc>
          <w:tcPr>
            <w:tcW w:w="3700" w:type="dxa"/>
            <w:vAlign w:val="bottom"/>
          </w:tcPr>
          <w:p>
            <w:pPr>
              <w:spacing w:after="0"/>
              <w:rPr>
                <w:sz w:val="18"/>
                <w:szCs w:val="18"/>
                <w:color w:val="auto"/>
              </w:rPr>
            </w:pPr>
          </w:p>
        </w:tc>
        <w:tc>
          <w:tcPr>
            <w:tcW w:w="1800" w:type="dxa"/>
            <w:vAlign w:val="bottom"/>
          </w:tcPr>
          <w:p>
            <w:pPr>
              <w:jc w:val="right"/>
              <w:ind w:right="293"/>
              <w:spacing w:after="0"/>
              <w:rPr>
                <w:sz w:val="20"/>
                <w:szCs w:val="20"/>
                <w:color w:val="auto"/>
              </w:rPr>
            </w:pPr>
            <w:r>
              <w:rPr>
                <w:rFonts w:ascii="Arial" w:cs="Arial" w:eastAsia="Arial" w:hAnsi="Arial"/>
                <w:sz w:val="16"/>
                <w:szCs w:val="16"/>
                <w:b w:val="1"/>
                <w:bCs w:val="1"/>
                <w:color w:val="auto"/>
              </w:rPr>
              <w:t>Common Stock</w:t>
            </w:r>
          </w:p>
        </w:tc>
        <w:tc>
          <w:tcPr>
            <w:tcW w:w="20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Group</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w w:val="91"/>
              </w:rPr>
              <w:t>Retained Interest Shares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Group</w:t>
            </w:r>
          </w:p>
        </w:tc>
      </w:tr>
      <w:tr>
        <w:trPr>
          <w:trHeight w:val="33"/>
        </w:trPr>
        <w:tc>
          <w:tcPr>
            <w:tcW w:w="37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780" w:type="dxa"/>
            <w:vAlign w:val="bottom"/>
            <w:gridSpan w:val="3"/>
          </w:tcPr>
          <w:p>
            <w:pPr>
              <w:jc w:val="right"/>
              <w:ind w:right="573"/>
              <w:spacing w:after="0"/>
              <w:rPr>
                <w:sz w:val="20"/>
                <w:szCs w:val="20"/>
                <w:color w:val="auto"/>
              </w:rPr>
            </w:pPr>
            <w:r>
              <w:rPr>
                <w:rFonts w:ascii="Arial" w:cs="Arial" w:eastAsia="Arial" w:hAnsi="Arial"/>
                <w:sz w:val="18"/>
                <w:szCs w:val="18"/>
                <w:color w:val="auto"/>
              </w:rPr>
              <w:t>(in millions, except percentages)</w:t>
            </w:r>
          </w:p>
        </w:tc>
        <w:tc>
          <w:tcPr>
            <w:tcW w:w="19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shd w:val="clear" w:color="auto" w:fill="CCEEFF"/>
              </w:rPr>
              <w:t>As of February 3, 2017</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9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9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8"/>
              </w:rPr>
              <w:t>38%</w:t>
            </w:r>
          </w:p>
        </w:tc>
      </w:tr>
      <w:tr>
        <w:trPr>
          <w:trHeight w:val="243"/>
        </w:trPr>
        <w:tc>
          <w:tcPr>
            <w:tcW w:w="3700" w:type="dxa"/>
            <w:vAlign w:val="bottom"/>
          </w:tcPr>
          <w:p>
            <w:pPr>
              <w:ind w:left="160"/>
              <w:spacing w:after="0"/>
              <w:rPr>
                <w:sz w:val="20"/>
                <w:szCs w:val="20"/>
                <w:color w:val="auto"/>
              </w:rPr>
            </w:pPr>
            <w:r>
              <w:rPr>
                <w:rFonts w:ascii="Arial" w:cs="Arial" w:eastAsia="Arial" w:hAnsi="Arial"/>
                <w:sz w:val="18"/>
                <w:szCs w:val="18"/>
                <w:color w:val="auto"/>
              </w:rPr>
              <w:t>Class V Group Repurchase Program</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shd w:val="clear" w:color="auto" w:fill="CCEEFF"/>
              </w:rPr>
              <w:t>As of February 2, 2018</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c>
          <w:tcPr>
            <w:tcW w:w="19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9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8"/>
              </w:rPr>
              <w:t>39%</w:t>
            </w:r>
          </w:p>
        </w:tc>
      </w:tr>
      <w:tr>
        <w:trPr>
          <w:trHeight w:val="243"/>
        </w:trPr>
        <w:tc>
          <w:tcPr>
            <w:tcW w:w="3700" w:type="dxa"/>
            <w:vAlign w:val="bottom"/>
          </w:tcPr>
          <w:p>
            <w:pPr>
              <w:ind w:left="160"/>
              <w:spacing w:after="0"/>
              <w:rPr>
                <w:sz w:val="20"/>
                <w:szCs w:val="20"/>
                <w:color w:val="auto"/>
              </w:rPr>
            </w:pPr>
            <w:r>
              <w:rPr>
                <w:rFonts w:ascii="Arial" w:cs="Arial" w:eastAsia="Arial" w:hAnsi="Arial"/>
                <w:sz w:val="18"/>
                <w:szCs w:val="18"/>
                <w:color w:val="auto"/>
              </w:rPr>
              <w:t>Repurchases of Class V Common Stock</w:t>
            </w:r>
          </w:p>
        </w:tc>
        <w:tc>
          <w:tcPr>
            <w:tcW w:w="1800" w:type="dxa"/>
            <w:vAlign w:val="bottom"/>
          </w:tcPr>
          <w:p>
            <w:pPr>
              <w:jc w:val="right"/>
              <w:spacing w:after="0"/>
              <w:rPr>
                <w:sz w:val="20"/>
                <w:szCs w:val="20"/>
                <w:color w:val="auto"/>
              </w:rPr>
            </w:pPr>
            <w:r>
              <w:rPr>
                <w:rFonts w:ascii="Arial" w:cs="Arial" w:eastAsia="Arial" w:hAnsi="Arial"/>
                <w:sz w:val="18"/>
                <w:szCs w:val="18"/>
                <w:color w:val="auto"/>
              </w:rPr>
              <w:t>(199)</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w:t>
            </w:r>
          </w:p>
        </w:tc>
        <w:tc>
          <w:tcPr>
            <w:tcW w:w="1900" w:type="dxa"/>
            <w:vAlign w:val="bottom"/>
          </w:tcPr>
          <w:p>
            <w:pPr>
              <w:spacing w:after="0"/>
              <w:rPr>
                <w:sz w:val="21"/>
                <w:szCs w:val="2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68"/>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shd w:val="clear" w:color="auto" w:fill="CCEEFF"/>
              </w:rPr>
              <w:t>As of December 28, 2018</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3"/>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a result of the Class V transaction, pursuant to which all 199,356,591 outstanding shares of Class V Common Stock ceased to be outstanding, the tracking stock feature of the Company’s capital structure was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DHI Group Common Stock Repurchases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 to the Class V transaction during the fiscal year ended February 1, 2019, the Company repurchased approximately one million shares of DHI Group Common Stock for approximately $47 million. During the fiscal year ended February 2, 2018, the Company repurchased an immaterial number of shares of DHI Group Common Stock for approximately $6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shares of DHI Group Common Stock repurchased by the Company were held as treasury stock at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Class A Common Stock Repurchases by VMware, Inc.</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May 29, 2019, VMware, Inc.’s board of directors authorized the repurchase of an additional $1.5 billion of VMware, Inc.’s Class A common stock. Since the date of the EMC merger transaction, VMware, Inc.’s board of directors has authorized total repurchases of $3.7 billion, of which $1.0 billion remained available as of January 31, 2020. During fiscal year ended January 31, 2020, VMware repurchased 7.7 million shares of its Class A common stock on the open market for approximately $1.3 billion, of which approximately $0.2 billion impacted Dell Technologies’ accumulated deficit balance as of January 31, 2020 as a result of periodic depletion of VMware, Inc.’s additional paid-in capital balance. During the fiscal year ended February 1, 2019, VMware, Inc. repurchased 0.3 million shares of its Class A common stock in the open market for approximately $42 million.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25" w:right="3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December 15, 2016, the Company entered into a stock purchase agreement with VMware, Inc. (the “December 2016 Stock Purchase Agreement”), pursuant to which VMware, Inc. agreed to repurchase for cash $500 million of shares of VMware, Inc. Class A common stock from a subsidiary of the Company. During the fiscal year ended February 2, 2018, VMware, Inc. repurchased 1.4 million shares for $125 million pursuant to and in completion of the December 2016 Stock Purchase Agreement. VMware, Inc. repurchased a total of 6.2 million shares under this agreement, including shares repurchased during the fiscal year ended February 3, 2017. The Company applied the proceeds from the sale to the repurchase of shares of its Class V Common Stock under the Class V Group Repurchase Program described above.</w:t>
      </w:r>
    </w:p>
    <w:p>
      <w:pPr>
        <w:spacing w:after="0" w:line="17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January 2017 and August 2017, VMware, Inc.’s board of directors authorized the repurchase of up to $2.2 billion of shares of VMware, Inc. Class A common stock (the “January 2017 Authorization” for up to $1.2 billion through the end of Fiscal 2018, and the “August 2017 Authorization” for up to $1.0 billion through August 31, 2018). In July 2018, VMware, Inc.’s board of directors extended the August 2017 Authorization through August 31, 2019.</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29, 2017 and August 23, 2017, the Company entered into two new stock purchase agreements with VMware, Inc. (the “March 2017 Stock Purchase Agreement” and the “August 2017 Stock Purchase Agreement,” respectively), pursuant to which VMware, Inc. agreed to repurchase for cash a total of $600 million of VMware, Inc. Class A common stock from a subsidiary of the Company. VMware, Inc. repurchased approximately 6.1 million shares of Class A common stock, consisting of 3.4 million shares pursuant to the March 2017 Stock Purchase Agreement and 2.7 million shares pursuant to the August 2017 Stock Purchase Agreement. The proceeds from the sales were applied by the Company to the repurchase of shares of the Class V Common Stock under the March 2017 and August 2017 Class V Group Repurchase Programs described above. As of November 3, 2017, the sale transactions under the March 2017 and August 2017 Stock Purchase Agreements were completed. The purchase prices of the 3.4 million shares and 2.7 million shares repurchased by VMware, Inc. were each based on separate volume-weighted average per share prices of the Class A common stock as reported on the NYSE during separate specified reference periods, less a discount of 3.5% from the respective volume-weighted average per share price. During the fiscal year ended February 2, 2018, VMware, Inc. repurchased 6.4 million shares of its Class A common stock in the open market for $724 million. During the period from September 7, 2016 through February 3, 2017, VMware, Inc. repurchased 8.3 million shares of its Class A common stock in the open market for $611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VMware, Inc.’s stock repurchase programs are retired.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25" w:right="3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Until the completion on December 28, 2018 of the Class V transaction described in Note 14 of the Notes to the Consolidated Financial Statements, the Company had two groups of common stock, denoted as the DHI Group Common Stock and the Class V Common Stock.</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Class V Common Stock was a class of common stock intended to track the economic performance of 61% of the Company’s interest in the Class V Group, which consisted solely of VMware, Inc. common stock held by the Company, as of February 2, 2018 and as of immediately before the completion of the Class V transaction. Upon the completion of the Class V transaction, all outstanding shares of Class V Common Stock ceased to be outstanding, and the tracking stock structure was terminated. The Class C Common Stock issued to former holders of the Class V Common Stock in the Class V transaction represents an interest in the Company’s entire business and, unlike the Class V Common Stock, is not intended to track the performance of any distinct assets or business.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Prior to the fiscal year ended January 31, 2020, the DHI Group Common Stock consisted of four classes of common stock, including the Class A Common Stock, the Class B Common Stock, the Class C Common Stock, and the Class D Common Stock. Prior to the completion of the Class V transaction,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Group Common Stock.</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calculating earnings (loss) per share, the Company continues to use the two-class method. The Class A Common Stock, the Class B Common Stock, the Class C Common Stock, and the Class D Common Stock share equally in dividends declared or accumulated and have equal participation rights in undistributed earnings. As a result, earnings (loss) per share are the same for all classes of Dell Technologies Common Stock and are presented together.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accounted for the VMware, Inc. acquisition of the controlling interest in Pivotal from Dell Technologies described in Note 1 of the Notes to the Consolidated Financial Statements as a transaction by entities under common control. Consequently, the Pivotal acquisition had no net effect on the Company’s consolidated financial statements or earnings (loss) per share as previously reported, which includes the periods in which the Class V Common Stock was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basic and diluted earnings (loss) per share for the periods indicated:</w:t>
      </w:r>
    </w:p>
    <w:p>
      <w:pPr>
        <w:spacing w:after="0" w:line="167"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880"/>
        <w:spacing w:after="0"/>
        <w:tabs>
          <w:tab w:leader="none" w:pos="7760" w:val="left"/>
          <w:tab w:leader="none" w:pos="9660" w:val="left"/>
        </w:tabs>
        <w:rPr>
          <w:sz w:val="20"/>
          <w:szCs w:val="20"/>
          <w:color w:val="auto"/>
        </w:rPr>
      </w:pPr>
      <w:r>
        <w:rPr>
          <w:rFonts w:ascii="Arial" w:cs="Arial" w:eastAsia="Arial" w:hAnsi="Arial"/>
          <w:sz w:val="18"/>
          <w:szCs w:val="18"/>
          <w:b w:val="1"/>
          <w:bCs w:val="1"/>
          <w:color w:val="auto"/>
        </w:rPr>
        <w:t>January 31, 2020</w:t>
      </w:r>
      <w:r>
        <w:rPr>
          <w:sz w:val="20"/>
          <w:szCs w:val="20"/>
          <w:color w:val="auto"/>
        </w:rPr>
        <w:tab/>
      </w: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40"/>
              <w:spacing w:after="0"/>
              <w:rPr>
                <w:sz w:val="20"/>
                <w:szCs w:val="20"/>
                <w:color w:val="auto"/>
              </w:rPr>
            </w:pPr>
            <w:r>
              <w:rPr>
                <w:rFonts w:ascii="Arial" w:cs="Arial" w:eastAsia="Arial" w:hAnsi="Arial"/>
                <w:sz w:val="18"/>
                <w:szCs w:val="18"/>
                <w:color w:val="auto"/>
              </w:rPr>
              <w:t>Dell Technologies Common Stock</w:t>
            </w:r>
          </w:p>
        </w:tc>
        <w:tc>
          <w:tcPr>
            <w:tcW w:w="2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6.38</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V Common Stock</w:t>
            </w:r>
          </w:p>
        </w:tc>
        <w:tc>
          <w:tcPr>
            <w:tcW w:w="2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6.01</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DHI Group</w:t>
            </w:r>
          </w:p>
        </w:tc>
        <w:tc>
          <w:tcPr>
            <w:tcW w:w="2280" w:type="dxa"/>
            <w:vAlign w:val="bottom"/>
          </w:tcPr>
          <w:p>
            <w:pPr>
              <w:spacing w:after="0"/>
              <w:rPr>
                <w:sz w:val="21"/>
                <w:szCs w:val="21"/>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Dell Technologies Common Stock</w:t>
            </w:r>
          </w:p>
        </w:tc>
        <w:tc>
          <w:tcPr>
            <w:tcW w:w="2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6.03</w:t>
            </w:r>
          </w:p>
        </w:tc>
        <w:tc>
          <w:tcPr>
            <w:tcW w:w="1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Class V Common Stock</w:t>
            </w:r>
          </w:p>
        </w:tc>
        <w:tc>
          <w:tcPr>
            <w:tcW w:w="2380" w:type="dxa"/>
            <w:vAlign w:val="bottom"/>
          </w:tcPr>
          <w:p>
            <w:pPr>
              <w:spacing w:after="0"/>
              <w:rPr>
                <w:sz w:val="21"/>
                <w:szCs w:val="21"/>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5.91</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40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DHI Group</w:t>
            </w:r>
          </w:p>
        </w:tc>
        <w:tc>
          <w:tcPr>
            <w:tcW w:w="2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648"/>
        </w:trPr>
        <w:tc>
          <w:tcPr>
            <w:tcW w:w="4000" w:type="dxa"/>
            <w:vAlign w:val="bottom"/>
          </w:tcPr>
          <w:p>
            <w:pPr>
              <w:spacing w:after="0"/>
              <w:rPr>
                <w:sz w:val="24"/>
                <w:szCs w:val="24"/>
                <w:color w:val="auto"/>
              </w:rPr>
            </w:pPr>
          </w:p>
        </w:tc>
        <w:tc>
          <w:tcPr>
            <w:tcW w:w="2380" w:type="dxa"/>
            <w:vAlign w:val="bottom"/>
          </w:tcPr>
          <w:p>
            <w:pPr>
              <w:jc w:val="right"/>
              <w:ind w:right="530"/>
              <w:spacing w:after="0"/>
              <w:rPr>
                <w:sz w:val="20"/>
                <w:szCs w:val="20"/>
                <w:color w:val="auto"/>
              </w:rPr>
            </w:pPr>
            <w:r>
              <w:rPr>
                <w:rFonts w:ascii="Arial" w:cs="Arial" w:eastAsia="Arial" w:hAnsi="Arial"/>
                <w:sz w:val="18"/>
                <w:szCs w:val="18"/>
                <w:color w:val="auto"/>
              </w:rPr>
              <w:t>156</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(loss) per share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70"/>
        </w:trPr>
        <w:tc>
          <w:tcPr>
            <w:tcW w:w="9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January 31, 2020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Dell Technologies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 xml:space="preserve">Net income attributable to Dell Technologies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Inc. attributable to Dell Technologies (a)</w:t>
            </w: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9000" w:type="dxa"/>
            <w:vAlign w:val="bottom"/>
          </w:tcPr>
          <w:p>
            <w:pPr>
              <w:ind w:left="180"/>
              <w:spacing w:after="0"/>
              <w:rPr>
                <w:sz w:val="20"/>
                <w:szCs w:val="20"/>
                <w:color w:val="auto"/>
              </w:rPr>
            </w:pPr>
            <w:r>
              <w:rPr>
                <w:rFonts w:ascii="Arial" w:cs="Arial" w:eastAsia="Arial" w:hAnsi="Arial"/>
                <w:sz w:val="18"/>
                <w:szCs w:val="18"/>
                <w:color w:val="auto"/>
              </w:rPr>
              <w:t xml:space="preserve">Net income attributable to Dell Technologies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i w:val="1"/>
                <w:iCs w:val="1"/>
                <w:color w:val="auto"/>
              </w:rPr>
              <w:t>Denominator: Dell Technologies Common Stock weighted-average shares outstanding</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antidilutive</w:t>
            </w: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40" w:hanging="332"/>
        <w:spacing w:after="0" w:line="252"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diluted earnings (loss) per share of Dell Technologies Common Stock, and is calculated by multiplying the difference between VMware, Inc.’s basic and diluted earnings (loss) per share by the number of shares of VMware, Inc. common stock held by the Company. For the fiscal year ended January 31, 2020, incremental dilution from VMware, Inc. was calculated by the Company without regard to VMware Inc.’s required retrospective adjustments for the Pivotal acquisition in its stand-alone financial statements. There is no incremental dilution from Pivotal and Secureworks due to the net loss position of these entities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computation of basic and diluted earnings (loss) per share prior to the fiscal year ended January 31, 2020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1, 2019</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February 2, 2018</w:t>
            </w: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Numerator: Class V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Class V Common Stock — basic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Incremental dilution from VMware, Inc. attributable to Class V Common Stock (b)</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16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Class V Common Stock — diluted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1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18"/>
        </w:trPr>
        <w:tc>
          <w:tcPr>
            <w:tcW w:w="16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i w:val="1"/>
                <w:iCs w:val="1"/>
                <w:color w:val="auto"/>
              </w:rPr>
              <w:t>Numerator: DHI Group</w:t>
            </w: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43"/>
        </w:trPr>
        <w:tc>
          <w:tcPr>
            <w:tcW w:w="160" w:type="dxa"/>
            <w:vAlign w:val="bottom"/>
          </w:tcPr>
          <w:p>
            <w:pPr>
              <w:spacing w:after="0"/>
              <w:rPr>
                <w:sz w:val="21"/>
                <w:szCs w:val="21"/>
                <w:color w:val="auto"/>
              </w:rPr>
            </w:pPr>
          </w:p>
        </w:tc>
        <w:tc>
          <w:tcPr>
            <w:tcW w:w="6700" w:type="dxa"/>
            <w:vAlign w:val="bottom"/>
            <w:gridSpan w:val="2"/>
          </w:tcPr>
          <w:p>
            <w:pPr>
              <w:ind w:left="120"/>
              <w:spacing w:after="0"/>
              <w:rPr>
                <w:sz w:val="20"/>
                <w:szCs w:val="20"/>
                <w:color w:val="auto"/>
              </w:rPr>
            </w:pPr>
            <w:r>
              <w:rPr>
                <w:rFonts w:ascii="Arial" w:cs="Arial" w:eastAsia="Arial" w:hAnsi="Arial"/>
                <w:sz w:val="18"/>
                <w:szCs w:val="18"/>
                <w:color w:val="auto"/>
              </w:rPr>
              <w:t>Incremental dilution from VMware, Inc. attributable to DHI Group (b)</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16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DHI Group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r>
      <w:tr>
        <w:trPr>
          <w:trHeight w:val="318"/>
        </w:trPr>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 (c)</w:t>
            </w:r>
          </w:p>
        </w:tc>
        <w:tc>
          <w:tcPr>
            <w:tcW w:w="2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Dilutive effect of options, restricted stock units, restricted stock, and other (d)</w:t>
            </w: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16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6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shd w:val="clear" w:color="auto" w:fill="CCEEFF"/>
              </w:rPr>
              <w:t xml:space="preserve">Weighted-average shares outstanding </w:t>
            </w:r>
            <w:r>
              <w:rPr>
                <w:rFonts w:ascii="Arial" w:cs="Arial" w:eastAsia="Arial" w:hAnsi="Arial"/>
                <w:sz w:val="18"/>
                <w:szCs w:val="18"/>
                <w:b w:val="1"/>
                <w:bCs w:val="1"/>
                <w:color w:val="auto"/>
                <w:w w:val="90"/>
                <w:shd w:val="clear" w:color="auto" w:fill="CCEEFF"/>
              </w:rPr>
              <w:t>—</w:t>
            </w:r>
            <w:r>
              <w:rPr>
                <w:rFonts w:ascii="Arial" w:cs="Arial" w:eastAsia="Arial" w:hAnsi="Arial"/>
                <w:sz w:val="18"/>
                <w:szCs w:val="18"/>
                <w:color w:val="auto"/>
                <w:w w:val="90"/>
                <w:shd w:val="clear" w:color="auto" w:fill="CCEEFF"/>
              </w:rPr>
              <w:t xml:space="preserve"> antidilutive (d)</w:t>
            </w:r>
          </w:p>
        </w:tc>
        <w:tc>
          <w:tcPr>
            <w:tcW w:w="2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 (e)</w:t>
            </w:r>
          </w:p>
        </w:tc>
        <w:tc>
          <w:tcPr>
            <w:tcW w:w="2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16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6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antidilutive (f)</w:t>
            </w: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8"/>
        </w:trPr>
        <w:tc>
          <w:tcPr>
            <w:tcW w:w="420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ind w:left="340" w:right="420" w:hanging="332"/>
        <w:spacing w:after="0" w:line="280"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fiscal year ended February 1, 2019, net income attributable to the Class V Common Stock - basic represents net income attributable to the Class V Group for the period ended December 27, 2018, the last date on which the Class V Common Stock was traded on the NYSE.</w:t>
      </w:r>
    </w:p>
    <w:p>
      <w:pPr>
        <w:spacing w:after="0" w:line="1" w:lineRule="exact"/>
        <w:rPr>
          <w:rFonts w:ascii="Arial" w:cs="Arial" w:eastAsia="Arial" w:hAnsi="Arial"/>
          <w:sz w:val="16"/>
          <w:szCs w:val="16"/>
          <w:color w:val="auto"/>
        </w:rPr>
      </w:pPr>
    </w:p>
    <w:p>
      <w:pPr>
        <w:ind w:left="340" w:right="140" w:hanging="332"/>
        <w:spacing w:after="0" w:line="25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common stock held by the Company.</w:t>
      </w:r>
    </w:p>
    <w:p>
      <w:pPr>
        <w:spacing w:after="0" w:line="1" w:lineRule="exact"/>
        <w:rPr>
          <w:rFonts w:ascii="Arial" w:cs="Arial" w:eastAsia="Arial" w:hAnsi="Arial"/>
          <w:sz w:val="18"/>
          <w:szCs w:val="18"/>
          <w:color w:val="auto"/>
        </w:rPr>
      </w:pPr>
    </w:p>
    <w:p>
      <w:pPr>
        <w:ind w:left="340" w:right="180" w:hanging="332"/>
        <w:spacing w:after="0" w:line="265"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the fiscal year ended February 1, 2019, the Class V Common Stock weighted-average shares outstanding - basic represents the weighted-average for the period ended December 27, 2018, the last date on which the Class V Common Stock was traded on the NYSE.</w:t>
      </w:r>
    </w:p>
    <w:p>
      <w:pPr>
        <w:ind w:left="340" w:right="260" w:hanging="332"/>
        <w:spacing w:after="0" w:line="25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shares outstanding. The antidilutive effect of these awards was also not material.</w:t>
      </w:r>
    </w:p>
    <w:p>
      <w:pPr>
        <w:ind w:left="340" w:right="220" w:hanging="332"/>
        <w:spacing w:after="0" w:line="25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fiscal year ended February 1, 2019, the DHI Group weighted-average shares outstanding - basic represents the weighted-average shares over the twelve month period, with the Class C shares appropriately weighted for the number of days outstanding before and after the completion of the Class V transaction.</w:t>
      </w:r>
    </w:p>
    <w:p>
      <w:pPr>
        <w:spacing w:after="0" w:line="1" w:lineRule="exact"/>
        <w:rPr>
          <w:rFonts w:ascii="Arial" w:cs="Arial" w:eastAsia="Arial" w:hAnsi="Arial"/>
          <w:sz w:val="18"/>
          <w:szCs w:val="18"/>
          <w:color w:val="auto"/>
        </w:rPr>
      </w:pPr>
    </w:p>
    <w:p>
      <w:pPr>
        <w:ind w:left="340" w:right="80" w:hanging="332"/>
        <w:spacing w:after="0" w:line="26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Stock-based incentive awards have been excluded from the calculation of the DHI Group’s diluted loss per share because their effect would have been antidilutive, as the Company had a net loss attributable to the DHI Group for the periods presented.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income allocation and earnings per share for the fiscal years ended February 1, 2019 and February 2, 2018 were not impacted by the acquisition of Pivotal by VMware, Inc., because shares of Class V Common Stock are no longer outstanding. The following table presents a summary of the net loss attributable to Dell Technologies Inc.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1, 2019</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February 2, 2018</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Class V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loss attributable to DHI Group</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basis of allocation of net income attributable to the Class V Group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1, 2019</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February 2, 2018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color w:val="auto"/>
              </w:rPr>
              <w:t>Net income attributable to VMware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VMware for the period from December 28, 2018 to</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2019</w:t>
            </w: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Class V Group</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w w:val="93"/>
              </w:rPr>
              <w:t>Less: DHI Group's 38.90% and 38.48%, respectively, weighted average retained interest in</w:t>
            </w: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Class V Group</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V Common Stock economic interest in Class V Group (a)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right="160" w:hanging="332"/>
        <w:spacing w:after="0" w:line="323"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fiscal year ended February 1, 2019, Class V Common Stock economic interest in the Class V Group represents net income attributable to the Class V Group for the period ended December 27, 2018, the last date on which the Class V Common Stock traded on the New York Stock Exchange.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presents a reconciliation of the VMware reportable segment results to the VMware, Inc. results attributable to the Class V Group pursuant to the tracking stock policy for the periods indicated. The VMware reportable segment results presented below were recast as discussed in Note 19 of the Notes to the Consolidated Financial Statements. The VMware, Inc. results were not impacted by the Pivotal acquisition.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1, 2019</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VMware</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VMware</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Adjustments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Eliminations (a)</w:t>
            </w:r>
          </w:p>
        </w:tc>
        <w:tc>
          <w:tcPr>
            <w:tcW w:w="14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VMware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4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Eliminations (a)</w:t>
            </w:r>
          </w:p>
        </w:tc>
        <w:tc>
          <w:tcPr>
            <w:tcW w:w="1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VMware</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97"/>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Interest and other income (expense),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attributable to VMware</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28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rPr>
              <w:t>attributable to VMware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Income tax provision attributable to</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57"/>
        </w:trPr>
        <w:tc>
          <w:tcPr>
            <w:tcW w:w="2820" w:type="dxa"/>
            <w:vAlign w:val="bottom"/>
          </w:tcPr>
          <w:p>
            <w:pPr>
              <w:ind w:left="40"/>
              <w:spacing w:after="0"/>
              <w:rPr>
                <w:sz w:val="20"/>
                <w:szCs w:val="20"/>
                <w:color w:val="auto"/>
              </w:rPr>
            </w:pPr>
            <w:r>
              <w:rPr>
                <w:rFonts w:ascii="Arial" w:cs="Arial" w:eastAsia="Arial" w:hAnsi="Arial"/>
                <w:sz w:val="18"/>
                <w:szCs w:val="18"/>
                <w:color w:val="auto"/>
                <w:w w:val="99"/>
              </w:rPr>
              <w:t>Net income attributable to VMware</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80" w:hanging="332"/>
        <w:spacing w:after="0" w:line="25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 Adjustments also include adjustments and eliminations pertaining to Pivotal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recognized in the Consolidated Statements of Income (Loss)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expense (a):</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7"/>
        </w:trPr>
        <w:tc>
          <w:tcPr>
            <w:tcW w:w="5640" w:type="dxa"/>
            <w:vAlign w:val="bottom"/>
          </w:tcPr>
          <w:p>
            <w:pPr>
              <w:ind w:left="500"/>
              <w:spacing w:after="0"/>
              <w:rPr>
                <w:sz w:val="20"/>
                <w:szCs w:val="20"/>
                <w:color w:val="auto"/>
              </w:rPr>
            </w:pPr>
            <w:r>
              <w:rPr>
                <w:rFonts w:ascii="Arial" w:cs="Arial" w:eastAsia="Arial" w:hAnsi="Arial"/>
                <w:sz w:val="18"/>
                <w:szCs w:val="18"/>
                <w:color w:val="auto"/>
              </w:rPr>
              <w:t>Stock-based compensation expense before taxes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5640" w:type="dxa"/>
            <w:vAlign w:val="bottom"/>
          </w:tcPr>
          <w:p>
            <w:pPr>
              <w:ind w:left="500"/>
              <w:spacing w:after="0"/>
              <w:rPr>
                <w:sz w:val="20"/>
                <w:szCs w:val="20"/>
                <w:color w:val="auto"/>
              </w:rPr>
            </w:pPr>
            <w:r>
              <w:rPr>
                <w:rFonts w:ascii="Arial" w:cs="Arial" w:eastAsia="Arial" w:hAnsi="Arial"/>
                <w:sz w:val="18"/>
                <w:szCs w:val="18"/>
                <w:color w:val="auto"/>
              </w:rPr>
              <w:t>Stock-based compensation expense, net of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00" w:hanging="332"/>
        <w:spacing w:after="0" w:line="260"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Stock-based compensation expense before taxes for the fiscal years ended January 31, 2020, February 1, 2019, and February 2, 2018 includes $892 million, $731 million and $683 million, respectively, related to the VMware, Inc. plans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Stock-Based Compensation Plans</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i w:val="1"/>
          <w:iCs w:val="1"/>
          <w:color w:val="auto"/>
        </w:rPr>
        <w:t xml:space="preserve">Dell Technologies Inc. 2013 Stock Incentive Plan (As Amended and Restated as of July, 9, 2019) </w:t>
      </w:r>
      <w:r>
        <w:rPr>
          <w:rFonts w:ascii="Arial" w:cs="Arial" w:eastAsia="Arial" w:hAnsi="Arial"/>
          <w:sz w:val="17"/>
          <w:szCs w:val="17"/>
          <w:color w:val="auto"/>
        </w:rPr>
        <w:t>— On September 7, 2016, at the effective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EMC merger transaction, the Denali Holding Inc. 2013 Stock Incentive Plan (the “2013 Plan”) was amended and restated as the Dell Technologies Inc. 2013 Stock Incentive Plan (the “Restated Plan”). Employees, consultants, non-employee directors, and other service providers of the Company or its affiliates are eligible to participate in the Restated Plan. The Restated Plan authorized the issuance of an aggregate of 75 million shares of the Company’s Class C Common Stock and 500,000 shares of the Company’s Class V Common Stock, of which 61 million shares of Class C Common Stock were previously reserved for issuance under the 2013 Plan. The Restated Plan authorizes the Company to grant stock options, restricted stock units (“RSUs”), stock appreciation rights (“SARs”), RSAs, and dividend equivalents.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the Class V transaction on December 28, 2018, the Restated Plan was amended to remove allowance for employee awards to be settled in Class V Common Stock and reflected an increase in the total authorized shares of Class C Common Stock issued under the plan to 75.5 million shares from 75 million shares upon the conversion of 500,000 shares of Class V Common Stock previously authorized under the plan into the same number of shares of Class C Common Stock. In connection with the Class V transaction, an immaterial number of Class V Common Stock awards issued to the Company’s independent directors were converted into an immaterial number of Class C Common Stock awards, which are reflected in the underlying stock option and restricted stock data as outstanding. See Note 14 of the Notes to the Consolidated Financial Statements for additional information on the Class V transaction.</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the fiscal year ended January 31, 2020, the Company’s stockholders approved an amendment to the Restated Plan to authorize an additional 35 million shares of Class C Common Stock for issuance pursuant to the Plan. Upon effectiveness of the amendment, a total of 110.5 million shares of Class C Common Stock are authorized for issuance. As of January 31, 2020, there were approximately 55 million shares of Class C Common Stock available for future grants under the Restated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Stock Option Agreements </w:t>
      </w:r>
      <w:r>
        <w:rPr>
          <w:rFonts w:ascii="Arial" w:cs="Arial" w:eastAsia="Arial" w:hAnsi="Arial"/>
          <w:sz w:val="16"/>
          <w:szCs w:val="16"/>
          <w:color w:val="auto"/>
        </w:rPr>
        <w:t>— Stock options granted under the Restated Plan include service-based awards and performance-based awards.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service-based stock options vest pro-rata at each option anniversary date over a five-year period. Outstanding performance-based stock options became fully vested upon the achievement of a prescribed return on equity (“ROE”) measurement that was approved by the Company’s board of directors in connection with the Class V transaction. Both service-based and performance-based stock options are granted with option exercise prices equal to the fair market value of the Company’s common stock. Prior to the Class V transaction, the fair market value was determined by the Company’s board of directors or authorized committee. After the Class V transaction, the fair market value is based on the closing price of the Class C Common Stock as reported on the NYSE on the grant date. A majority of the stock options expire ten years after the date of grant.</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Stock Option Activity </w:t>
      </w:r>
      <w:r>
        <w:rPr>
          <w:rFonts w:ascii="Arial" w:cs="Arial" w:eastAsia="Arial" w:hAnsi="Arial"/>
          <w:sz w:val="18"/>
          <w:szCs w:val="18"/>
          <w:color w:val="auto"/>
        </w:rPr>
        <w:t>— The following table presents stock option activity settled in Dell Technologies Common Stock or DHI Group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 (a)</w:t>
            </w:r>
          </w:p>
        </w:tc>
      </w:tr>
      <w:tr>
        <w:trPr>
          <w:trHeight w:val="27"/>
        </w:trPr>
        <w:tc>
          <w:tcPr>
            <w:tcW w:w="4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(per share)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Options outstanding as of February 3, 2017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Options outstanding as of February 2, 2018</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Options outstanding as of February 1, 2019 (b)</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Options outstanding as of January 31, 2020 (c)</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617</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January 31, 2020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29"/>
        </w:trPr>
        <w:tc>
          <w:tcPr>
            <w:tcW w:w="4280" w:type="dxa"/>
            <w:vAlign w:val="bottom"/>
          </w:tcPr>
          <w:p>
            <w:pPr>
              <w:ind w:left="40"/>
              <w:spacing w:after="0"/>
              <w:rPr>
                <w:sz w:val="20"/>
                <w:szCs w:val="20"/>
                <w:color w:val="auto"/>
              </w:rPr>
            </w:pPr>
            <w:r>
              <w:rPr>
                <w:rFonts w:ascii="Arial" w:cs="Arial" w:eastAsia="Arial" w:hAnsi="Arial"/>
                <w:sz w:val="18"/>
                <w:szCs w:val="18"/>
                <w:color w:val="auto"/>
                <w:w w:val="92"/>
              </w:rPr>
              <w:t>Vested and expected to vest (net of estimated forfeitures)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as of January 31, 2020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____________________</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ind w:left="340" w:right="12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intrinsic values represent the total pre-tax intrinsic values based on the closing price of $48.77 of the Company’s Class C Common Stock on January 31, 2020 as reported on the NYSE that would have been received by the option holders had all in-the-money options been exercised as of that date.</w:t>
      </w:r>
    </w:p>
    <w:p>
      <w:pPr>
        <w:spacing w:after="0" w:line="1"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option activity during the period was immaterial. The ending weighted-average exercise price was calculated based on underlying options outstanding as of February 1, 2019.</w:t>
      </w:r>
    </w:p>
    <w:p>
      <w:pPr>
        <w:ind w:left="340" w:right="40" w:hanging="332"/>
        <w:spacing w:after="0" w:line="25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than stock option exercises, stock option activity during the period was immaterial. The ending weighted-average exercise price was calculated based on underlying options outstanding as of January 31, 2020. Of the 18 million stock options outstanding on January 31, 2020, 10 million related to performance-based awards and 8 million related to service-based awards.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total fair value of options vested was $4 million, $150 million, and $45 million for the fiscal years ended January 31, 2020, February 1, 2019, and February 2, 2018, respectively. The pre-tax intrinsic value of the options exercised was $835 million, $18 million, and $62 million for the fiscal years ended January 31, 2020, February 1, 2019, and February 2, 2018, respectively. Cash proceeds from the exercise of stock options were $350 million for the fiscal year ended January 31, 2020 and immaterial for both the fiscal years ended February 1, 2019 and February 2, 2018.</w:t>
      </w:r>
    </w:p>
    <w:p>
      <w:pPr>
        <w:spacing w:after="0" w:line="171"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The tax benefit realized from the exercise of stock options was $197 million, $5 million, and $21 million for the fiscal years ended January 31, 2020, February 1, 2019, and February 2, 2018, respectively. As of January 31, 2020, there was $2 million of total unrecognized stock-based compensation expense, net of estimated forfeitures, related to unvested stock options expected to be recognized over a weighted-average period of 1.5 years.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Valuation of Service-Based Stock Option Awards </w:t>
      </w:r>
      <w:r>
        <w:rPr>
          <w:rFonts w:ascii="Arial" w:cs="Arial" w:eastAsia="Arial" w:hAnsi="Arial"/>
          <w:sz w:val="18"/>
          <w:szCs w:val="18"/>
          <w:color w:val="auto"/>
        </w:rPr>
        <w:t>— The Company granted an immaterial number of service-based stock options under the Restated Plan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fiscal years ended January 31, 2020, February 1, 2019, and February 2,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Valuation of Performance-Based Stock Option Awards </w:t>
      </w:r>
      <w:r>
        <w:rPr>
          <w:rFonts w:ascii="Arial" w:cs="Arial" w:eastAsia="Arial" w:hAnsi="Arial"/>
          <w:sz w:val="18"/>
          <w:szCs w:val="18"/>
          <w:color w:val="auto"/>
        </w:rPr>
        <w:t>— There were no performance-based stock options granted under the Restated Plan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January 31, 2020, February 1, 2019, and February 2, 2018.</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The Company’s restricted stock primarily consists of RSUs granted to employees. During the fiscal year ended January 31,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granted long-term incentive awards in the form of service-based RSUs and performance-based RSUs (“PSUs”) in order to align critical talent retention programs with the interests of holders of the Class C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Service-based RSUs have a fair value based on the closing price of the Class C Common Stock price as reported on the NYSE on the grant date or the trade day immediately preceding the grant date, if the grant date falls on a non-trading day. Most of such RSUs vest ratably over a three-year period. Each service-based RSU represents the right to acquire one share of Class C Common Stock upon vesting. Prior to the Class V transaction, each RSU converted into one share of DHI Group Common Stock upon vesting.</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PSUs granted after the Class V transaction are reflected as target units while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metrics and have fair values based on the closing price of the Class C Common Stock as reported on the NYSE on the accounting grant date. For the fiscal year ended January 31, 2020, approximately one-third of the non-market performance awards have been valued and are considered outstanding for accounting purposes.</w:t>
      </w:r>
    </w:p>
    <w:p>
      <w:pPr>
        <w:spacing w:after="0" w:line="1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Prior to the Class V transaction, the Company granted market-based PSUs to certain members of the Company’s senior leadership team, which were also valued using the Monte Carlo model. The vesting and payout of the PSU awards depends upon the return on equity achieved on various measurement dates through the five year anniversary of the EMC merger transaction or specified liquidity events.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The following table presents the assumptions utilized in the Monte Carlo valuation model for the period indicated:</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Fiscal Year Ended</w:t>
            </w:r>
          </w:p>
        </w:tc>
      </w:tr>
      <w:tr>
        <w:trPr>
          <w:trHeight w:val="270"/>
        </w:trPr>
        <w:tc>
          <w:tcPr>
            <w:tcW w:w="9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21"/>
                <w:szCs w:val="21"/>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restricted stock and restricted stock units activity settled in Dell Technologies Common Stock or DHI Group Common Stock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Weighted-Average Grant</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86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Number of Units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8"/>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94"/>
              </w:rPr>
              <w:t>(per unit)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3, 2017</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2, 2018</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Granted (a)</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1, 2019</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January 31, 2020 (b)</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granted an immaterial number of restricted stock awards during the fiscal year ended February 1,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January 31, 2020, the 16 million units outstanding included 11 million RSUs and 5 million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restricted stock that is expected to vest as of the date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4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54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Number of Units</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5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140" w:type="dxa"/>
            <w:vAlign w:val="bottom"/>
          </w:tcPr>
          <w:p>
            <w:pPr>
              <w:spacing w:after="0"/>
              <w:rPr>
                <w:sz w:val="20"/>
                <w:szCs w:val="20"/>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color w:val="auto"/>
                <w:w w:val="96"/>
              </w:rPr>
              <w:t>(in millions)</w:t>
            </w:r>
          </w:p>
        </w:tc>
      </w:tr>
      <w:tr>
        <w:trPr>
          <w:trHeight w:val="27"/>
        </w:trPr>
        <w:tc>
          <w:tcPr>
            <w:tcW w:w="5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jc w:val="right"/>
              <w:ind w:right="2770"/>
              <w:spacing w:after="0"/>
              <w:rPr>
                <w:sz w:val="20"/>
                <w:szCs w:val="20"/>
                <w:color w:val="auto"/>
              </w:rPr>
            </w:pPr>
            <w:r>
              <w:rPr>
                <w:rFonts w:ascii="Arial" w:cs="Arial" w:eastAsia="Arial" w:hAnsi="Arial"/>
                <w:sz w:val="18"/>
                <w:szCs w:val="18"/>
                <w:color w:val="auto"/>
                <w:w w:val="89"/>
              </w:rPr>
              <w:t>Expected to vest, January 31, 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18"/>
        </w:trPr>
        <w:tc>
          <w:tcPr>
            <w:tcW w:w="5400" w:type="dxa"/>
            <w:vAlign w:val="bottom"/>
          </w:tcPr>
          <w:p>
            <w:pPr>
              <w:jc w:val="right"/>
              <w:ind w:right="3510"/>
              <w:spacing w:after="0"/>
              <w:rPr>
                <w:sz w:val="20"/>
                <w:szCs w:val="20"/>
                <w:color w:val="auto"/>
              </w:rPr>
            </w:pPr>
            <w:r>
              <w:rPr>
                <w:rFonts w:ascii="Arial" w:cs="Arial" w:eastAsia="Arial" w:hAnsi="Arial"/>
                <w:sz w:val="18"/>
                <w:szCs w:val="18"/>
                <w:color w:val="auto"/>
                <w:w w:val="88"/>
              </w:rPr>
              <w:t>____________________</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ind w:left="340" w:right="280" w:hanging="332"/>
        <w:spacing w:after="0" w:line="25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values based on the closing price of $48.77 of the Company’s Class C Common Stock on January 31, 2020 as reported on the NYSE that would have been received by the RSU holders had the RSUs been issued as of January 31, 2020.</w:t>
      </w:r>
    </w:p>
    <w:p>
      <w:pPr>
        <w:spacing w:after="0" w:line="19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52525"/>
        </w:rPr>
        <w:t>total fair value of restricted stock that vested during the fiscal years ended</w:t>
      </w:r>
      <w:r>
        <w:rPr>
          <w:rFonts w:ascii="Arial" w:cs="Arial" w:eastAsia="Arial" w:hAnsi="Arial"/>
          <w:sz w:val="17"/>
          <w:szCs w:val="17"/>
          <w:color w:val="auto"/>
        </w:rPr>
        <w:t xml:space="preserve"> January 31, 2020</w:t>
      </w:r>
      <w:r>
        <w:rPr>
          <w:rFonts w:ascii="Arial" w:cs="Arial" w:eastAsia="Arial" w:hAnsi="Arial"/>
          <w:sz w:val="17"/>
          <w:szCs w:val="17"/>
          <w:color w:val="252525"/>
        </w:rPr>
        <w:t>,</w:t>
      </w:r>
      <w:r>
        <w:rPr>
          <w:rFonts w:ascii="Arial" w:cs="Arial" w:eastAsia="Arial" w:hAnsi="Arial"/>
          <w:sz w:val="17"/>
          <w:szCs w:val="17"/>
          <w:color w:val="auto"/>
        </w:rPr>
        <w:t xml:space="preserve"> February 1, 2019</w:t>
      </w:r>
      <w:r>
        <w:rPr>
          <w:rFonts w:ascii="Arial" w:cs="Arial" w:eastAsia="Arial" w:hAnsi="Arial"/>
          <w:sz w:val="17"/>
          <w:szCs w:val="17"/>
          <w:color w:val="252525"/>
        </w:rPr>
        <w:t>, and</w:t>
      </w:r>
      <w:r>
        <w:rPr>
          <w:rFonts w:ascii="Arial" w:cs="Arial" w:eastAsia="Arial" w:hAnsi="Arial"/>
          <w:sz w:val="17"/>
          <w:szCs w:val="17"/>
          <w:color w:val="auto"/>
        </w:rPr>
        <w:t xml:space="preserve"> February 2, 2018 </w:t>
      </w:r>
      <w:r>
        <w:rPr>
          <w:rFonts w:ascii="Arial" w:cs="Arial" w:eastAsia="Arial" w:hAnsi="Arial"/>
          <w:sz w:val="17"/>
          <w:szCs w:val="17"/>
          <w:color w:val="252525"/>
        </w:rPr>
        <w:t>was $27 million,</w:t>
      </w:r>
      <w:r>
        <w:rPr>
          <w:rFonts w:ascii="Arial" w:cs="Arial" w:eastAsia="Arial" w:hAnsi="Arial"/>
          <w:sz w:val="17"/>
          <w:szCs w:val="17"/>
          <w:color w:val="auto"/>
        </w:rPr>
        <w:t xml:space="preserve"> </w:t>
      </w:r>
      <w:r>
        <w:rPr>
          <w:rFonts w:ascii="Arial" w:cs="Arial" w:eastAsia="Arial" w:hAnsi="Arial"/>
          <w:sz w:val="17"/>
          <w:szCs w:val="17"/>
          <w:color w:val="252525"/>
        </w:rPr>
        <w:t xml:space="preserve">$24 million, and $37 million, respectively, and the pre-tax intrinsic value was </w:t>
      </w:r>
      <w:r>
        <w:rPr>
          <w:rFonts w:ascii="Arial" w:cs="Arial" w:eastAsia="Arial" w:hAnsi="Arial"/>
          <w:sz w:val="17"/>
          <w:szCs w:val="17"/>
          <w:color w:val="000000"/>
        </w:rPr>
        <w:t>$47 million, $63 million, and $44 million, re</w:t>
      </w:r>
      <w:r>
        <w:rPr>
          <w:rFonts w:ascii="Arial" w:cs="Arial" w:eastAsia="Arial" w:hAnsi="Arial"/>
          <w:sz w:val="17"/>
          <w:szCs w:val="17"/>
          <w:color w:val="252525"/>
        </w:rPr>
        <w:t xml:space="preserve">spectively. </w:t>
      </w:r>
      <w:r>
        <w:rPr>
          <w:rFonts w:ascii="Arial" w:cs="Arial" w:eastAsia="Arial" w:hAnsi="Arial"/>
          <w:sz w:val="17"/>
          <w:szCs w:val="17"/>
          <w:color w:val="000000"/>
        </w:rPr>
        <w:t>As of January 31,</w:t>
      </w:r>
      <w:r>
        <w:rPr>
          <w:rFonts w:ascii="Arial" w:cs="Arial" w:eastAsia="Arial" w:hAnsi="Arial"/>
          <w:sz w:val="17"/>
          <w:szCs w:val="17"/>
          <w:color w:val="252525"/>
        </w:rPr>
        <w:t xml:space="preserve"> </w:t>
      </w:r>
      <w:r>
        <w:rPr>
          <w:rFonts w:ascii="Arial" w:cs="Arial" w:eastAsia="Arial" w:hAnsi="Arial"/>
          <w:sz w:val="17"/>
          <w:szCs w:val="17"/>
          <w:color w:val="000000"/>
        </w:rPr>
        <w:t>2020, 16 million shares of restricted stock were outstanding, with an aggregate intrinsic value of $774 million.</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January 31, 2020, there was $464 million of unrecognized stock-based compensation expense, net of estimated forfeitures, related to these awards expected to be recognized over a weighted-average period of approximately 2.2 years.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Dell Technologies Shares Withheld for Taxes </w:t>
      </w:r>
      <w:r>
        <w:rPr>
          <w:rFonts w:ascii="Arial" w:cs="Arial" w:eastAsia="Arial" w:hAnsi="Arial"/>
          <w:sz w:val="18"/>
          <w:szCs w:val="18"/>
          <w:color w:val="auto"/>
        </w:rPr>
        <w:t>— Under certain situations, shares are withheld from issuance to cover employee taxes for both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and the exercise of stock options. For the fiscal years ended January 31, 2020, February 1, 2019, and February 2, 2018, 0.1 million, 0.4 million, and 1.0 million shares, respectively, were withheld to cover $4 million, $28 million, and $35 million, respectively, of employees’ tax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 Inc. Stock-Based Compensation Plans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VMware, Inc. 2007 Equity and Incentive Plan </w:t>
      </w:r>
      <w:r>
        <w:rPr>
          <w:rFonts w:ascii="Arial" w:cs="Arial" w:eastAsia="Arial" w:hAnsi="Arial"/>
          <w:sz w:val="18"/>
          <w:szCs w:val="18"/>
          <w:color w:val="auto"/>
        </w:rPr>
        <w:t>— In June 2007, VMware, Inc. adopted its 2007 Equity and Incentive Plan (the “2007 Plan”). In June 2019,</w:t>
      </w:r>
      <w:r>
        <w:rPr>
          <w:rFonts w:ascii="Arial" w:cs="Arial" w:eastAsia="Arial" w:hAnsi="Arial"/>
          <w:sz w:val="18"/>
          <w:szCs w:val="18"/>
          <w:i w:val="1"/>
          <w:iCs w:val="1"/>
          <w:color w:val="auto"/>
        </w:rPr>
        <w:t xml:space="preserve"> </w:t>
      </w:r>
      <w:r>
        <w:rPr>
          <w:rFonts w:ascii="Arial" w:cs="Arial" w:eastAsia="Arial" w:hAnsi="Arial"/>
          <w:sz w:val="18"/>
          <w:szCs w:val="18"/>
          <w:color w:val="auto"/>
        </w:rPr>
        <w:t>VMware, Inc. amended its 2007 Plan to increase the number of shares of Class A common stock available for issuance by 13 million. As of January 31, 2020, the number of authorized shares of VMware, Inc. Class A common stock under the 2007 Plan was approximately 145 million. The number of shares underlying outstanding equity awards that VMware, Inc. assumes in the course of business acquisitions are also added to the 2007 Plan reserve on an as-converted basis. VMware, Inc. has assumed approximately 11 million shares, which accordingly have been added to the authorized shares under the 2007 Plan reserve.</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Awards under the 2007 Plan may be in the form of stock-based awards such as RSUs or stock options. VMware, Inc.’s Compensation and Corporate Governance Committee determines the vesting schedule for all equity awards. Generally, restricted stock grants made under the 2007 Plan have a three-year to four-year period over which they vest and vest 25% the first year and semiannually thereafter. The value of RSU grants is based on VMware, Inc.’s stock price on the date of grant. The shares underlying the RSU awards are not issued until the RSUs vest. Upon vesting, each RSU converts into one share of VMware, Inc. Class A common stock. VMware, Inc.’s restricted stock also includes PSU awards which have been granted to certain VMware, Inc. executives and employees. The PSU awards include performance conditions and, in certain cases, a time-based or market-based vesting component. Upon vesting, each PSU award will convert into VMware, Inc.’s Class A common stock at various ratios ranging from 0.1 to 2.0 shares per PSU, depending upon the degree of achievement of the performance or market based target designated by each award. If minimum performance thresholds are not achieved, then no shares will be issued.</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per share exercise price for a stock option awarded under the 2007 Plan will not be less than 100% of the per share fair market value of VMware, Inc. Class A common stock on the date of grant. Most options granted under the 2007 Plan vest 25% after the first year and monthly thereafter over the following three years and expire between six and seven years from the date of grant. VMware, Inc. utilizes authorized and unissued shares to satisfy all shares issued under the 2007 Plan. As of January 31, 2020, there was an aggregate of approximately 24 million shares of common stock available for issuance pursuant to future grants under the 2007 Plan.</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Pivotal Equity Plan </w:t>
      </w:r>
      <w:r>
        <w:rPr>
          <w:rFonts w:ascii="Arial" w:cs="Arial" w:eastAsia="Arial" w:hAnsi="Arial"/>
          <w:sz w:val="17"/>
          <w:szCs w:val="17"/>
          <w:color w:val="auto"/>
        </w:rPr>
        <w:t>— Upon the completion of the acquisition by VMware, Inc. as described in Note 1 of the Notes to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Pivotal’s equity plan was terminated and no further awards can be granted under the plan. Pivotal’s outstanding unvested RSUs and options on the date of the acquisition were converted to VMware, Inc. RSUs and options and valued at their historical carrying amounts. The activity under Pivotal’s equity plan was not material during the fiscal years ended January 31, 2020, February 1, 2019, and February 2, 2018.</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VMware, Inc. Employee Stock Purchase Plan </w:t>
      </w:r>
      <w:r>
        <w:rPr>
          <w:rFonts w:ascii="Arial" w:cs="Arial" w:eastAsia="Arial" w:hAnsi="Arial"/>
          <w:sz w:val="17"/>
          <w:szCs w:val="17"/>
          <w:color w:val="auto"/>
        </w:rPr>
        <w:t>— In June 2007, VMware, Inc. adopted its 2007 Employee Stock Purchase Plan (the “ESPP”),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qualified under Section 423 of the Internal Revenue Code. In June 2019, VMware, Inc. amended its ESPP to increase the number of shares of Class A common stock available for issuance by 9 million. As of January 31, 2020, the number of authorized shares under the ESPP was approximately 32 million. Under the ESPP, eligible VMware, Inc. employees are granted options to purchase shares at the lower of 85% of the fair market value of the stock at the time of grant or 85% of the fair market value at the time of exercise.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option period is generally twelve months and includes two embedded six-month option periods. Options are exercised at the end of each embedded option period. If the fair market value of the stock is lower on the first day of the second embedded option period than it was at the time of grant, then the twelve-month option period expires and each enrolled participant is granted a new twelve-month option. As of January 31, 2020, approximately 14 million shares of VMware, Inc. Class A common stock were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25" w:right="3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5640" w:type="dxa"/>
            <w:vAlign w:val="bottom"/>
            <w:gridSpan w:val="2"/>
          </w:tcPr>
          <w:p>
            <w:pPr>
              <w:spacing w:after="0"/>
              <w:rPr>
                <w:sz w:val="20"/>
                <w:szCs w:val="20"/>
                <w:color w:val="auto"/>
              </w:rPr>
            </w:pPr>
            <w:r>
              <w:rPr>
                <w:rFonts w:ascii="Arial" w:cs="Arial" w:eastAsia="Arial" w:hAnsi="Arial"/>
                <w:sz w:val="18"/>
                <w:szCs w:val="18"/>
                <w:color w:val="auto"/>
              </w:rPr>
              <w:t>The following table presents ESPP activity for the periods indicated: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c>
          <w:tcPr>
            <w:tcW w:w="260" w:type="dxa"/>
            <w:vAlign w:val="bottom"/>
          </w:tcPr>
          <w:p>
            <w:pPr>
              <w:spacing w:after="0"/>
              <w:rPr>
                <w:sz w:val="20"/>
                <w:szCs w:val="20"/>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1, 2019</w:t>
            </w:r>
          </w:p>
        </w:tc>
        <w:tc>
          <w:tcPr>
            <w:tcW w:w="26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5"/>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5"/>
          </w:tcPr>
          <w:p>
            <w:pPr>
              <w:jc w:val="center"/>
              <w:ind w:right="70"/>
              <w:spacing w:after="0"/>
              <w:rPr>
                <w:sz w:val="20"/>
                <w:szCs w:val="20"/>
                <w:color w:val="auto"/>
              </w:rPr>
            </w:pPr>
            <w:r>
              <w:rPr>
                <w:rFonts w:ascii="Arial" w:cs="Arial" w:eastAsia="Arial" w:hAnsi="Arial"/>
                <w:sz w:val="18"/>
                <w:szCs w:val="18"/>
                <w:color w:val="auto"/>
                <w:w w:val="91"/>
              </w:rPr>
              <w:t>(in millions, except per share amounts)</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proceeds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Class A common shares purchased</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1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72.40</w:t>
            </w:r>
          </w:p>
        </w:tc>
      </w:tr>
      <w:tr>
        <w:trPr>
          <w:trHeight w:val="27"/>
        </w:trPr>
        <w:tc>
          <w:tcPr>
            <w:tcW w:w="128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January 31, 2020, $95 million of ESPP withholdings were recorded as a liability in accrued and other on the Consolidated Statements of Financial Position related to a purchase under the ESPP that occurred on February 29, 2020, subsequent to the fiscal year ended January 31, 2020. Total unrecognized stock-based compensation expense as of January 31, 2020 for the ESPP was $39 million.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VMware, Inc. 2007 Equity and Incentive Plan Stock Options </w:t>
      </w:r>
      <w:r>
        <w:rPr>
          <w:rFonts w:ascii="Arial" w:cs="Arial" w:eastAsia="Arial" w:hAnsi="Arial"/>
          <w:sz w:val="18"/>
          <w:szCs w:val="18"/>
          <w:color w:val="auto"/>
        </w:rPr>
        <w:t>— The following table presents stock option activity for VMware, Inc. employees in VMware,</w:t>
      </w:r>
      <w:r>
        <w:rPr>
          <w:rFonts w:ascii="Arial" w:cs="Arial" w:eastAsia="Arial" w:hAnsi="Arial"/>
          <w:sz w:val="18"/>
          <w:szCs w:val="18"/>
          <w:i w:val="1"/>
          <w:iCs w:val="1"/>
          <w:color w:val="auto"/>
        </w:rPr>
        <w:t xml:space="preserve"> </w:t>
      </w:r>
      <w:r>
        <w:rPr>
          <w:rFonts w:ascii="Arial" w:cs="Arial" w:eastAsia="Arial" w:hAnsi="Arial"/>
          <w:sz w:val="18"/>
          <w:szCs w:val="18"/>
          <w:color w:val="auto"/>
        </w:rPr>
        <w:t>Inc. stock options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 (a)</w:t>
            </w:r>
          </w:p>
        </w:tc>
      </w:tr>
      <w:tr>
        <w:trPr>
          <w:trHeight w:val="27"/>
        </w:trPr>
        <w:tc>
          <w:tcPr>
            <w:tcW w:w="4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(per share)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Options outstanding as of February 3, 2017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Options outstanding as of February 2, 2018</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Adjustment for special cash dividend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Options outstanding as of February 1, 2019 (b)</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Canceled/expired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Options outstanding as of January 31, 2020</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Exercisable as of January 31, 2020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Vested and expected to vest (net of estimated forfeitures)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January 31, 2020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____________________</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left="340" w:right="140" w:hanging="332"/>
        <w:spacing w:after="0" w:line="280"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aggregate intrinsic value represents the total pre-tax intrinsic values based on VMware, Inc.’s closing stock price of $148.06 on January 31, 2020 as reported on the NYSE that would have been received by the option holders had all in-the-money options been exercised as of that date.</w:t>
      </w:r>
    </w:p>
    <w:p>
      <w:pPr>
        <w:spacing w:after="0" w:line="1" w:lineRule="exact"/>
        <w:rPr>
          <w:rFonts w:ascii="Arial" w:cs="Arial" w:eastAsia="Arial" w:hAnsi="Arial"/>
          <w:sz w:val="16"/>
          <w:szCs w:val="16"/>
          <w:color w:val="auto"/>
        </w:rPr>
      </w:pPr>
    </w:p>
    <w:p>
      <w:pPr>
        <w:ind w:left="340" w:right="460" w:hanging="332"/>
        <w:spacing w:after="0" w:line="260"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options and weighted-average exercise price of options outstanding as of February 1, 2019 reflect the non-cash adjustments to the options as a result of the special cash dividend.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08"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above table includes stock options granted in conjunction with unvested stock options assumed in business combinations, including 0.6 million options issued for unvested options assumed as part of the Pivotal acquisition. As a result, the weighted-average exercise price per share may vary from the VMware, Inc. stock price at time of grant. The total fair value of VMware, Inc. stock options that vested during the fiscal years ended January 31, 2020, February 1, 2019, and February 2, 2018 was $64 million, $35 million, and $32 million, respectively. The pre-tax intrinsic value of the options exercised during the fiscal years ended January 31, 2020, February 1, 2019, and February 2, 2018 was $103 million, $56 million, and $62 million, respectively.</w:t>
      </w:r>
    </w:p>
    <w:p>
      <w:pPr>
        <w:spacing w:after="0" w:line="16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tax benefit realized from the exercise of stock options was $25 million, $13 million, and $21 million for the fiscal years ended January 31, 2020, February 1, 2019, and February 2, 2018, respectively. As of January 31, 2020, there was $129 million of total unrecognized stock-based compensation expense, net of estimated forfeitures, related to unvested stock options expected to be recognized over a weighted-average period of approximately one year.</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Fair Value of VMware, Inc. Options </w:t>
      </w:r>
      <w:r>
        <w:rPr>
          <w:rFonts w:ascii="Arial" w:cs="Arial" w:eastAsia="Arial" w:hAnsi="Arial"/>
          <w:sz w:val="18"/>
          <w:szCs w:val="18"/>
          <w:color w:val="auto"/>
        </w:rPr>
        <w:t>— The fair value of each option to acquire VMware, Inc. Class A common stock granted is estimated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using the Black-Scholes option-pricing model. The following tables present the assumptions utilized in this model, as well as the weighted-average assumptions for the periods indicated:</w:t>
      </w:r>
    </w:p>
    <w:p>
      <w:pPr>
        <w:spacing w:after="0" w:line="126"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3686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5600" w:type="dxa"/>
            <w:vAlign w:val="bottom"/>
            <w:gridSpan w:val="3"/>
          </w:tcPr>
          <w:p>
            <w:pPr>
              <w:spacing w:after="0" w:line="196" w:lineRule="exact"/>
              <w:rPr>
                <w:sz w:val="20"/>
                <w:szCs w:val="20"/>
                <w:color w:val="auto"/>
              </w:rPr>
            </w:pPr>
            <w:r>
              <w:rPr>
                <w:rFonts w:ascii="Arial" w:cs="Arial" w:eastAsia="Arial" w:hAnsi="Arial"/>
                <w:sz w:val="18"/>
                <w:szCs w:val="18"/>
                <w:i w:val="1"/>
                <w:iCs w:val="1"/>
                <w:color w:val="auto"/>
              </w:rPr>
              <w:t>VMware, Inc. 2007 Equity and Incentive Plan</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Weighted-average grant date fair value of stock options granted per option $</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83.62</w:t>
            </w:r>
          </w:p>
        </w:tc>
      </w:tr>
      <w:tr>
        <w:trPr>
          <w:trHeight w:val="243"/>
        </w:trPr>
        <w:tc>
          <w:tcPr>
            <w:tcW w:w="4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Risk-free rate (U.S. Government Treasury Note)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3686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5600" w:type="dxa"/>
            <w:vAlign w:val="bottom"/>
            <w:gridSpan w:val="3"/>
          </w:tcPr>
          <w:p>
            <w:pPr>
              <w:spacing w:after="0" w:line="196" w:lineRule="exact"/>
              <w:rPr>
                <w:sz w:val="20"/>
                <w:szCs w:val="20"/>
                <w:color w:val="auto"/>
              </w:rPr>
            </w:pPr>
            <w:r>
              <w:rPr>
                <w:rFonts w:ascii="Arial" w:cs="Arial" w:eastAsia="Arial" w:hAnsi="Arial"/>
                <w:sz w:val="18"/>
                <w:szCs w:val="18"/>
                <w:i w:val="1"/>
                <w:iCs w:val="1"/>
                <w:color w:val="auto"/>
              </w:rPr>
              <w:t>VMware, Inc. Employee Stock Purchase Plan</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Weighted-average grant date fair value of stock options granted per option $</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21.93</w:t>
            </w:r>
          </w:p>
        </w:tc>
      </w:tr>
      <w:tr>
        <w:trPr>
          <w:trHeight w:val="243"/>
        </w:trPr>
        <w:tc>
          <w:tcPr>
            <w:tcW w:w="4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Risk-free rate (U.S. Government Treasury Note)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weighted-average grant date fair value of VMware, Inc. stock options can fluctuate from period to period primarily due to higher valued options assumed through business combinations with exercise prices lower than the fair market value of VMware, Inc.’s stock on the date of grant.</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equity awards granted, volatility was based on an analysis of historical stock prices and implied volatilities of VMware, Inc.’s Class A common stock. The expected term was based on historical exercise patterns and post-vesting termination behavior, the term of the option period for grants made under the ESPP, or the weighted-average remaining term for options assumed in acquisitions. VMware, Inc.’s expected dividend yield input was zero as it has not historically paid cash dividends on its common stock, other than the special cash dividend paid in connection with the Class V transaction described in Note 14 of the Notes to the Consolidated Financial Statements and below, and does not expect to pay cash dividends in the future. The risk-free interest rate was based on a U.S. Treasury instrument whose term is consistent with the expected term of the stock options.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5" w:right="3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July 1, 2018, in connection with the Class V transaction, VMware, Inc.’s board of directors declared a $11 billion special cash dividend, paid pro-rata to VMware, Inc. stockholders on December 28, 2018 in the amount of $26.81 per outstanding share of VMware, Inc. common stock.</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VMware, Inc. stock awards that were outstanding at the time of the special cash dividend were adjusted pursuant to anti-dilution provisions in VMware, Inc. equity incentive plan documents that provide for equitable adjustments to be determined by VMware’s Compensation and Corporate Governance Committee in the event of an extraordinary cash dividend. The adjustments to awards included increasing the number of outstanding restricted stock units and stock options, as well as reducing the exercise prices of outstanding stock options. The adjustments did not result in incremental stock-based compensation expense as the anti-dilutive adjustments were required by VMware, Inc.’s equity incentive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VMware, Inc. Restricted Stock </w:t>
      </w:r>
      <w:r>
        <w:rPr>
          <w:rFonts w:ascii="Arial" w:cs="Arial" w:eastAsia="Arial" w:hAnsi="Arial"/>
          <w:sz w:val="18"/>
          <w:szCs w:val="18"/>
          <w:color w:val="auto"/>
        </w:rPr>
        <w:t>— The following table presents VMware, Inc.’s restricted stock activity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Weighted-Average Grant</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86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Number of Units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8"/>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94"/>
              </w:rPr>
              <w:t>(per unit)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3, 2017</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2, 2018</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 for special cash dividend (a)</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Outstanding, February 1, 2019 (a)</w:t>
            </w:r>
          </w:p>
        </w:tc>
        <w:tc>
          <w:tcPr>
            <w:tcW w:w="1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Outstanding, January 31, 2020 (b)</w:t>
            </w:r>
          </w:p>
        </w:tc>
        <w:tc>
          <w:tcPr>
            <w:tcW w:w="18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60" w:hanging="332"/>
        <w:spacing w:after="0" w:line="250" w:lineRule="auto"/>
        <w:tabs>
          <w:tab w:leader="none" w:pos="340" w:val="left"/>
        </w:tabs>
        <w:numPr>
          <w:ilvl w:val="0"/>
          <w:numId w:val="52"/>
        </w:numPr>
        <w:rPr>
          <w:rFonts w:ascii="Arial" w:cs="Arial" w:eastAsia="Arial" w:hAnsi="Arial"/>
          <w:sz w:val="18"/>
          <w:szCs w:val="18"/>
          <w:color w:val="252525"/>
        </w:rPr>
      </w:pPr>
      <w:r>
        <w:rPr>
          <w:rFonts w:ascii="Arial" w:cs="Arial" w:eastAsia="Arial" w:hAnsi="Arial"/>
          <w:sz w:val="18"/>
          <w:szCs w:val="18"/>
          <w:color w:val="252525"/>
        </w:rPr>
        <w:t xml:space="preserve">The weighted-average grant date fair value of outstanding RSU awards as of </w:t>
      </w:r>
      <w:r>
        <w:rPr>
          <w:rFonts w:ascii="Arial" w:cs="Arial" w:eastAsia="Arial" w:hAnsi="Arial"/>
          <w:sz w:val="18"/>
          <w:szCs w:val="18"/>
          <w:color w:val="000000"/>
        </w:rPr>
        <w:t>February 1, 2019</w:t>
      </w:r>
      <w:r>
        <w:rPr>
          <w:rFonts w:ascii="Arial" w:cs="Arial" w:eastAsia="Arial" w:hAnsi="Arial"/>
          <w:sz w:val="18"/>
          <w:szCs w:val="18"/>
          <w:color w:val="252525"/>
        </w:rPr>
        <w:t xml:space="preserve"> reflects the non-cash adjustments to the awards as a result of the special cash dividend.</w:t>
      </w:r>
    </w:p>
    <w:p>
      <w:pPr>
        <w:ind w:left="340" w:right="240" w:hanging="332"/>
        <w:spacing w:after="0" w:line="263" w:lineRule="auto"/>
        <w:tabs>
          <w:tab w:leader="none" w:pos="340" w:val="left"/>
        </w:tabs>
        <w:numPr>
          <w:ilvl w:val="0"/>
          <w:numId w:val="52"/>
        </w:numPr>
        <w:rPr>
          <w:rFonts w:ascii="Arial" w:cs="Arial" w:eastAsia="Arial" w:hAnsi="Arial"/>
          <w:sz w:val="18"/>
          <w:szCs w:val="18"/>
          <w:color w:val="252525"/>
        </w:rPr>
      </w:pPr>
      <w:r>
        <w:rPr>
          <w:rFonts w:ascii="Arial" w:cs="Arial" w:eastAsia="Arial" w:hAnsi="Arial"/>
          <w:sz w:val="18"/>
          <w:szCs w:val="18"/>
          <w:color w:val="252525"/>
        </w:rPr>
        <w:t>As of January 31, 2020, the 17 million units outstanding included 16 million RSUs and 1 million PSUs. The above table includes RSUs issued for outstanding unvested RSUs in connection with business combinations, including 2.2 million RSUs issued for unvested RSUs assumed as part of the Pivotal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restricted stock that is expected to vest as of the date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Weighted-Average</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Contractual</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55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 Units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5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(in millions)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5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jc w:val="right"/>
              <w:ind w:right="2890"/>
              <w:spacing w:after="0"/>
              <w:rPr>
                <w:sz w:val="20"/>
                <w:szCs w:val="20"/>
                <w:color w:val="auto"/>
              </w:rPr>
            </w:pPr>
            <w:r>
              <w:rPr>
                <w:rFonts w:ascii="Arial" w:cs="Arial" w:eastAsia="Arial" w:hAnsi="Arial"/>
                <w:sz w:val="18"/>
                <w:szCs w:val="18"/>
                <w:color w:val="auto"/>
                <w:w w:val="89"/>
              </w:rPr>
              <w:t>Expected to vest, January 31, 2020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r>
      <w:tr>
        <w:trPr>
          <w:trHeight w:val="218"/>
        </w:trPr>
        <w:tc>
          <w:tcPr>
            <w:tcW w:w="5520" w:type="dxa"/>
            <w:vAlign w:val="bottom"/>
          </w:tcPr>
          <w:p>
            <w:pPr>
              <w:jc w:val="right"/>
              <w:ind w:right="3630"/>
              <w:spacing w:after="0"/>
              <w:rPr>
                <w:sz w:val="20"/>
                <w:szCs w:val="20"/>
                <w:color w:val="auto"/>
              </w:rPr>
            </w:pPr>
            <w:r>
              <w:rPr>
                <w:rFonts w:ascii="Arial" w:cs="Arial" w:eastAsia="Arial" w:hAnsi="Arial"/>
                <w:sz w:val="18"/>
                <w:szCs w:val="18"/>
                <w:color w:val="auto"/>
                <w:w w:val="88"/>
              </w:rPr>
              <w:t>____________________</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340" w:right="140" w:hanging="332"/>
        <w:spacing w:after="0" w:line="28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aggregate intrinsic value represents the total pre-tax intrinsic values based on VMware, Inc.’s closing stock price of $148.06 on January 31, 2020 as reported on the NYSE that would have been received by the RSU holders had the RSUs been issued as of January 31, 2020.</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25"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 xml:space="preserve">The total fair value of VMware, Inc. restricted stock awards that vested during the </w:t>
      </w:r>
      <w:r>
        <w:rPr>
          <w:rFonts w:ascii="Arial" w:cs="Arial" w:eastAsia="Arial" w:hAnsi="Arial"/>
          <w:sz w:val="17"/>
          <w:szCs w:val="17"/>
          <w:color w:val="000000"/>
        </w:rPr>
        <w:t>fiscal years ended January 31, 2020, February 1, 2019 and February 2,</w:t>
      </w:r>
      <w:r>
        <w:rPr>
          <w:rFonts w:ascii="Arial" w:cs="Arial" w:eastAsia="Arial" w:hAnsi="Arial"/>
          <w:sz w:val="17"/>
          <w:szCs w:val="17"/>
          <w:color w:val="252525"/>
        </w:rPr>
        <w:t xml:space="preserve"> </w:t>
      </w:r>
      <w:r>
        <w:rPr>
          <w:rFonts w:ascii="Arial" w:cs="Arial" w:eastAsia="Arial" w:hAnsi="Arial"/>
          <w:sz w:val="17"/>
          <w:szCs w:val="17"/>
          <w:color w:val="000000"/>
        </w:rPr>
        <w:t xml:space="preserve">2018 </w:t>
      </w:r>
      <w:r>
        <w:rPr>
          <w:rFonts w:ascii="Arial" w:cs="Arial" w:eastAsia="Arial" w:hAnsi="Arial"/>
          <w:sz w:val="17"/>
          <w:szCs w:val="17"/>
          <w:color w:val="252525"/>
        </w:rPr>
        <w:t>was $657 million, $556 million, and $616 million, respectively, and the pre-tax intrinsic value was $1,414 million, $1,061 million, and $946 million,</w:t>
      </w:r>
      <w:r>
        <w:rPr>
          <w:rFonts w:ascii="Arial" w:cs="Arial" w:eastAsia="Arial" w:hAnsi="Arial"/>
          <w:sz w:val="17"/>
          <w:szCs w:val="17"/>
          <w:color w:val="000000"/>
        </w:rPr>
        <w:t xml:space="preserve"> </w:t>
      </w:r>
      <w:r>
        <w:rPr>
          <w:rFonts w:ascii="Arial" w:cs="Arial" w:eastAsia="Arial" w:hAnsi="Arial"/>
          <w:sz w:val="17"/>
          <w:szCs w:val="17"/>
          <w:color w:val="252525"/>
        </w:rPr>
        <w:t xml:space="preserve">respectively. As of </w:t>
      </w:r>
      <w:r>
        <w:rPr>
          <w:rFonts w:ascii="Arial" w:cs="Arial" w:eastAsia="Arial" w:hAnsi="Arial"/>
          <w:sz w:val="17"/>
          <w:szCs w:val="17"/>
          <w:color w:val="000000"/>
        </w:rPr>
        <w:t>January 31, 2020</w:t>
      </w:r>
      <w:r>
        <w:rPr>
          <w:rFonts w:ascii="Arial" w:cs="Arial" w:eastAsia="Arial" w:hAnsi="Arial"/>
          <w:sz w:val="17"/>
          <w:szCs w:val="17"/>
          <w:color w:val="252525"/>
        </w:rPr>
        <w:t xml:space="preserve">, 17 million restricted shares of VMware, Inc.’s Class A common stock were outstanding, with an aggregate intrinsic value of $2,587 million based on VMware, Inc.’s closing stock price on </w:t>
      </w:r>
      <w:r>
        <w:rPr>
          <w:rFonts w:ascii="Arial" w:cs="Arial" w:eastAsia="Arial" w:hAnsi="Arial"/>
          <w:sz w:val="17"/>
          <w:szCs w:val="17"/>
          <w:color w:val="000000"/>
        </w:rPr>
        <w:t>January 31, 2020 as reported on the NYSE</w:t>
      </w:r>
      <w:r>
        <w:rPr>
          <w:rFonts w:ascii="Arial" w:cs="Arial" w:eastAsia="Arial" w:hAnsi="Arial"/>
          <w:sz w:val="17"/>
          <w:szCs w:val="17"/>
          <w:color w:val="252525"/>
        </w:rPr>
        <w: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January 31, 2020</w:t>
      </w:r>
      <w:r>
        <w:rPr>
          <w:rFonts w:ascii="Arial" w:cs="Arial" w:eastAsia="Arial" w:hAnsi="Arial"/>
          <w:sz w:val="18"/>
          <w:szCs w:val="18"/>
          <w:color w:val="252525"/>
        </w:rPr>
        <w:t xml:space="preserve">, there was $1,589 million of unrecognized stock-based compensation expense, net of estimated forfeitures, related to these awards expected to be recognized over a weighted-average period of approximately </w:t>
      </w:r>
      <w:r>
        <w:rPr>
          <w:rFonts w:ascii="Arial" w:cs="Arial" w:eastAsia="Arial" w:hAnsi="Arial"/>
          <w:sz w:val="18"/>
          <w:szCs w:val="18"/>
          <w:color w:val="000000"/>
        </w:rPr>
        <w:t>1.6</w:t>
      </w:r>
      <w:r>
        <w:rPr>
          <w:rFonts w:ascii="Arial" w:cs="Arial" w:eastAsia="Arial" w:hAnsi="Arial"/>
          <w:sz w:val="18"/>
          <w:szCs w:val="18"/>
          <w:color w:val="252525"/>
        </w:rPr>
        <w:t xml:space="preserve"> years.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VMware, Inc. Shares Withheld for Taxes </w:t>
      </w:r>
      <w:r>
        <w:rPr>
          <w:rFonts w:ascii="Arial" w:cs="Arial" w:eastAsia="Arial" w:hAnsi="Arial"/>
          <w:sz w:val="17"/>
          <w:szCs w:val="17"/>
          <w:color w:val="auto"/>
        </w:rPr>
        <w:t>— For the fiscal years ended January 31, 2020, February 1, 2019, and February 2, 2018, VMware, Inc.</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repurchased and retired or withheld 3 million shares of VMware, Inc. Class A common stock, each year; for $521 million, $373 million, and $348 million, respectively, to cover tax withholding obligations. These amounts may differ from the amounts of cash remitted for tax withholding obligations on the Consolidated Statements of Cash Flows due to the timing of payments. Pursuant to the respective award agreements, these shares were withheld in conjunction with the net share settlement upon the vesting of restricted stock and restricted stock units (including PSUs) during the period. The value of the withheld shares, including restricted stock units, was classified as a reduction to additional paid-in capital.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the plans disclosed above, the Company has a consolidated subsidiary, Secureworks, that maintains its own equity plan and issues equity grants settling in its own stock. The stock option and restricted stock unit activity under this plan was not material during the fiscal years ended January 31, 2020, February 1, 2019, and February 2,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125" w:right="3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REDEEMABLE SHARES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Awards under the Company’s stock incentive plans include certain rights that allow the holder to exercise a put feature for the underlying Class A or Class C Common Stock after a six-month holding period following the issuance of such common stock. The put feature requires the Company to purchase the stock at its fair market value. Accordingly, these awards and such common stock are subject to reclassification from equity to temporary equity, and the Company determines the award amounts to be classified as temporary equity as follows:</w:t>
      </w:r>
    </w:p>
    <w:p>
      <w:pPr>
        <w:spacing w:after="0" w:line="63" w:lineRule="exact"/>
        <w:rPr>
          <w:sz w:val="20"/>
          <w:szCs w:val="20"/>
          <w:color w:val="auto"/>
        </w:rPr>
      </w:pPr>
    </w:p>
    <w:p>
      <w:pPr>
        <w:ind w:left="660" w:right="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spacing w:after="0" w:line="183"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stock appreciation rights, RSUs, or RSAs, any of which stock award types are subject to service requirements, the fair value of the share is multiplied by the portion of the share for which services have been rendered.</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share-based arrangements that are subject to the occurrence of a contingent event, those amounts are reclassified to temporary equity based on a probability assessment performed by the Company on a periodic basis. Contingent events include the achievement of performance-based metrics.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Class V transaction described in Note 14 of the Notes to the Consolidated Financial Statements, the put feature provisions were amended to provide that the put feature will terminate upon the earlier of June 27, 2021 or the consummation of any underwritten public offering of shares of Class C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redeemable shares classified as temporary equity and summarizes the award type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c>
          <w:tcPr>
            <w:tcW w:w="26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3"/>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 classified as temporary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324"/>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unrestricted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Outstanding stock options</w:t>
            </w: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the value of redeemable shares during the fiscal year ended January 31, 2020 was primarily attributable to a decline in Class C Common Stock fair value and a reduction in the number of shares eligible for put rights.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25"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RETIREMENT PLAN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sponsors retirement plans for certain employees in the United States and internationally, and some of these plans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periodic benefit costs related to defined benefit retirement plans were immaterial for the fiscal years ended January 31, 2020, February 1, 2019, and February 2, 2018. The Company did not make any significant contributions to defined benefit retirement plans for the fiscal years ended January 31, 2020, February 1, 2019, and February 2, 2018, and does not expect to make any significant contributions in Fiscal 2021.</w:t>
      </w:r>
    </w:p>
    <w:p>
      <w:pPr>
        <w:spacing w:after="0" w:line="16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u w:val="single" w:color="auto"/>
          <w:color w:val="auto"/>
        </w:rPr>
        <w:t>U.S. Pension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sponsors a noncontributory defined benefit retirement plan in the United States (the “U.S. pension plan”)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in connection with the EMC merger transaction. As of December 1999, the U.S. pension plan was frozen, so employees no longer accrue retirement benefits for future services. The measurement date for the U.S. pension plan is the end of the Company’s fiscal year.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w w:val="96"/>
              </w:rPr>
              <w:t>The following table presents attributes of the U.S. pension plan as of the dates indicated:</w:t>
            </w: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2020</w:t>
            </w:r>
          </w:p>
        </w:tc>
        <w:tc>
          <w:tcPr>
            <w:tcW w:w="420" w:type="dxa"/>
            <w:vAlign w:val="bottom"/>
          </w:tcPr>
          <w:p>
            <w:pPr>
              <w:spacing w:after="0"/>
              <w:rPr>
                <w:sz w:val="24"/>
                <w:szCs w:val="24"/>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February 1, 2019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at fair value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Underfunded position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0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underfunded position of the U.S. pension plan is recognized in other non-current liabilities in the Consolidated Statements of Financial Position.</w:t>
      </w:r>
    </w:p>
    <w:p>
      <w:pPr>
        <w:spacing w:after="0" w:line="2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January 31, 2020, future benefit payments for the U.S. pension plan are expected to be paid as follows: $30 million in Fiscal 2021; $31 million in Fiscal 2022; $33 million in Fiscal 2023; $34 million in Fiscal 2024; $34 million in Fiscal 2025; and $175 million thereafter.</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u w:val="single" w:color="auto"/>
          <w:color w:val="auto"/>
        </w:rPr>
        <w:t>International Pension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also sponsors retirement plans outside of the United States which qualify as defined benefit plans.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2020, the aggregate fair value of plan assets for the international pension plans was $0.2 billion, the aggregate benefit obligations were $0.4 billion, and the aggregate net underfunded position was $0.2 billion. The underfunded position of the international pension plans is recognized in other non-current liabilities in the Consolidated Statements of Financial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25"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Dell 401(k) Plan </w:t>
      </w:r>
      <w:r>
        <w:rPr>
          <w:rFonts w:ascii="Arial" w:cs="Arial" w:eastAsia="Arial" w:hAnsi="Arial"/>
          <w:sz w:val="18"/>
          <w:szCs w:val="18"/>
          <w:color w:val="auto"/>
        </w:rPr>
        <w:t>— The Company has a defined contribution retirement plan (the “Dell 401(k) Plan”) that complies with Section 401(k)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Only U.S. employees are eligible to participate in the Dell 401(k) plan. As of January 31, 2020, the Company matches 100% of each participant’s voluntary contributions, subject to a maximum contribution of 6% of the participant’s eligible compensation, up to an annual limit of $7,500, and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January 31, 2020, February 1, 2019, and February 2, 2018 were $267 million, $254 million, and $129 million, respectively. Contributions increased during the fiscal year ended February 1, 2019 due to the additional participants that were transferred from the EMC 401(k) Plan, as discussed below.</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EMC 401(k) Plan </w:t>
      </w:r>
      <w:r>
        <w:rPr>
          <w:rFonts w:ascii="Arial" w:cs="Arial" w:eastAsia="Arial" w:hAnsi="Arial"/>
          <w:sz w:val="17"/>
          <w:szCs w:val="17"/>
          <w:color w:val="auto"/>
        </w:rPr>
        <w:t>— The EMC defined contribution retirement plan (the “EMC 401(k) Plan”) was assumed in connection with the EMC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on September 7, 2016. Effective January 1, 2018, the EMC 401(k) Plan was terminated and participant account balances were transferred to the Dell 401(k) Plan and the newly-created Pivotal defined contribution plan. Prior to the termination of the EMC 401(k) Plan on January 1, 2018, the Company’s contributions during the fiscal year ended February 2, 2018 to the EMC 401(k) Plan were $94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VMware, Inc. and Pivotal have defined contribution programs for certain employees that comply with Section 401(k) of the Internal Revenue Code.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Pivotal’s defined contribution program was acquired by VMware, Inc. in connection with VMware Inc.’s acquisition of Pivotal on December 30,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80"/>
          </w:cols>
          <w:pgMar w:left="320" w:top="125" w:right="3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Infrastructure Solutions Group (“ISG”); Client Solutions Group (“CSG”); and VMware.</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December 30, 2019, VMware, Inc. completed its acquisition of Pivotal. Due to the Company’s ownership of a controlling interest in Pivotal, the Company and VMware, Inc. accounted for the Pivotal acquisition as a transaction by entities under common control, and consequently the transaction had no net effect to the Company’s consolidated financial statements. Pivotal now operates as a wholly-owned subsidiary of VMware, Inc. and Dell Technologies reports Pivotal results within the VMware reportable segment. Previously, Pivotal results were reported within Other businesses.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ISG includes servers, networking, and storage, as well as services and third-party software and peripherals that are closely tied to the sale of ISG hardware. CSG includes sales to commercial and consumer customers of desktops, thin client products, and notebooks, as well as services and third-party software and peripherals that are closely tied to the sale of CSG hardware. VMware works with customers in the areas of hybrid and multi-cloud, modern applications, networking, security, and digital workspaces to enable VMware customers to digitally transform their operations as they ready their applications, infrastructure, and employees for constantly evolving business needs.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25" w:right="3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presents a reconciliation of net revenue by the Company’s reportable segments to the Company’s consolidated net revenue as well as a reconciliation of consolidated segment operating income to the Company’s consolidated operating income (loss)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33,969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78,620</w:t>
            </w:r>
          </w:p>
        </w:tc>
        <w:tc>
          <w:tcPr>
            <w:tcW w:w="0" w:type="dxa"/>
            <w:vAlign w:val="bottom"/>
          </w:tcPr>
          <w:p>
            <w:pPr>
              <w:spacing w:after="0"/>
              <w:rPr>
                <w:sz w:val="1"/>
                <w:szCs w:val="1"/>
                <w:color w:val="auto"/>
              </w:rPr>
            </w:pPr>
          </w:p>
        </w:tc>
      </w:tr>
      <w:tr>
        <w:trPr>
          <w:trHeight w:val="237"/>
        </w:trPr>
        <w:tc>
          <w:tcPr>
            <w:tcW w:w="554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79,040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37"/>
        </w:trPr>
        <w:tc>
          <w:tcPr>
            <w:tcW w:w="554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 (e)</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Other corporate expenses (f)</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00" w:hanging="332"/>
        <w:spacing w:after="0" w:line="250"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Secureworks, RSA Security, Virtustream, and Boomi constitute “Other businesses” and do not meet the requirements for a reportable segment, either individually or collectively. The results of Other businesses are not material to the Company’s overall results.</w:t>
      </w: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Unallocated transactions includes other corporate items that are not allocated to Dell Technologies’ reportable segments.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Transaction-related expenses includes acquisition, integration, and divestiture related costs, as well as the costs incurred in the Class V transaction.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Stock-based compensation expense consists of equity awards granted based on the estimated fair value of those awards at grant date.</w:t>
      </w:r>
    </w:p>
    <w:p>
      <w:pPr>
        <w:spacing w:after="0" w:line="9" w:lineRule="exact"/>
        <w:rPr>
          <w:rFonts w:ascii="Arial" w:cs="Arial" w:eastAsia="Arial" w:hAnsi="Arial"/>
          <w:sz w:val="18"/>
          <w:szCs w:val="18"/>
          <w:color w:val="auto"/>
        </w:rPr>
      </w:pPr>
    </w:p>
    <w:p>
      <w:pPr>
        <w:ind w:left="340" w:right="580" w:hanging="332"/>
        <w:spacing w:after="0" w:line="260"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severance, facility action, and other costs. See Note 8 of the Notes to the Consolidated Financial Statements for additional information on Virtustream impairment charges.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60"/>
          </w:cols>
          <w:pgMar w:left="320" w:top="125" w:right="4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Servers and networking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15,533</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Storage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15,384</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30,917</w:t>
            </w: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27,507</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11,711</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39,218</w:t>
            </w: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8,485</w:t>
            </w:r>
          </w:p>
        </w:tc>
      </w:tr>
      <w:tr>
        <w:trPr>
          <w:trHeight w:val="257"/>
        </w:trPr>
        <w:tc>
          <w:tcPr>
            <w:tcW w:w="5640" w:type="dxa"/>
            <w:vAlign w:val="bottom"/>
          </w:tcPr>
          <w:p>
            <w:pPr>
              <w:ind w:left="820"/>
              <w:spacing w:after="0"/>
              <w:rPr>
                <w:sz w:val="20"/>
                <w:szCs w:val="20"/>
                <w:color w:val="auto"/>
              </w:rPr>
            </w:pPr>
            <w:r>
              <w:rPr>
                <w:rFonts w:ascii="Arial" w:cs="Arial" w:eastAsia="Arial" w:hAnsi="Arial"/>
                <w:sz w:val="18"/>
                <w:szCs w:val="18"/>
                <w:color w:val="auto"/>
              </w:rPr>
              <w:t>Total segment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90,712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89,657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78,620</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allocated between the United States and foreign countries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43,829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42,803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38,528</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40,512</w:t>
            </w: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92,154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79,040</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property, plant, and equipment, net allocated between the United States and foreign countries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4,058</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57"/>
        </w:trPr>
        <w:tc>
          <w:tcPr>
            <w:tcW w:w="754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5,259</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allocation between domestic and foreign net revenue is based on the location of the customers. Net revenue from any single foreign country did not constitute more than 10% of the Company’s consolidated net revenue for each of the fiscal years ended January 31, 2020, February 1, 2019, and February 2, 2018. Property, plant, and equipment, net from any single foreign country did not constitute more than 10% of the Company’s consolidated property, plant, and equipment, net as of January 31, 2020 or February 1,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25"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SUPPLEMENTAL CONSOLIDATED FINANCIAL INFORMATION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additional information on selected asset accounts included in the Consolidated Statements of Financial Position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other current assets (a)</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Restricted cash - other non-current assets (a)</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Prepaid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prepaid expenses (b)</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buildings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Machinery and other equipment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 (c)</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Other non-current assets:</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and other tax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Restricted cash includes cash required to be held in escrow pursuant to DFS securitization arrangements and VMware, Inc. restricted cash.</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Prepaid expenses are included in other current assets in the Consolidated Statements of Financial Position.</w:t>
      </w:r>
    </w:p>
    <w:p>
      <w:pPr>
        <w:spacing w:after="0" w:line="9"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During the fiscal years ended January 31, 2020, February 1, 2019, and February 2, 2018, the Company recognized $1.3 billion, $1.3 billion, and $1.5 billion, respectively, in depreciation expense. Additionally, during the fiscal years ended January 31, 2020, February 1, 2019, and February 2, 2018, the Company retired $0.8 billion, $0.8 billion, and $1.1 billion, respectively, of fully depreciated property, plant, and equipment.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25" w:right="3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additional information on selected liability accounts included in the Consolidated Statements of Financial Position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2020</w:t>
            </w:r>
          </w:p>
        </w:tc>
        <w:tc>
          <w:tcPr>
            <w:tcW w:w="38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February 1, 2019</w:t>
            </w: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6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Accrued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3,717</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3,646</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and other taxes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Sales and marketing programs</w:t>
            </w:r>
          </w:p>
        </w:tc>
        <w:tc>
          <w:tcPr>
            <w:tcW w:w="2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1,209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r>
      <w:tr>
        <w:trPr>
          <w:trHeight w:val="297"/>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9,773</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8,495</w:t>
            </w: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Deferred and other tax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5,527</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5,383</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6,327</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valuation and qualifying accounts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Bad debt write-offs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Customer Financing Receivables - Allowance for financing receivable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losses: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Charge-offs, net of recoveries (a)</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Tax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Charged to 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Charged to other accounts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Charge-offs for customer financing receivables includes principal and interest.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40"/>
          </w:cols>
          <w:pgMar w:left="320" w:top="125" w:right="33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liability for standard limited warranties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Costs accrued for new warranty contracts and changes in estimates for pre-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existing warranties (a) (b)</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Service obligations honored</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18"/>
        </w:trPr>
        <w:tc>
          <w:tcPr>
            <w:tcW w:w="5640" w:type="dxa"/>
            <w:vAlign w:val="bottom"/>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ind w:left="340" w:right="680" w:hanging="332"/>
        <w:spacing w:after="0" w:line="280"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Charges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the Company’s severance liability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Severance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Severance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charges to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Cash paid and other</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25" w:right="3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severance charges as included in the Consolidated Statements of Income (Loss)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Severance charges: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severance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interest and other, net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Investment income, primarily interest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investments, net</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7"/>
        </w:trPr>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interest and other, net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418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CONDENSED FINANCIAL INFORMATION OF PARENT COMPANY</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Dell Technologies Inc. has no material assets or standalone operations other than its ownership in its consolidated subsidiaries. There are restrictions under credit agreements and indentures governing the First Lien Notes and the Senior Notes, described in Note 6 of the Notes to the Consolidated Financial Statements, on the Company’s ability to obtain funds from any of its subsidiaries through dividends, loans, or advances. As of January 31, 2020, the Company had certain consolidated subsidiaries that were designated as unrestricted subsidiaries for all purposes of the applicable credit agreements and such indentures. As of January 31, 2020, substantially all of the net assets of the Company’s consolidated subsidiaries were restricted, with the exception of the Company’s unrestricted subsidiaries, primarily VMware, Inc., Secureworks, and their respective subsidiaries. Accordingly, this condensed financial information is presented on a “Parent-only” basis. Under a Parent-only presentation, Dell Technologies Inc.’s investments in its consolidated subsidiaries are presented under the equity method of accounting.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position of Dell Technologies Inc. (Parent)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2019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Guarantees of subsidiary obligations (a)</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Redeemable shares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Common stock and capital in excess of $0.01 par value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6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Guarantees of subsidiary obligations represents the capital Dell Technologies Inc. received in excess of the carrying amount of its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color w:val="auto"/>
        </w:rPr>
        <w:t>The following table presents a reconciliation of the equity in net loss of subsidiaries to the net loss attributable to Dell Technologies Inc., and a reconciliation of consolidated net loss to comprehensive net loss attributable to Dell Technologies Inc.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loss of subsidiaries attributable to Dell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 Total operating expense (a)</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Parent - Interest and other, net</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 Income tax expense (benefit) (a)</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Parent - Loss before equity in net income of subsidiaries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5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Consolidated net income (loss) attributable to Dell Technologies Inc.</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of subsidiaries attributable to Dell</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 Inc.</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57"/>
        </w:trPr>
        <w:tc>
          <w:tcPr>
            <w:tcW w:w="56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0" w:hanging="332"/>
        <w:spacing w:after="0" w:line="323"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the fiscal years ended January 31, 2020 and February 1, 2019, the operating expense and the associated income tax expense (benefit) were primarily related to the costs incurred in the Class V transaction described in Note 14 of the Notes to the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cash flows of Dell Technologies Inc. (Parent)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Transfer (to)/from subsidiary</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cash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318"/>
        </w:trPr>
        <w:tc>
          <w:tcPr>
            <w:tcW w:w="5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Share repurchases for tax withholdings of equity awards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Repurchases of Class V Common Stock</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57"/>
        </w:trPr>
        <w:tc>
          <w:tcPr>
            <w:tcW w:w="56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25"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5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NOTE 22 — UNAUDITED QUARTERLY RESULTS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9500" w:type="dxa"/>
            <w:vAlign w:val="bottom"/>
            <w:gridSpan w:val="9"/>
          </w:tcPr>
          <w:p>
            <w:pPr>
              <w:spacing w:after="0"/>
              <w:rPr>
                <w:sz w:val="20"/>
                <w:szCs w:val="20"/>
                <w:color w:val="auto"/>
              </w:rPr>
            </w:pPr>
            <w:r>
              <w:rPr>
                <w:rFonts w:ascii="Arial" w:cs="Arial" w:eastAsia="Arial" w:hAnsi="Arial"/>
                <w:sz w:val="18"/>
                <w:szCs w:val="18"/>
                <w:color w:val="auto"/>
                <w:w w:val="91"/>
              </w:rPr>
              <w:t>The following tables present selected unaudited consolidated statements of income (loss) for each quarter of the periods indicated: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9"/>
              </w:rPr>
              <w:t>Fiscal 2020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4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Q3</w:t>
            </w:r>
          </w:p>
        </w:tc>
        <w:tc>
          <w:tcPr>
            <w:tcW w:w="20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Q4</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9"/>
          </w:tcPr>
          <w:p>
            <w:pPr>
              <w:jc w:val="center"/>
              <w:ind w:left="510"/>
              <w:spacing w:after="0"/>
              <w:rPr>
                <w:sz w:val="20"/>
                <w:szCs w:val="20"/>
                <w:color w:val="auto"/>
              </w:rPr>
            </w:pPr>
            <w:r>
              <w:rPr>
                <w:rFonts w:ascii="Arial" w:cs="Arial" w:eastAsia="Arial" w:hAnsi="Arial"/>
                <w:sz w:val="18"/>
                <w:szCs w:val="18"/>
                <w:color w:val="auto"/>
                <w:w w:val="90"/>
              </w:rPr>
              <w:t>(in millions, except per share data)</w:t>
            </w:r>
          </w:p>
        </w:tc>
        <w:tc>
          <w:tcPr>
            <w:tcW w:w="8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24,032</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7,684</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Dell Technologies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Earnings per share attributable to Dell Technologies Inc.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0.56</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Dell Technologies Inc.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594"/>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9"/>
              </w:rPr>
              <w:t>Fiscal 2019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4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Q3</w:t>
            </w:r>
          </w:p>
        </w:tc>
        <w:tc>
          <w:tcPr>
            <w:tcW w:w="20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Q4 (a)</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9"/>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9"/>
          </w:tcPr>
          <w:p>
            <w:pPr>
              <w:jc w:val="center"/>
              <w:ind w:left="510"/>
              <w:spacing w:after="0"/>
              <w:rPr>
                <w:sz w:val="20"/>
                <w:szCs w:val="20"/>
                <w:color w:val="auto"/>
              </w:rPr>
            </w:pPr>
            <w:r>
              <w:rPr>
                <w:rFonts w:ascii="Arial" w:cs="Arial" w:eastAsia="Arial" w:hAnsi="Arial"/>
                <w:sz w:val="18"/>
                <w:szCs w:val="18"/>
                <w:color w:val="auto"/>
                <w:w w:val="90"/>
              </w:rPr>
              <w:t>(in millions, except per share data)</w:t>
            </w:r>
          </w:p>
        </w:tc>
        <w:tc>
          <w:tcPr>
            <w:tcW w:w="8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23,841</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7,109</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Class V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DHI Group</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97"/>
        </w:trPr>
        <w:tc>
          <w:tcPr>
            <w:tcW w:w="68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311"/>
        </w:trPr>
        <w:tc>
          <w:tcPr>
            <w:tcW w:w="128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Class V Common Stock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Class V Common Stock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12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DHI Group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18"/>
        </w:trPr>
        <w:tc>
          <w:tcPr>
            <w:tcW w:w="686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ind w:left="340" w:right="140" w:hanging="332"/>
        <w:spacing w:after="0" w:line="28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the three months ended February 1, 2019, net income attributable to the Class V Common Stock represents net income attributable to the Class V Group from November 3, 2018 to December 27, 2018, the last date on which the Class V Common Stock was traded on the NYSE.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08"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RELATED PARTY TRANSACTIONS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Dell Technologies is a large global organization that engages in millions of purchase, sales, and other transactions during the fiscal year. The Company enters into purchase and sales transactions with other publicly-traded and privately-held companies, as well as not-for-profit organizations, that could be influenced by members of the Company’s board of directors or the Company’s executive officers. The Company enters into these arrangements in the ordinary course of its business. Transactions with related parties were immaterial for the fiscal years ended January 31, 2020, February 1, 2019, and February 2,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SUBSEQUENT EVENTS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RSA Security Divestiture </w:t>
      </w:r>
      <w:r>
        <w:rPr>
          <w:rFonts w:ascii="Arial" w:cs="Arial" w:eastAsia="Arial" w:hAnsi="Arial"/>
          <w:sz w:val="16"/>
          <w:szCs w:val="16"/>
          <w:color w:val="auto"/>
        </w:rPr>
        <w:t>— On February 18, 2020, Dell Technologies announced its entry into a definitive agreement with a consortium led by Symphony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Group, Ontario Teachers’ Pension Plan Board and AlpInvest Partners to sell RSA Security in an all-cash transaction for approximately $2.075 billion, subject to certain closing adjustments. The transaction, which includes the purchase of RSA Archer, RSA NetWitness Platform, RSA SecurID, RSA Fraud and Risk Intelligence and RSA Conference, is expected to close in six to nine months following the announcement and is subject to customary conditions. The transaction is intended to further simplify Dell Technologies’ product portfolio and corporate structure.</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RSA Security is included within Other Businesses and does not meet the requirements for a reportable segment. The transaction is not expected to have a material impact on the Company’s operating results or financial position.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Share Repurchase Program </w:t>
      </w:r>
      <w:r>
        <w:rPr>
          <w:rFonts w:ascii="Arial" w:cs="Arial" w:eastAsia="Arial" w:hAnsi="Arial"/>
          <w:sz w:val="16"/>
          <w:szCs w:val="16"/>
          <w:color w:val="auto"/>
        </w:rPr>
        <w:t>— On February 24, 2020, the Company’s board of directors approved a stock repurchase program under which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repurchase up to $1.0 billion of shares of the Class C Common Stock over a 24-month period expiring on February 28, 2022.</w:t>
      </w:r>
    </w:p>
    <w:p>
      <w:pPr>
        <w:spacing w:after="0" w:line="12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 In March 2020, the Company drew $3.0 billion under the Revolving Credit Facility, with the majority of the proceeds held as</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cash equivalents. The Company increased its borrowing under the Revolving Credit Facility as a precautionary measure to increase its cash position and preserve financial flexibility in light of current disruption and uncertainty in the global markets resulting from the outbreak of COVID-19.</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In March 2020, due to volatility in the U.S. stock market resulting from the outbreak of COVID-19, VMW Holdco LLC</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pledged additional shares of VMware, Inc. common stock to secure its obligations under the Margin Loan Facility agreement. This resulted in an aggregate number of shares pledged of approximately 76 million shares of VMware, Inc. Class B common stock and approximately 24 million shares of VMware, Inc. Class A common stock.</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the balance sheet date and up until the date of the issuance of this report that would materially affect the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25"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31, 2020. Based on that evaluation, our Chief Executive Officer and Chief Financial Officer have concluded that our disclosure controls and procedures were effective at the reasonable assurance level as of January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31, 2020,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a result of that evaluation, management has concluded that our internal control over financial reporting was effective as of January 31, 2020.</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January 31, 2020 has been audited by PricewaterhouseCoopers LLP, our independent registered public accounting firm, as stated in their report, which is included in “Item 8 — Financial Statements and Supplementary Data.”</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125" w:right="3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were no changes in our internal control over financial reporting during the fiscal quarter ended January 31, 2020 that have materially affected, or are reasonably likely to materially affect, our internal control over financial reporting. During the first quarter of the fiscal year ended January 31, 2020, we implemented new lease reporting systems and related controls to enable us to adopt the new accounting guidance set forth in ASC 842, “Leases.” Given the significance of these changes, we will continue to review and refine the systems, processes, and internal controls over leases, as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18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320" w:top="125" w:right="3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adopted a code of ethics applicable to our principal executive officer and our other senior financial officers. The code of ethics, which we refer to as our Code of Ethics for Senior Financial Officers, is available on the Investor Relations page of our website at </w:t>
      </w:r>
      <w:r>
        <w:rPr>
          <w:rFonts w:ascii="Arial" w:cs="Arial" w:eastAsia="Arial" w:hAnsi="Arial"/>
          <w:sz w:val="17"/>
          <w:szCs w:val="17"/>
          <w:u w:val="single" w:color="auto"/>
          <w:color w:val="auto"/>
        </w:rPr>
        <w:t>www.delltechnologies.com</w:t>
      </w:r>
      <w:r>
        <w:rPr>
          <w:rFonts w:ascii="Arial" w:cs="Arial" w:eastAsia="Arial" w:hAnsi="Arial"/>
          <w:sz w:val="17"/>
          <w:szCs w:val="17"/>
          <w:color w:val="auto"/>
        </w:rPr>
        <w:t>.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2020 annual meeting of stockholders, referred to as the “2020 proxy statement,” which we will file with the SEC on or before 120 days after our 2020 fiscal year-end, and which will appear in the 2020 proxy statement under the captions “Proposal 1 — Election of Directors” and “Additional Information — Delinquent Section 16(a) Reports.”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information about the members of our board of directors and the principal occupation or employment of each director is provided as of the date of this report.</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4"/>
              </w:rPr>
              <w:t>Michael S. Dell</w:t>
            </w:r>
          </w:p>
        </w:tc>
        <w:tc>
          <w:tcPr>
            <w:tcW w:w="3300" w:type="dxa"/>
            <w:vAlign w:val="bottom"/>
          </w:tcPr>
          <w:p>
            <w:pPr>
              <w:jc w:val="center"/>
              <w:ind w:left="1370"/>
              <w:spacing w:after="0"/>
              <w:rPr>
                <w:sz w:val="20"/>
                <w:szCs w:val="20"/>
                <w:color w:val="auto"/>
              </w:rPr>
            </w:pPr>
            <w:r>
              <w:rPr>
                <w:rFonts w:ascii="Arial" w:cs="Arial" w:eastAsia="Arial" w:hAnsi="Arial"/>
                <w:sz w:val="18"/>
                <w:szCs w:val="18"/>
                <w:color w:val="auto"/>
                <w:w w:val="94"/>
              </w:rPr>
              <w:t>Lynn Vojvodich</w:t>
            </w:r>
          </w:p>
        </w:tc>
      </w:t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2"/>
              </w:rPr>
              <w:t>Chairman and Chief Executive Officer</w:t>
            </w:r>
          </w:p>
        </w:tc>
        <w:tc>
          <w:tcPr>
            <w:tcW w:w="3300" w:type="dxa"/>
            <w:vAlign w:val="bottom"/>
          </w:tcPr>
          <w:p>
            <w:pPr>
              <w:jc w:val="center"/>
              <w:ind w:left="1370"/>
              <w:spacing w:after="0"/>
              <w:rPr>
                <w:sz w:val="20"/>
                <w:szCs w:val="20"/>
                <w:color w:val="auto"/>
              </w:rPr>
            </w:pPr>
            <w:r>
              <w:rPr>
                <w:rFonts w:ascii="Arial" w:cs="Arial" w:eastAsia="Arial" w:hAnsi="Arial"/>
                <w:sz w:val="18"/>
                <w:szCs w:val="18"/>
                <w:color w:val="auto"/>
                <w:w w:val="92"/>
              </w:rPr>
              <w:t>Public Company Director</w:t>
            </w:r>
          </w:p>
        </w:tc>
      </w:tr>
      <w:tr>
        <w:trPr>
          <w:trHeight w:val="23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1"/>
              </w:rPr>
              <w:t>Dell Technologies Inc.</w:t>
            </w:r>
          </w:p>
        </w:tc>
        <w:tc>
          <w:tcPr>
            <w:tcW w:w="3300" w:type="dxa"/>
            <w:vAlign w:val="bottom"/>
          </w:tcPr>
          <w:p>
            <w:pPr>
              <w:spacing w:after="0"/>
              <w:rPr>
                <w:sz w:val="20"/>
                <w:szCs w:val="20"/>
                <w:color w:val="auto"/>
              </w:rPr>
            </w:pPr>
          </w:p>
        </w:tc>
      </w:tr>
      <w:tr>
        <w:trPr>
          <w:trHeight w:val="580"/>
        </w:trPr>
        <w:tc>
          <w:tcPr>
            <w:tcW w:w="4240" w:type="dxa"/>
            <w:vAlign w:val="bottom"/>
          </w:tcPr>
          <w:p>
            <w:pPr>
              <w:jc w:val="center"/>
              <w:ind w:right="1350"/>
              <w:spacing w:after="0"/>
              <w:rPr>
                <w:sz w:val="20"/>
                <w:szCs w:val="20"/>
                <w:color w:val="auto"/>
              </w:rPr>
            </w:pPr>
            <w:r>
              <w:rPr>
                <w:rFonts w:ascii="Arial" w:cs="Arial" w:eastAsia="Arial" w:hAnsi="Arial"/>
                <w:sz w:val="18"/>
                <w:szCs w:val="18"/>
                <w:color w:val="auto"/>
                <w:w w:val="92"/>
              </w:rPr>
              <w:t>David W. Dorman</w:t>
            </w:r>
          </w:p>
        </w:tc>
        <w:tc>
          <w:tcPr>
            <w:tcW w:w="3300" w:type="dxa"/>
            <w:vAlign w:val="bottom"/>
          </w:tcPr>
          <w:p>
            <w:pPr>
              <w:jc w:val="center"/>
              <w:ind w:left="1390"/>
              <w:spacing w:after="0"/>
              <w:rPr>
                <w:sz w:val="20"/>
                <w:szCs w:val="20"/>
                <w:color w:val="auto"/>
              </w:rPr>
            </w:pPr>
            <w:r>
              <w:rPr>
                <w:rFonts w:ascii="Arial" w:cs="Arial" w:eastAsia="Arial" w:hAnsi="Arial"/>
                <w:sz w:val="18"/>
                <w:szCs w:val="18"/>
                <w:color w:val="auto"/>
                <w:w w:val="94"/>
              </w:rPr>
              <w:t>Ellen J. Kullman</w:t>
            </w:r>
          </w:p>
        </w:tc>
      </w:t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0"/>
              </w:rPr>
              <w:t>Founding Partner</w:t>
            </w:r>
          </w:p>
        </w:tc>
        <w:tc>
          <w:tcPr>
            <w:tcW w:w="3300" w:type="dxa"/>
            <w:vAlign w:val="bottom"/>
          </w:tcPr>
          <w:p>
            <w:pPr>
              <w:jc w:val="center"/>
              <w:ind w:left="1370"/>
              <w:spacing w:after="0"/>
              <w:rPr>
                <w:sz w:val="20"/>
                <w:szCs w:val="20"/>
                <w:color w:val="auto"/>
              </w:rPr>
            </w:pPr>
            <w:r>
              <w:rPr>
                <w:rFonts w:ascii="Arial" w:cs="Arial" w:eastAsia="Arial" w:hAnsi="Arial"/>
                <w:sz w:val="18"/>
                <w:szCs w:val="18"/>
                <w:color w:val="auto"/>
                <w:w w:val="92"/>
              </w:rPr>
              <w:t>Public Company Director</w:t>
            </w:r>
          </w:p>
        </w:tc>
      </w:t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2"/>
              </w:rPr>
              <w:t>Centerview Capital Technology</w:t>
            </w:r>
          </w:p>
        </w:tc>
        <w:tc>
          <w:tcPr>
            <w:tcW w:w="3300" w:type="dxa"/>
            <w:vAlign w:val="bottom"/>
          </w:tcPr>
          <w:p>
            <w:pPr>
              <w:spacing w:after="0"/>
              <w:rPr>
                <w:sz w:val="18"/>
                <w:szCs w:val="18"/>
                <w:color w:val="auto"/>
              </w:rPr>
            </w:pPr>
          </w:p>
        </w:tc>
      </w:tr>
      <w:tr>
        <w:trPr>
          <w:trHeight w:val="23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0"/>
              </w:rPr>
              <w:t>(investments)</w:t>
            </w:r>
          </w:p>
        </w:tc>
        <w:tc>
          <w:tcPr>
            <w:tcW w:w="3300" w:type="dxa"/>
            <w:vAlign w:val="bottom"/>
          </w:tcPr>
          <w:p>
            <w:pPr>
              <w:spacing w:after="0"/>
              <w:rPr>
                <w:sz w:val="20"/>
                <w:szCs w:val="20"/>
                <w:color w:val="auto"/>
              </w:rPr>
            </w:pPr>
          </w:p>
        </w:tc>
      </w:tr>
      <w:tr>
        <w:trPr>
          <w:trHeight w:val="58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2"/>
              </w:rPr>
              <w:t>Egon Durban</w:t>
            </w:r>
          </w:p>
        </w:tc>
        <w:tc>
          <w:tcPr>
            <w:tcW w:w="3300" w:type="dxa"/>
            <w:vAlign w:val="bottom"/>
          </w:tcPr>
          <w:p>
            <w:pPr>
              <w:jc w:val="center"/>
              <w:ind w:left="1390"/>
              <w:spacing w:after="0"/>
              <w:rPr>
                <w:sz w:val="20"/>
                <w:szCs w:val="20"/>
                <w:color w:val="auto"/>
              </w:rPr>
            </w:pPr>
            <w:r>
              <w:rPr>
                <w:rFonts w:ascii="Arial" w:cs="Arial" w:eastAsia="Arial" w:hAnsi="Arial"/>
                <w:sz w:val="18"/>
                <w:szCs w:val="18"/>
                <w:color w:val="auto"/>
                <w:w w:val="88"/>
              </w:rPr>
              <w:t>Simon Patterson</w:t>
            </w:r>
          </w:p>
        </w:tc>
      </w:t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1"/>
              </w:rPr>
              <w:t>Co-CEO</w:t>
            </w:r>
          </w:p>
        </w:tc>
        <w:tc>
          <w:tcPr>
            <w:tcW w:w="3300" w:type="dxa"/>
            <w:vAlign w:val="bottom"/>
          </w:tcPr>
          <w:p>
            <w:pPr>
              <w:jc w:val="center"/>
              <w:ind w:left="1390"/>
              <w:spacing w:after="0"/>
              <w:rPr>
                <w:sz w:val="20"/>
                <w:szCs w:val="20"/>
                <w:color w:val="auto"/>
              </w:rPr>
            </w:pPr>
            <w:r>
              <w:rPr>
                <w:rFonts w:ascii="Arial" w:cs="Arial" w:eastAsia="Arial" w:hAnsi="Arial"/>
                <w:sz w:val="18"/>
                <w:szCs w:val="18"/>
                <w:color w:val="auto"/>
                <w:w w:val="93"/>
              </w:rPr>
              <w:t>Managing Director</w:t>
            </w:r>
          </w:p>
        </w:tc>
      </w:tr>
      <w:tr>
        <w:trPr>
          <w:trHeight w:val="216"/>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0"/>
              </w:rPr>
              <w:t>Silver Lake Partners</w:t>
            </w:r>
          </w:p>
        </w:tc>
        <w:tc>
          <w:tcPr>
            <w:tcW w:w="3300" w:type="dxa"/>
            <w:vAlign w:val="bottom"/>
          </w:tcPr>
          <w:p>
            <w:pPr>
              <w:jc w:val="center"/>
              <w:ind w:left="1370"/>
              <w:spacing w:after="0"/>
              <w:rPr>
                <w:sz w:val="20"/>
                <w:szCs w:val="20"/>
                <w:color w:val="auto"/>
              </w:rPr>
            </w:pPr>
            <w:r>
              <w:rPr>
                <w:rFonts w:ascii="Arial" w:cs="Arial" w:eastAsia="Arial" w:hAnsi="Arial"/>
                <w:sz w:val="18"/>
                <w:szCs w:val="18"/>
                <w:color w:val="auto"/>
                <w:w w:val="91"/>
              </w:rPr>
              <w:t>Silver Lake Partners</w:t>
            </w:r>
          </w:p>
        </w:tc>
      </w:tr>
      <w:tr>
        <w:trPr>
          <w:trHeight w:val="23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2"/>
              </w:rPr>
              <w:t>(private equity)</w:t>
            </w:r>
          </w:p>
        </w:tc>
        <w:tc>
          <w:tcPr>
            <w:tcW w:w="3300" w:type="dxa"/>
            <w:vAlign w:val="bottom"/>
          </w:tcPr>
          <w:p>
            <w:pPr>
              <w:jc w:val="center"/>
              <w:ind w:left="1370"/>
              <w:spacing w:after="0"/>
              <w:rPr>
                <w:sz w:val="20"/>
                <w:szCs w:val="20"/>
                <w:color w:val="auto"/>
              </w:rPr>
            </w:pPr>
            <w:r>
              <w:rPr>
                <w:rFonts w:ascii="Arial" w:cs="Arial" w:eastAsia="Arial" w:hAnsi="Arial"/>
                <w:sz w:val="18"/>
                <w:szCs w:val="18"/>
                <w:color w:val="auto"/>
                <w:w w:val="94"/>
              </w:rPr>
              <w:t>(private equity)</w:t>
            </w:r>
          </w:p>
        </w:tc>
      </w:tr>
      <w:tr>
        <w:trPr>
          <w:trHeight w:val="58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5"/>
              </w:rPr>
              <w:t>William D. Green</w:t>
            </w:r>
          </w:p>
        </w:tc>
        <w:tc>
          <w:tcPr>
            <w:tcW w:w="3300" w:type="dxa"/>
            <w:vAlign w:val="bottom"/>
          </w:tcPr>
          <w:p>
            <w:pPr>
              <w:spacing w:after="0"/>
              <w:rPr>
                <w:sz w:val="24"/>
                <w:szCs w:val="24"/>
                <w:color w:val="auto"/>
              </w:rPr>
            </w:pPr>
          </w:p>
        </w:tc>
      </w:tr>
      <w:tr>
        <w:trPr>
          <w:trHeight w:val="230"/>
        </w:trPr>
        <w:tc>
          <w:tcPr>
            <w:tcW w:w="4240" w:type="dxa"/>
            <w:vAlign w:val="bottom"/>
          </w:tcPr>
          <w:p>
            <w:pPr>
              <w:jc w:val="center"/>
              <w:ind w:right="1370"/>
              <w:spacing w:after="0"/>
              <w:rPr>
                <w:sz w:val="20"/>
                <w:szCs w:val="20"/>
                <w:color w:val="auto"/>
              </w:rPr>
            </w:pPr>
            <w:r>
              <w:rPr>
                <w:rFonts w:ascii="Arial" w:cs="Arial" w:eastAsia="Arial" w:hAnsi="Arial"/>
                <w:sz w:val="18"/>
                <w:szCs w:val="18"/>
                <w:color w:val="auto"/>
                <w:w w:val="93"/>
              </w:rPr>
              <w:t>Public Company Director</w:t>
            </w:r>
          </w:p>
        </w:tc>
        <w:tc>
          <w:tcPr>
            <w:tcW w:w="3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125" w:right="4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Information required by this Item 11 is incorporated herein by reference to the 2020 proxy statement, including the information in the 2020 proxy statement appearing under the captions “Proposal 1 — Election of Directors — Director Compensation” and “Compensation of Executive Officers.”</w:t>
      </w:r>
    </w:p>
    <w:p>
      <w:pPr>
        <w:spacing w:after="0" w:line="14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12 is incorporated herein by reference to the 2020 proxy statement, including the information in the 2020 proxy statement appearing under the captions “Equity Compensation Plan Information” and “Security Ownership of Certain Beneficial Owners and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13 is incorporated herein by reference to the 2020 proxy statement, including the information in the 2020 proxy statement appearing under the captions “Proposal 1 — Elections of Directors” and “Additional Information — Certain Relationships and Related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2020 proxy statement, including the information in the 2020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25"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660" w:right="48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financial statements are filed as part of this report under “Part II — Item 8 —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Financial Position at January 31, 2020 and February 1, 2019</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(Loss) for the fiscal years ended January 31, 2020, February 1, 2019, and February 2, 2018</w:t>
      </w:r>
    </w:p>
    <w:p>
      <w:pPr>
        <w:spacing w:after="0" w:line="9" w:lineRule="exact"/>
        <w:rPr>
          <w:rFonts w:ascii="Arial" w:cs="Arial" w:eastAsia="Arial" w:hAnsi="Arial"/>
          <w:sz w:val="18"/>
          <w:szCs w:val="18"/>
          <w:color w:val="auto"/>
        </w:rPr>
      </w:pPr>
    </w:p>
    <w:p>
      <w:pPr>
        <w:ind w:left="660" w:right="260"/>
        <w:spacing w:after="0" w:line="265"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(Loss) for the fiscal years ended January 31, 2020, February 1, 2019, and February 2, 2018 Consolidated Statements of Cash Flows for the fiscal years ended January 31, 2020, February 1, 2019, and February 2, 2018</w:t>
      </w:r>
    </w:p>
    <w:p>
      <w:pPr>
        <w:ind w:left="660" w:right="280"/>
        <w:spacing w:after="0" w:line="260"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(Deficit) for the fiscal years ended January 31, 2020, February 1, 2019, and February 2, 2018 Notes to Consolidated Financial Statements</w:t>
      </w:r>
    </w:p>
    <w:p>
      <w:pPr>
        <w:spacing w:after="0" w:line="18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The information required in the following financial statement schedules is included in Note 20 and Note 21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the Consolidated Financial Statements under “Part II — Item 8 — Financial Statements and Supplementary Data”:</w:t>
      </w:r>
    </w:p>
    <w:p>
      <w:pPr>
        <w:spacing w:after="0" w:line="146" w:lineRule="exact"/>
        <w:rPr>
          <w:rFonts w:ascii="Arial" w:cs="Arial" w:eastAsia="Arial" w:hAnsi="Arial"/>
          <w:sz w:val="17"/>
          <w:szCs w:val="17"/>
          <w:color w:val="auto"/>
        </w:rPr>
      </w:pPr>
    </w:p>
    <w:p>
      <w:pPr>
        <w:ind w:left="660" w:right="5680"/>
        <w:spacing w:after="0" w:line="277" w:lineRule="auto"/>
        <w:rPr>
          <w:rFonts w:ascii="Arial" w:cs="Arial" w:eastAsia="Arial" w:hAnsi="Arial"/>
          <w:sz w:val="17"/>
          <w:szCs w:val="17"/>
          <w:color w:val="auto"/>
        </w:rPr>
      </w:pPr>
      <w:r>
        <w:rPr>
          <w:rFonts w:ascii="Arial" w:cs="Arial" w:eastAsia="Arial" w:hAnsi="Arial"/>
          <w:sz w:val="18"/>
          <w:szCs w:val="18"/>
          <w:color w:val="auto"/>
        </w:rPr>
        <w:t>Schedule I — Condensed Financial Information of Parent Company Schedule II — Valuation and Qualifying Accounts</w:t>
      </w:r>
    </w:p>
    <w:p>
      <w:pPr>
        <w:spacing w:after="0" w:line="170" w:lineRule="exact"/>
        <w:rPr>
          <w:rFonts w:ascii="Arial" w:cs="Arial" w:eastAsia="Arial" w:hAnsi="Arial"/>
          <w:sz w:val="17"/>
          <w:szCs w:val="17"/>
          <w:color w:val="auto"/>
        </w:rPr>
      </w:pPr>
    </w:p>
    <w:p>
      <w:pPr>
        <w:ind w:left="660" w:right="520"/>
        <w:spacing w:after="0" w:line="277" w:lineRule="auto"/>
        <w:rPr>
          <w:rFonts w:ascii="Arial" w:cs="Arial" w:eastAsia="Arial" w:hAnsi="Arial"/>
          <w:sz w:val="17"/>
          <w:szCs w:val="17"/>
          <w:color w:val="auto"/>
        </w:rPr>
      </w:pPr>
      <w:r>
        <w:rPr>
          <w:rFonts w:ascii="Arial" w:cs="Arial" w:eastAsia="Arial" w:hAnsi="Arial"/>
          <w:sz w:val="18"/>
          <w:szCs w:val="18"/>
          <w:color w:val="auto"/>
        </w:rPr>
        <w:t>All other schedules have been omitted because they are not applicable or the required information is otherwise included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92"/>
              </w:rPr>
              <w:t>Exhibit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58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91"/>
              </w:rPr>
              <w:t>Number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20" w:type="dxa"/>
            <w:vAlign w:val="bottom"/>
            <w:gridSpan w:val="13"/>
          </w:tcPr>
          <w:p>
            <w:pPr>
              <w:ind w:left="360"/>
              <w:spacing w:after="0"/>
              <w:rPr>
                <w:sz w:val="20"/>
                <w:szCs w:val="20"/>
                <w:color w:val="auto"/>
              </w:rPr>
            </w:pPr>
            <w:r>
              <w:rPr>
                <w:rFonts w:ascii="Arial" w:cs="Arial" w:eastAsia="Arial" w:hAnsi="Arial"/>
                <w:sz w:val="22"/>
                <w:szCs w:val="22"/>
                <w:b w:val="1"/>
                <w:bCs w:val="1"/>
                <w:color w:val="auto"/>
              </w:rPr>
              <w:t>Description</w:t>
            </w:r>
          </w:p>
        </w:tc>
      </w:tr>
      <w:tr>
        <w:trPr>
          <w:trHeight w:val="203"/>
        </w:trPr>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line="202"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20" w:type="dxa"/>
            <w:vAlign w:val="bottom"/>
            <w:tcBorders>
              <w:top w:val="single" w:sz="8" w:color="auto"/>
            </w:tcBorders>
            <w:gridSpan w:val="16"/>
          </w:tcPr>
          <w:p>
            <w:pPr>
              <w:spacing w:after="0" w:line="202"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Fifth Amended and Restated Certificate of Incorporation of Dell Technologies Inc. (incorporated by reference to Exhibit 3.1 to the</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Company’s Current Report on Form 8-K filed with the Commission on December 28, 2018) (Commission File No. 001-37867).</w:t>
              </w:r>
            </w:hyperlink>
          </w:p>
        </w:tc>
        <w:tc>
          <w:tcPr>
            <w:tcW w:w="400" w:type="dxa"/>
            <w:vAlign w:val="bottom"/>
            <w:gridSpan w:val="7"/>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87"/>
              </w:rPr>
            </w:pPr>
            <w:hyperlink r:id="rId3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Second Amended and Restated Bylaws of Dell Technologies Inc. (incorporated by reference to Exhibit 3.2 to the Company’s Current</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Report on Form 8-K filed with the Commission on December 28, 2018) (Commission File No. 001-37867).</w:t>
              </w:r>
            </w:hyperlink>
          </w:p>
        </w:tc>
        <w:tc>
          <w:tcPr>
            <w:tcW w:w="1860" w:type="dxa"/>
            <w:vAlign w:val="bottom"/>
            <w:gridSpan w:val="11"/>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87"/>
              </w:rPr>
            </w:pPr>
            <w:hyperlink r:id="rId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Indenture, dated as of April 27, 1998, between Dell Computer Corporation and Chase Bank of Texas, National Association, as</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trustee (the “1998 Indenture”) (incorporated by reference to Exhibit 99.2 to Dell Inc.’s Current Report on Form 8-K filed with the</w:t>
              </w:r>
            </w:hyperlink>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Commission on April 28, 1998) (Commission File No. 0-17017).</w:t>
              </w:r>
            </w:hyperlink>
          </w:p>
        </w:tc>
        <w:tc>
          <w:tcPr>
            <w:tcW w:w="300" w:type="dxa"/>
            <w:vAlign w:val="bottom"/>
            <w:gridSpan w:val="4"/>
          </w:tcPr>
          <w:p>
            <w:pPr>
              <w:spacing w:after="0"/>
              <w:rPr>
                <w:sz w:val="17"/>
                <w:szCs w:val="17"/>
                <w:color w:val="auto"/>
              </w:rPr>
            </w:pPr>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Indenture, dated as of April 17, 2008, between Dell Inc. and The Bank of New York Mellon Trust Company, N.A. (formerly The</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Bank of New York Trust Company, N.A.), as trustee (including the form of notes) (incorporated by reference to Exhibit 4.1 to Dell</w:t>
              </w:r>
            </w:hyperlink>
          </w:p>
        </w:tc>
        <w:tc>
          <w:tcPr>
            <w:tcW w:w="20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Inc.’s Current Report on Form 8-K filed with the Commission on April 17, 2008) (Commission File No. 0-17017).</w:t>
              </w:r>
            </w:hyperlink>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8"/>
                <w:szCs w:val="18"/>
                <w:color w:val="0000FF"/>
                <w:w w:val="99"/>
              </w:rPr>
            </w:pPr>
            <w:hyperlink r:id="rId38">
              <w:r>
                <w:rPr>
                  <w:rFonts w:ascii="Arial" w:cs="Arial" w:eastAsia="Arial" w:hAnsi="Arial"/>
                  <w:sz w:val="18"/>
                  <w:szCs w:val="18"/>
                  <w:color w:val="0000FF"/>
                  <w:w w:val="99"/>
                </w:rPr>
                <w:t>Indenture, dated as of April 6, 2009, between Dell Inc. and The Bank of New York Mellon Trust Company, N.A., as trustee</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(incorporated by reference to Exhibit 4.1 to Dell Inc.’s Current Report on Form 8-K filed with the Commission on April 6, 2009)</w:t>
              </w:r>
            </w:hyperlink>
          </w:p>
        </w:tc>
        <w:tc>
          <w:tcPr>
            <w:tcW w:w="34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(Commission File No. 0-17017).</w:t>
              </w:r>
            </w:hyperlink>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20" w:type="dxa"/>
            <w:vAlign w:val="bottom"/>
            <w:gridSpan w:val="16"/>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Third Supplemental Indenture, dated September 10, 2010, between Dell Inc. and The Bank of New York Mellon Trust Company,</w:t>
              </w:r>
            </w:hyperlink>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538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N.A., as trustee (incorporated by reference to Exhibit 4.1 to Dell Inc.’s Current Report on Form 8-K filed with the Commission on</w:t>
              </w:r>
            </w:hyperlink>
          </w:p>
        </w:tc>
      </w:tr>
      <w:tr>
        <w:trPr>
          <w:trHeight w:val="196"/>
        </w:trPr>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September 10, 2010) (Commission File No. 0-17017).</w:t>
              </w:r>
            </w:hyperlink>
          </w:p>
        </w:tc>
        <w:tc>
          <w:tcPr>
            <w:tcW w:w="240" w:type="dxa"/>
            <w:vAlign w:val="bottom"/>
            <w:gridSpan w:val="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5"/>
        </w:trPr>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660" w:type="dxa"/>
            <w:vAlign w:val="bottom"/>
            <w:gridSpan w:val="3"/>
          </w:tcPr>
          <w:p>
            <w:pPr>
              <w:jc w:val="right"/>
              <w:ind w:right="432"/>
              <w:spacing w:after="0"/>
              <w:rPr>
                <w:sz w:val="20"/>
                <w:szCs w:val="20"/>
                <w:color w:val="auto"/>
              </w:rPr>
            </w:pPr>
            <w:r>
              <w:rPr>
                <w:rFonts w:ascii="Arial" w:cs="Arial" w:eastAsia="Arial" w:hAnsi="Arial"/>
                <w:sz w:val="18"/>
                <w:szCs w:val="18"/>
                <w:color w:val="auto"/>
              </w:rPr>
              <w:t>188</w:t>
            </w:r>
          </w:p>
        </w:tc>
        <w:tc>
          <w:tcPr>
            <w:tcW w:w="3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1620" w:right="20" w:hanging="386"/>
        <w:spacing w:after="0" w:line="263" w:lineRule="auto"/>
        <w:tabs>
          <w:tab w:leader="none" w:pos="1600" w:val="left"/>
        </w:tabs>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40">
        <w:r>
          <w:rPr>
            <w:rFonts w:ascii="Arial" w:cs="Arial" w:eastAsia="Arial" w:hAnsi="Arial"/>
            <w:sz w:val="18"/>
            <w:szCs w:val="18"/>
            <w:u w:val="single" w:color="auto"/>
            <w:color w:val="0000FF"/>
          </w:rPr>
          <w:t>Fourth Supplemental Indenture, dated March 31, 2011, between Dell Inc. and The Bank of New York Mellon Trust Company, N.A.,</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as trustee (incorporated by reference to Exhibit 4.1 to Dell Inc.’s Current Report on Form 8-K filed with the Commission on March</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31, 2011) (Commission File No. 0-17017).</w:t>
        </w:r>
      </w:hyperlink>
    </w:p>
    <w:p>
      <w:pPr>
        <w:spacing w:after="0" w:line="22" w:lineRule="exact"/>
        <w:rPr>
          <w:rFonts w:ascii="Arial" w:cs="Arial" w:eastAsia="Arial" w:hAnsi="Arial"/>
          <w:sz w:val="18"/>
          <w:szCs w:val="18"/>
          <w:u w:val="single" w:color="auto"/>
          <w:color w:val="0000FF"/>
        </w:rPr>
      </w:pPr>
    </w:p>
    <w:p>
      <w:pPr>
        <w:ind w:left="1620" w:right="80" w:hanging="386"/>
        <w:spacing w:after="0" w:line="263" w:lineRule="auto"/>
        <w:tabs>
          <w:tab w:leader="none" w:pos="1600" w:val="left"/>
        </w:tabs>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41">
        <w:r>
          <w:rPr>
            <w:rFonts w:ascii="Arial" w:cs="Arial" w:eastAsia="Arial" w:hAnsi="Arial"/>
            <w:sz w:val="18"/>
            <w:szCs w:val="18"/>
            <w:u w:val="single" w:color="auto"/>
            <w:color w:val="0000FF"/>
          </w:rPr>
          <w:t>Indenture, dated as of June 6, 2013, by and between EMC Corporation and Wells Fargo Bank, National Association, as trustee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(incorporated by reference to Exhibit 4.1 to EMC Corporation’s Current Report on Form 8-K filed with the Commission on June 6,</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2013) (Commission File No. 001-9853).</w:t>
        </w:r>
      </w:hyperlink>
    </w:p>
    <w:p>
      <w:pPr>
        <w:spacing w:after="0" w:line="22" w:lineRule="exact"/>
        <w:rPr>
          <w:rFonts w:ascii="Arial" w:cs="Arial" w:eastAsia="Arial" w:hAnsi="Arial"/>
          <w:sz w:val="18"/>
          <w:szCs w:val="18"/>
          <w:u w:val="single" w:color="auto"/>
          <w:color w:val="0000FF"/>
        </w:rPr>
      </w:pPr>
    </w:p>
    <w:p>
      <w:pPr>
        <w:jc w:val="both"/>
        <w:ind w:left="1620" w:right="40" w:hanging="386"/>
        <w:spacing w:after="0" w:line="305" w:lineRule="auto"/>
        <w:tabs>
          <w:tab w:leader="none" w:pos="1600" w:val="left"/>
        </w:tabs>
        <w:rPr>
          <w:rFonts w:ascii="Arial" w:cs="Arial" w:eastAsia="Arial" w:hAnsi="Arial"/>
          <w:sz w:val="16"/>
          <w:szCs w:val="16"/>
          <w:u w:val="single" w:color="auto"/>
          <w:color w:val="0000FF"/>
        </w:rPr>
      </w:pPr>
      <w:hyperlink r:id="rId42">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42">
        <w:r>
          <w:rPr>
            <w:rFonts w:ascii="Arial" w:cs="Arial" w:eastAsia="Arial" w:hAnsi="Arial"/>
            <w:sz w:val="16"/>
            <w:szCs w:val="16"/>
            <w:u w:val="single" w:color="auto"/>
            <w:color w:val="0000FF"/>
          </w:rPr>
          <w:t>Base Indenture, dated as of June 1, 2016, among Diamond 1 Finance Corporation and Diamond 2 Finance Corporation, as issuers,</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and The Bank of New York Mellon Trust Company, N.A., as trustee and collateral agent (incorporated by reference to Exhibit 4.14</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to Amendment No. 6 to the Company’s 2016 Form S-4 filed with the Commission on June 3, 2016) (Registration No. 333-208524).</w:t>
        </w:r>
      </w:hyperlink>
    </w:p>
    <w:p>
      <w:pPr>
        <w:spacing w:after="0" w:line="1" w:lineRule="exact"/>
        <w:rPr>
          <w:rFonts w:ascii="Arial" w:cs="Arial" w:eastAsia="Arial" w:hAnsi="Arial"/>
          <w:sz w:val="16"/>
          <w:szCs w:val="16"/>
          <w:u w:val="single" w:color="auto"/>
          <w:color w:val="0000FF"/>
        </w:rPr>
      </w:pPr>
    </w:p>
    <w:p>
      <w:pPr>
        <w:ind w:left="1620" w:right="120" w:hanging="386"/>
        <w:spacing w:after="0" w:line="259" w:lineRule="auto"/>
        <w:tabs>
          <w:tab w:leader="none" w:pos="1600" w:val="left"/>
        </w:tabs>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43">
        <w:r>
          <w:rPr>
            <w:rFonts w:ascii="Arial" w:cs="Arial" w:eastAsia="Arial" w:hAnsi="Arial"/>
            <w:sz w:val="18"/>
            <w:szCs w:val="18"/>
            <w:u w:val="single" w:color="auto"/>
            <w:color w:val="0000FF"/>
          </w:rPr>
          <w:t>2021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Exhibit 4.17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333-208524).</w:t>
        </w:r>
      </w:hyperlink>
    </w:p>
    <w:p>
      <w:pPr>
        <w:spacing w:after="0" w:line="25" w:lineRule="exact"/>
        <w:rPr>
          <w:rFonts w:ascii="Arial" w:cs="Arial" w:eastAsia="Arial" w:hAnsi="Arial"/>
          <w:sz w:val="18"/>
          <w:szCs w:val="18"/>
          <w:u w:val="single" w:color="auto"/>
          <w:color w:val="0000FF"/>
        </w:rPr>
      </w:pPr>
    </w:p>
    <w:p>
      <w:pPr>
        <w:ind w:left="1620" w:right="120" w:hanging="386"/>
        <w:spacing w:after="0" w:line="259" w:lineRule="auto"/>
        <w:tabs>
          <w:tab w:leader="none" w:pos="1600" w:val="left"/>
        </w:tabs>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44">
        <w:r>
          <w:rPr>
            <w:rFonts w:ascii="Arial" w:cs="Arial" w:eastAsia="Arial" w:hAnsi="Arial"/>
            <w:sz w:val="18"/>
            <w:szCs w:val="18"/>
            <w:u w:val="single" w:color="auto"/>
            <w:color w:val="0000FF"/>
          </w:rPr>
          <w:t>2023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Exhibit 4.19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333-208524).</w:t>
        </w:r>
      </w:hyperlink>
    </w:p>
    <w:p>
      <w:pPr>
        <w:spacing w:after="0" w:line="25" w:lineRule="exact"/>
        <w:rPr>
          <w:rFonts w:ascii="Arial" w:cs="Arial" w:eastAsia="Arial" w:hAnsi="Arial"/>
          <w:sz w:val="18"/>
          <w:szCs w:val="18"/>
          <w:u w:val="single" w:color="auto"/>
          <w:color w:val="0000FF"/>
        </w:rPr>
      </w:pPr>
    </w:p>
    <w:p>
      <w:pPr>
        <w:ind w:left="1620" w:right="120" w:hanging="476"/>
        <w:spacing w:after="0" w:line="259" w:lineRule="auto"/>
        <w:tabs>
          <w:tab w:leader="none" w:pos="1600" w:val="left"/>
        </w:tabs>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4.10</w:t>
        </w:r>
      </w:hyperlink>
      <w:r>
        <w:rPr>
          <w:rFonts w:ascii="Arial" w:cs="Arial" w:eastAsia="Arial" w:hAnsi="Arial"/>
          <w:sz w:val="18"/>
          <w:szCs w:val="18"/>
          <w:u w:val="single" w:color="auto"/>
          <w:color w:val="0000FF"/>
        </w:rPr>
        <w:tab/>
      </w:r>
      <w:hyperlink r:id="rId45">
        <w:r>
          <w:rPr>
            <w:rFonts w:ascii="Arial" w:cs="Arial" w:eastAsia="Arial" w:hAnsi="Arial"/>
            <w:sz w:val="18"/>
            <w:szCs w:val="18"/>
            <w:u w:val="single" w:color="auto"/>
            <w:color w:val="0000FF"/>
          </w:rPr>
          <w:t>2026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Exhibit 4.21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333-208524).</w:t>
        </w:r>
      </w:hyperlink>
    </w:p>
    <w:p>
      <w:pPr>
        <w:spacing w:after="0" w:line="25" w:lineRule="exact"/>
        <w:rPr>
          <w:rFonts w:ascii="Arial" w:cs="Arial" w:eastAsia="Arial" w:hAnsi="Arial"/>
          <w:sz w:val="18"/>
          <w:szCs w:val="18"/>
          <w:u w:val="single" w:color="auto"/>
          <w:color w:val="0000FF"/>
        </w:rPr>
      </w:pPr>
    </w:p>
    <w:p>
      <w:pPr>
        <w:ind w:left="1620" w:right="120" w:hanging="469"/>
        <w:spacing w:after="0" w:line="259" w:lineRule="auto"/>
        <w:tabs>
          <w:tab w:leader="none" w:pos="1600" w:val="left"/>
        </w:tabs>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4.11</w:t>
        </w:r>
      </w:hyperlink>
      <w:r>
        <w:rPr>
          <w:rFonts w:ascii="Arial" w:cs="Arial" w:eastAsia="Arial" w:hAnsi="Arial"/>
          <w:sz w:val="18"/>
          <w:szCs w:val="18"/>
          <w:u w:val="single" w:color="auto"/>
          <w:color w:val="0000FF"/>
        </w:rPr>
        <w:tab/>
      </w:r>
      <w:hyperlink r:id="rId46">
        <w:r>
          <w:rPr>
            <w:rFonts w:ascii="Arial" w:cs="Arial" w:eastAsia="Arial" w:hAnsi="Arial"/>
            <w:sz w:val="18"/>
            <w:szCs w:val="18"/>
            <w:u w:val="single" w:color="auto"/>
            <w:color w:val="0000FF"/>
          </w:rPr>
          <w:t>2036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Exhibit 4.23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333-208524).</w:t>
        </w:r>
      </w:hyperlink>
    </w:p>
    <w:p>
      <w:pPr>
        <w:spacing w:after="0" w:line="25" w:lineRule="exact"/>
        <w:rPr>
          <w:rFonts w:ascii="Arial" w:cs="Arial" w:eastAsia="Arial" w:hAnsi="Arial"/>
          <w:sz w:val="18"/>
          <w:szCs w:val="18"/>
          <w:u w:val="single" w:color="auto"/>
          <w:color w:val="0000FF"/>
        </w:rPr>
      </w:pPr>
    </w:p>
    <w:p>
      <w:pPr>
        <w:ind w:left="1620" w:right="120" w:hanging="476"/>
        <w:spacing w:after="0" w:line="259" w:lineRule="auto"/>
        <w:tabs>
          <w:tab w:leader="none" w:pos="1600" w:val="left"/>
        </w:tabs>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4.12</w:t>
        </w:r>
      </w:hyperlink>
      <w:r>
        <w:rPr>
          <w:rFonts w:ascii="Arial" w:cs="Arial" w:eastAsia="Arial" w:hAnsi="Arial"/>
          <w:sz w:val="18"/>
          <w:szCs w:val="18"/>
          <w:u w:val="single" w:color="auto"/>
          <w:color w:val="0000FF"/>
        </w:rPr>
        <w:tab/>
      </w:r>
      <w:hyperlink r:id="rId47">
        <w:r>
          <w:rPr>
            <w:rFonts w:ascii="Arial" w:cs="Arial" w:eastAsia="Arial" w:hAnsi="Arial"/>
            <w:sz w:val="18"/>
            <w:szCs w:val="18"/>
            <w:u w:val="single" w:color="auto"/>
            <w:color w:val="0000FF"/>
          </w:rPr>
          <w:t>2046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Exhibit 4.25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333-208524).</w:t>
        </w:r>
      </w:hyperlink>
    </w:p>
    <w:p>
      <w:pPr>
        <w:spacing w:after="0" w:line="25" w:lineRule="exact"/>
        <w:rPr>
          <w:rFonts w:ascii="Arial" w:cs="Arial" w:eastAsia="Arial" w:hAnsi="Arial"/>
          <w:sz w:val="18"/>
          <w:szCs w:val="18"/>
          <w:u w:val="single" w:color="auto"/>
          <w:color w:val="0000FF"/>
        </w:rPr>
      </w:pPr>
    </w:p>
    <w:p>
      <w:pPr>
        <w:ind w:left="1620" w:right="60" w:hanging="476"/>
        <w:spacing w:after="0" w:line="286" w:lineRule="auto"/>
        <w:tabs>
          <w:tab w:leader="none" w:pos="1600" w:val="left"/>
        </w:tabs>
        <w:rPr>
          <w:rFonts w:ascii="Arial" w:cs="Arial" w:eastAsia="Arial" w:hAnsi="Arial"/>
          <w:sz w:val="17"/>
          <w:szCs w:val="17"/>
          <w:u w:val="single" w:color="auto"/>
          <w:color w:val="0000FF"/>
        </w:rPr>
      </w:pPr>
      <w:hyperlink r:id="rId48">
        <w:r>
          <w:rPr>
            <w:rFonts w:ascii="Arial" w:cs="Arial" w:eastAsia="Arial" w:hAnsi="Arial"/>
            <w:sz w:val="18"/>
            <w:szCs w:val="18"/>
            <w:u w:val="single" w:color="auto"/>
            <w:color w:val="0000FF"/>
          </w:rPr>
          <w:t>4.13</w:t>
        </w:r>
      </w:hyperlink>
      <w:r>
        <w:rPr>
          <w:rFonts w:ascii="Arial" w:cs="Arial" w:eastAsia="Arial" w:hAnsi="Arial"/>
          <w:sz w:val="18"/>
          <w:szCs w:val="18"/>
          <w:u w:val="single" w:color="auto"/>
          <w:color w:val="0000FF"/>
        </w:rPr>
        <w:tab/>
      </w:r>
      <w:hyperlink r:id="rId48">
        <w:r>
          <w:rPr>
            <w:rFonts w:ascii="Arial" w:cs="Arial" w:eastAsia="Arial" w:hAnsi="Arial"/>
            <w:sz w:val="17"/>
            <w:szCs w:val="17"/>
            <w:u w:val="single" w:color="auto"/>
            <w:color w:val="0000FF"/>
          </w:rPr>
          <w:t>Base Indenture, dated as of June 22, 2016, among Diamond 1 Finance Corporation and Diamond 2 Finance Corporation, as issuers,</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and The Bank of New York Mellon Trust Company, N.A., as trustee (incorporated by reference to Exhibit 4.1 to the Company’s</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Current Report on Form 8-K filed with the Commission on June 22, 2016) (Commission File No. 333-208524).</w:t>
        </w:r>
      </w:hyperlink>
    </w:p>
    <w:p>
      <w:pPr>
        <w:spacing w:after="0" w:line="3" w:lineRule="exact"/>
        <w:rPr>
          <w:rFonts w:ascii="Arial" w:cs="Arial" w:eastAsia="Arial" w:hAnsi="Arial"/>
          <w:sz w:val="17"/>
          <w:szCs w:val="17"/>
          <w:u w:val="single" w:color="auto"/>
          <w:color w:val="0000FF"/>
        </w:rPr>
      </w:pPr>
    </w:p>
    <w:p>
      <w:pPr>
        <w:ind w:left="1620" w:right="280" w:hanging="476"/>
        <w:spacing w:after="0" w:line="305" w:lineRule="auto"/>
        <w:tabs>
          <w:tab w:leader="none" w:pos="1600" w:val="left"/>
        </w:tabs>
        <w:rPr>
          <w:rFonts w:ascii="Arial" w:cs="Arial" w:eastAsia="Arial" w:hAnsi="Arial"/>
          <w:sz w:val="16"/>
          <w:szCs w:val="16"/>
          <w:u w:val="single" w:color="auto"/>
          <w:color w:val="0000FF"/>
        </w:rPr>
      </w:pPr>
      <w:hyperlink r:id="rId49">
        <w:r>
          <w:rPr>
            <w:rFonts w:ascii="Arial" w:cs="Arial" w:eastAsia="Arial" w:hAnsi="Arial"/>
            <w:sz w:val="18"/>
            <w:szCs w:val="18"/>
            <w:u w:val="single" w:color="auto"/>
            <w:color w:val="0000FF"/>
          </w:rPr>
          <w:t>4.14</w:t>
        </w:r>
      </w:hyperlink>
      <w:r>
        <w:rPr>
          <w:rFonts w:ascii="Arial" w:cs="Arial" w:eastAsia="Arial" w:hAnsi="Arial"/>
          <w:sz w:val="18"/>
          <w:szCs w:val="18"/>
          <w:u w:val="single" w:color="auto"/>
          <w:color w:val="0000FF"/>
        </w:rPr>
        <w:tab/>
      </w:r>
      <w:hyperlink r:id="rId49">
        <w:r>
          <w:rPr>
            <w:rFonts w:ascii="Arial" w:cs="Arial" w:eastAsia="Arial" w:hAnsi="Arial"/>
            <w:sz w:val="16"/>
            <w:szCs w:val="16"/>
            <w:u w:val="single" w:color="auto"/>
            <w:color w:val="0000FF"/>
          </w:rPr>
          <w:t>2021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Corporation and The Bank of New York Mellon Trust Company, N.A., as trustee (incorporated by reference to Exhibit 4.2 to the</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Company’s Current Report on Form 8-K filed with the Commission on June 22, 2016) (Commission File No. 333-208524).</w:t>
        </w:r>
      </w:hyperlink>
    </w:p>
    <w:p>
      <w:pPr>
        <w:spacing w:after="0" w:line="1" w:lineRule="exact"/>
        <w:rPr>
          <w:rFonts w:ascii="Arial" w:cs="Arial" w:eastAsia="Arial" w:hAnsi="Arial"/>
          <w:sz w:val="16"/>
          <w:szCs w:val="16"/>
          <w:u w:val="single" w:color="auto"/>
          <w:color w:val="0000FF"/>
        </w:rPr>
      </w:pPr>
    </w:p>
    <w:p>
      <w:pPr>
        <w:ind w:left="1620" w:right="280" w:hanging="476"/>
        <w:spacing w:after="0" w:line="305" w:lineRule="auto"/>
        <w:tabs>
          <w:tab w:leader="none" w:pos="1600" w:val="left"/>
        </w:tabs>
        <w:rPr>
          <w:rFonts w:ascii="Arial" w:cs="Arial" w:eastAsia="Arial" w:hAnsi="Arial"/>
          <w:sz w:val="16"/>
          <w:szCs w:val="16"/>
          <w:u w:val="single" w:color="auto"/>
          <w:color w:val="0000FF"/>
        </w:rPr>
      </w:pPr>
      <w:hyperlink r:id="rId50">
        <w:r>
          <w:rPr>
            <w:rFonts w:ascii="Arial" w:cs="Arial" w:eastAsia="Arial" w:hAnsi="Arial"/>
            <w:sz w:val="18"/>
            <w:szCs w:val="18"/>
            <w:u w:val="single" w:color="auto"/>
            <w:color w:val="0000FF"/>
          </w:rPr>
          <w:t>4.15</w:t>
        </w:r>
      </w:hyperlink>
      <w:r>
        <w:rPr>
          <w:rFonts w:ascii="Arial" w:cs="Arial" w:eastAsia="Arial" w:hAnsi="Arial"/>
          <w:sz w:val="18"/>
          <w:szCs w:val="18"/>
          <w:u w:val="single" w:color="auto"/>
          <w:color w:val="0000FF"/>
        </w:rPr>
        <w:tab/>
      </w:r>
      <w:hyperlink r:id="rId50">
        <w:r>
          <w:rPr>
            <w:rFonts w:ascii="Arial" w:cs="Arial" w:eastAsia="Arial" w:hAnsi="Arial"/>
            <w:sz w:val="16"/>
            <w:szCs w:val="16"/>
            <w:u w:val="single" w:color="auto"/>
            <w:color w:val="0000FF"/>
          </w:rPr>
          <w:t>2024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Corporation and The Bank of New York Mellon Trust Company, N.A., as trustee (incorporated by reference to Exhibit 4.3 to the</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Company’s Current Report on Form 8-K filed with the Commission on June 22, 2016) (Commission File No. 333-208524).</w:t>
        </w:r>
      </w:hyperlink>
    </w:p>
    <w:p>
      <w:pPr>
        <w:spacing w:after="0" w:line="1" w:lineRule="exact"/>
        <w:rPr>
          <w:rFonts w:ascii="Arial" w:cs="Arial" w:eastAsia="Arial" w:hAnsi="Arial"/>
          <w:sz w:val="16"/>
          <w:szCs w:val="16"/>
          <w:u w:val="single" w:color="auto"/>
          <w:color w:val="0000FF"/>
        </w:rPr>
      </w:pPr>
    </w:p>
    <w:p>
      <w:pPr>
        <w:ind w:left="1620" w:hanging="476"/>
        <w:spacing w:after="0" w:line="259" w:lineRule="auto"/>
        <w:tabs>
          <w:tab w:leader="none" w:pos="1600" w:val="left"/>
        </w:tabs>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4.16</w:t>
        </w:r>
      </w:hyperlink>
      <w:r>
        <w:rPr>
          <w:rFonts w:ascii="Arial" w:cs="Arial" w:eastAsia="Arial" w:hAnsi="Arial"/>
          <w:sz w:val="18"/>
          <w:szCs w:val="18"/>
          <w:u w:val="single" w:color="auto"/>
          <w:color w:val="0000FF"/>
        </w:rPr>
        <w:tab/>
      </w:r>
      <w:hyperlink r:id="rId51">
        <w:r>
          <w:rPr>
            <w:rFonts w:ascii="Arial" w:cs="Arial" w:eastAsia="Arial" w:hAnsi="Arial"/>
            <w:sz w:val="18"/>
            <w:szCs w:val="18"/>
            <w:u w:val="single" w:color="auto"/>
            <w:color w:val="0000FF"/>
          </w:rPr>
          <w:t>First Supplemental Indenture, dated as of September 6, 2016, by and among Diamond 1 Finance Corporation, Diamond 2 Finance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Exhibit 4.1 to the Company’s Current Report on Form 8-K filed with the Commission on September 9, 2016) (Commission File No.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001-37867).</w:t>
        </w:r>
      </w:hyperlink>
    </w:p>
    <w:p>
      <w:pPr>
        <w:spacing w:after="0" w:line="25" w:lineRule="exact"/>
        <w:rPr>
          <w:rFonts w:ascii="Arial" w:cs="Arial" w:eastAsia="Arial" w:hAnsi="Arial"/>
          <w:sz w:val="18"/>
          <w:szCs w:val="18"/>
          <w:u w:val="single" w:color="auto"/>
          <w:color w:val="0000FF"/>
        </w:rPr>
      </w:pPr>
    </w:p>
    <w:p>
      <w:pPr>
        <w:ind w:left="1620" w:right="60" w:hanging="476"/>
        <w:spacing w:after="0" w:line="295" w:lineRule="auto"/>
        <w:tabs>
          <w:tab w:leader="none" w:pos="1600" w:val="left"/>
        </w:tabs>
        <w:rPr>
          <w:rFonts w:ascii="Arial" w:cs="Arial" w:eastAsia="Arial" w:hAnsi="Arial"/>
          <w:sz w:val="16"/>
          <w:szCs w:val="16"/>
          <w:u w:val="single" w:color="auto"/>
          <w:color w:val="0000FF"/>
        </w:rPr>
      </w:pPr>
      <w:hyperlink r:id="rId52">
        <w:r>
          <w:rPr>
            <w:rFonts w:ascii="Arial" w:cs="Arial" w:eastAsia="Arial" w:hAnsi="Arial"/>
            <w:sz w:val="18"/>
            <w:szCs w:val="18"/>
            <w:u w:val="single" w:color="auto"/>
            <w:color w:val="0000FF"/>
          </w:rPr>
          <w:t>4.17</w:t>
        </w:r>
      </w:hyperlink>
      <w:r>
        <w:rPr>
          <w:rFonts w:ascii="Arial" w:cs="Arial" w:eastAsia="Arial" w:hAnsi="Arial"/>
          <w:sz w:val="18"/>
          <w:szCs w:val="18"/>
          <w:u w:val="single" w:color="auto"/>
          <w:color w:val="0000FF"/>
        </w:rPr>
        <w:tab/>
      </w:r>
      <w:hyperlink r:id="rId52">
        <w:r>
          <w:rPr>
            <w:rFonts w:ascii="Arial" w:cs="Arial" w:eastAsia="Arial" w:hAnsi="Arial"/>
            <w:sz w:val="16"/>
            <w:szCs w:val="16"/>
            <w:u w:val="single" w:color="auto"/>
            <w:color w:val="0000FF"/>
          </w:rPr>
          <w:t>2019 Notes Supplemental Indenture No. 2, 2021 Notes Supplemental Indenture No. 2, 2023 Notes Supplemental Indenture No. 2,</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2026 Notes Supplemental Indenture No. 2, 2036 Notes Supplemental Indenture No. 2 and 2046 Notes Supplemental Indenture No.</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2, dated as of September 7, 2016, by and among Dell International L.L.C., EMC Corporation, New Dell International LLC and The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Bank of New York Mellon Trust Company, N.A., as trustee and collateral agent (incorporated by reference to Exhibit 4.2 to the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3" w:lineRule="exact"/>
        <w:rPr>
          <w:rFonts w:ascii="Arial" w:cs="Arial" w:eastAsia="Arial" w:hAnsi="Arial"/>
          <w:sz w:val="16"/>
          <w:szCs w:val="16"/>
          <w:u w:val="single" w:color="auto"/>
          <w:color w:val="0000FF"/>
        </w:rPr>
      </w:pPr>
    </w:p>
    <w:p>
      <w:pPr>
        <w:ind w:left="1620" w:right="20" w:hanging="476"/>
        <w:spacing w:after="0" w:line="273" w:lineRule="auto"/>
        <w:tabs>
          <w:tab w:leader="none" w:pos="1600" w:val="left"/>
        </w:tabs>
        <w:rPr>
          <w:rFonts w:ascii="Arial" w:cs="Arial" w:eastAsia="Arial" w:hAnsi="Arial"/>
          <w:sz w:val="17"/>
          <w:szCs w:val="17"/>
          <w:u w:val="single" w:color="auto"/>
          <w:color w:val="0000FF"/>
        </w:rPr>
      </w:pPr>
      <w:hyperlink r:id="rId53">
        <w:r>
          <w:rPr>
            <w:rFonts w:ascii="Arial" w:cs="Arial" w:eastAsia="Arial" w:hAnsi="Arial"/>
            <w:sz w:val="18"/>
            <w:szCs w:val="18"/>
            <w:u w:val="single" w:color="auto"/>
            <w:color w:val="0000FF"/>
          </w:rPr>
          <w:t>4.18</w:t>
        </w:r>
      </w:hyperlink>
      <w:r>
        <w:rPr>
          <w:rFonts w:ascii="Arial" w:cs="Arial" w:eastAsia="Arial" w:hAnsi="Arial"/>
          <w:sz w:val="18"/>
          <w:szCs w:val="18"/>
          <w:u w:val="single" w:color="auto"/>
          <w:color w:val="0000FF"/>
        </w:rPr>
        <w:tab/>
      </w:r>
      <w:hyperlink r:id="rId53">
        <w:r>
          <w:rPr>
            <w:rFonts w:ascii="Arial" w:cs="Arial" w:eastAsia="Arial" w:hAnsi="Arial"/>
            <w:sz w:val="17"/>
            <w:szCs w:val="17"/>
            <w:u w:val="single" w:color="auto"/>
            <w:color w:val="0000FF"/>
          </w:rPr>
          <w:t>2019 Notes Supplemental Indenture No. 3, 2021 Notes Supplemental Indenture No. 3, 2023 Notes Supplemental Indenture No. 3,</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2026 Notes Supplemental Indenture No. 3, 2036 Notes Supplemental Indenture No. 3 and 2046 Notes Supplemental Indenture No.</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3, dated as of September 7, 2016, by and among Dell International L.L.C., EMC Corporation, Dell Technologies Inc., Denali</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Intermediate Inc., Dell Inc., the other guarantors named therein and The Bank of New York Mellon Trust Company, N.A., as trustee</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and collateral agent (incorporated by reference to Exhibit 4.3 to the Company’s Current Report on Form 8-K filed with the</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Commission on September 9, 2016) (Commission File No. 001-37867).</w:t>
        </w:r>
      </w:hyperlink>
    </w:p>
    <w:p>
      <w:pPr>
        <w:sectPr>
          <w:pgSz w:w="11900" w:h="16838" w:orient="portrait"/>
          <w:cols w:equalWidth="0" w:num="1">
            <w:col w:w="11140"/>
          </w:cols>
          <w:pgMar w:left="320" w:top="125" w:right="439" w:bottom="1440" w:gutter="0" w:footer="0" w:header="0"/>
        </w:sectPr>
      </w:pPr>
    </w:p>
    <w:p>
      <w:pPr>
        <w:spacing w:after="0" w:line="200" w:lineRule="exact"/>
        <w:rPr>
          <w:rFonts w:ascii="Arial" w:cs="Arial" w:eastAsia="Arial" w:hAnsi="Arial"/>
          <w:sz w:val="17"/>
          <w:szCs w:val="17"/>
          <w:u w:val="single" w:color="auto"/>
          <w:color w:val="0000FF"/>
        </w:rPr>
      </w:pPr>
    </w:p>
    <w:p>
      <w:pPr>
        <w:spacing w:after="0" w:line="221" w:lineRule="exact"/>
        <w:rPr>
          <w:rFonts w:ascii="Arial" w:cs="Arial" w:eastAsia="Arial" w:hAnsi="Arial"/>
          <w:sz w:val="17"/>
          <w:szCs w:val="17"/>
          <w:u w:val="single" w:color="auto"/>
          <w:color w:val="0000FF"/>
        </w:rPr>
      </w:pPr>
    </w:p>
    <w:p>
      <w:pPr>
        <w:jc w:val="center"/>
        <w:ind w:right="-99"/>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140"/>
          </w:cols>
          <w:pgMar w:left="320" w:top="125" w:right="4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620" w:hanging="476"/>
        <w:spacing w:after="0" w:line="295" w:lineRule="auto"/>
        <w:tabs>
          <w:tab w:leader="none" w:pos="1600" w:val="left"/>
        </w:tabs>
        <w:rPr>
          <w:rFonts w:ascii="Arial" w:cs="Arial" w:eastAsia="Arial" w:hAnsi="Arial"/>
          <w:sz w:val="16"/>
          <w:szCs w:val="16"/>
          <w:u w:val="single" w:color="auto"/>
          <w:color w:val="0000FF"/>
        </w:rPr>
      </w:pPr>
      <w:hyperlink r:id="rId54">
        <w:r>
          <w:rPr>
            <w:rFonts w:ascii="Arial" w:cs="Arial" w:eastAsia="Arial" w:hAnsi="Arial"/>
            <w:sz w:val="18"/>
            <w:szCs w:val="18"/>
            <w:u w:val="single" w:color="auto"/>
            <w:color w:val="0000FF"/>
          </w:rPr>
          <w:t>4.19</w:t>
        </w:r>
      </w:hyperlink>
      <w:r>
        <w:rPr>
          <w:rFonts w:ascii="Arial" w:cs="Arial" w:eastAsia="Arial" w:hAnsi="Arial"/>
          <w:sz w:val="18"/>
          <w:szCs w:val="18"/>
          <w:u w:val="single" w:color="auto"/>
          <w:color w:val="0000FF"/>
        </w:rPr>
        <w:tab/>
      </w:r>
      <w:hyperlink r:id="rId54">
        <w:r>
          <w:rPr>
            <w:rFonts w:ascii="Arial" w:cs="Arial" w:eastAsia="Arial" w:hAnsi="Arial"/>
            <w:sz w:val="16"/>
            <w:szCs w:val="16"/>
            <w:u w:val="single" w:color="auto"/>
            <w:color w:val="0000FF"/>
          </w:rPr>
          <w:t>Registration Rights Agreement, dated as of June 1, 2016, among Diamond 1 Finance Corporation, Diamond 2 Finance Corporation</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and J.P. Morgan Securities LLC, Credit Suisse Securities (USA) LLC, Merrill Lynch, Pierce, Fenner &amp; Smith Incorporated, Barclays</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Capital Inc., Citigroup Global Markets Inc., Goldman, Sachs &amp; Co., Deutsche Bank Securities Inc. and RBC Capital Markets, LLC,</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as the representatives of the several initial purchasers (incorporated by reference to Exhibit 4.4 to the Company’s Current Report on</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Form 8-K filed with the Commission on September 9, 2016) (Commission File No. 001-37867).</w:t>
        </w:r>
      </w:hyperlink>
    </w:p>
    <w:p>
      <w:pPr>
        <w:spacing w:after="0" w:line="3" w:lineRule="exact"/>
        <w:rPr>
          <w:rFonts w:ascii="Arial" w:cs="Arial" w:eastAsia="Arial" w:hAnsi="Arial"/>
          <w:sz w:val="16"/>
          <w:szCs w:val="16"/>
          <w:u w:val="single" w:color="auto"/>
          <w:color w:val="0000FF"/>
        </w:rPr>
      </w:pPr>
    </w:p>
    <w:p>
      <w:pPr>
        <w:ind w:left="1620" w:right="100" w:hanging="476"/>
        <w:spacing w:after="0" w:line="273" w:lineRule="auto"/>
        <w:tabs>
          <w:tab w:leader="none" w:pos="1600" w:val="left"/>
        </w:tabs>
        <w:rPr>
          <w:rFonts w:ascii="Arial" w:cs="Arial" w:eastAsia="Arial" w:hAnsi="Arial"/>
          <w:sz w:val="17"/>
          <w:szCs w:val="17"/>
          <w:u w:val="single" w:color="auto"/>
          <w:color w:val="0000FF"/>
        </w:rPr>
      </w:pPr>
      <w:hyperlink r:id="rId55">
        <w:r>
          <w:rPr>
            <w:rFonts w:ascii="Arial" w:cs="Arial" w:eastAsia="Arial" w:hAnsi="Arial"/>
            <w:sz w:val="18"/>
            <w:szCs w:val="18"/>
            <w:u w:val="single" w:color="auto"/>
            <w:color w:val="0000FF"/>
          </w:rPr>
          <w:t>4.20</w:t>
        </w:r>
      </w:hyperlink>
      <w:r>
        <w:rPr>
          <w:rFonts w:ascii="Arial" w:cs="Arial" w:eastAsia="Arial" w:hAnsi="Arial"/>
          <w:sz w:val="18"/>
          <w:szCs w:val="18"/>
          <w:u w:val="single" w:color="auto"/>
          <w:color w:val="0000FF"/>
        </w:rPr>
        <w:tab/>
      </w:r>
      <w:hyperlink r:id="rId55">
        <w:r>
          <w:rPr>
            <w:rFonts w:ascii="Arial" w:cs="Arial" w:eastAsia="Arial" w:hAnsi="Arial"/>
            <w:sz w:val="17"/>
            <w:szCs w:val="17"/>
            <w:u w:val="single" w:color="auto"/>
            <w:color w:val="0000FF"/>
          </w:rPr>
          <w:t>Joinder Agreement to Registration Rights Agreement, dated as of September 7, 2016, among Dell International L.L.C., EMC</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Corporation, Dell Technologies Inc., Denali Intermediate Inc., Dell Inc., the other guarantors named therein and J.P. Morgan</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Securities LLC, Credit Suisse Securities (USA) LLC, Merrill Lynch, Pierce, Fenner &amp; Smith Incorporated, Barclays Capital Inc.,</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Citigroup Global Markets Inc., Goldman, Sachs &amp; Co., Deutsche Bank Securities Inc. and RBC Capital Markets, LLC, as the</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representatives of the several initial purchasers (incorporated by reference to Exhibit 4.5 to the Company’s Current Report on Form</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8-K filed with the Commission on September 9, 2016) (Commission File No. 001-37867).</w:t>
        </w:r>
      </w:hyperlink>
    </w:p>
    <w:p>
      <w:pPr>
        <w:spacing w:after="0" w:line="16" w:lineRule="exact"/>
        <w:rPr>
          <w:rFonts w:ascii="Arial" w:cs="Arial" w:eastAsia="Arial" w:hAnsi="Arial"/>
          <w:sz w:val="17"/>
          <w:szCs w:val="17"/>
          <w:u w:val="single" w:color="auto"/>
          <w:color w:val="0000FF"/>
        </w:rPr>
      </w:pPr>
    </w:p>
    <w:p>
      <w:pPr>
        <w:ind w:left="1620" w:right="200" w:hanging="476"/>
        <w:spacing w:after="0" w:line="305" w:lineRule="auto"/>
        <w:tabs>
          <w:tab w:leader="none" w:pos="1600" w:val="left"/>
        </w:tabs>
        <w:rPr>
          <w:rFonts w:ascii="Arial" w:cs="Arial" w:eastAsia="Arial" w:hAnsi="Arial"/>
          <w:sz w:val="16"/>
          <w:szCs w:val="16"/>
          <w:u w:val="single" w:color="auto"/>
          <w:color w:val="0000FF"/>
        </w:rPr>
      </w:pPr>
      <w:hyperlink r:id="rId56">
        <w:r>
          <w:rPr>
            <w:rFonts w:ascii="Arial" w:cs="Arial" w:eastAsia="Arial" w:hAnsi="Arial"/>
            <w:sz w:val="18"/>
            <w:szCs w:val="18"/>
            <w:u w:val="single" w:color="auto"/>
            <w:color w:val="0000FF"/>
          </w:rPr>
          <w:t>4.21</w:t>
        </w:r>
      </w:hyperlink>
      <w:r>
        <w:rPr>
          <w:rFonts w:ascii="Arial" w:cs="Arial" w:eastAsia="Arial" w:hAnsi="Arial"/>
          <w:sz w:val="18"/>
          <w:szCs w:val="18"/>
          <w:u w:val="single" w:color="auto"/>
          <w:color w:val="0000FF"/>
        </w:rPr>
        <w:tab/>
      </w:r>
      <w:hyperlink r:id="rId56">
        <w:r>
          <w:rPr>
            <w:rFonts w:ascii="Arial" w:cs="Arial" w:eastAsia="Arial" w:hAnsi="Arial"/>
            <w:sz w:val="16"/>
            <w:szCs w:val="16"/>
            <w:u w:val="single" w:color="auto"/>
            <w:color w:val="0000FF"/>
          </w:rPr>
          <w:t>First Supplemental Indenture, dated as of September 6, 2016, by and among Diamond 1 Finance Corporation, Diamond 2 Finance</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Corporation and The Bank of New York Mellon Trust Company, N.A., as trustee (incorporated by reference to Exhibit 4.6 to the</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rFonts w:ascii="Arial" w:cs="Arial" w:eastAsia="Arial" w:hAnsi="Arial"/>
          <w:sz w:val="16"/>
          <w:szCs w:val="16"/>
          <w:u w:val="single" w:color="auto"/>
          <w:color w:val="0000FF"/>
        </w:rPr>
      </w:pPr>
    </w:p>
    <w:p>
      <w:pPr>
        <w:ind w:left="1620" w:right="380" w:hanging="476"/>
        <w:spacing w:after="0" w:line="259" w:lineRule="auto"/>
        <w:tabs>
          <w:tab w:leader="none" w:pos="1600" w:val="left"/>
        </w:tabs>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4.22</w:t>
        </w:r>
      </w:hyperlink>
      <w:r>
        <w:rPr>
          <w:rFonts w:ascii="Arial" w:cs="Arial" w:eastAsia="Arial" w:hAnsi="Arial"/>
          <w:sz w:val="18"/>
          <w:szCs w:val="18"/>
          <w:u w:val="single" w:color="auto"/>
          <w:color w:val="0000FF"/>
        </w:rPr>
        <w:tab/>
      </w:r>
      <w:hyperlink r:id="rId57">
        <w:r>
          <w:rPr>
            <w:rFonts w:ascii="Arial" w:cs="Arial" w:eastAsia="Arial" w:hAnsi="Arial"/>
            <w:sz w:val="18"/>
            <w:szCs w:val="18"/>
            <w:u w:val="single" w:color="auto"/>
            <w:color w:val="0000FF"/>
          </w:rPr>
          <w:t>2021 Notes Supplemental Indenture No. 2, dated as of September 7, 2016, by and among Dell International L.L.C., EMC</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Corporation, New Dell International LLC and The Bank of New York Mellon Trust Company, N.A., as trustee (incorporated by</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reference to Exhibit 4.7 to the Company’s Current Report on Form 8-K filed with the Commission on September 9, 2016)</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(Commission File No. 001-37867).</w:t>
        </w:r>
      </w:hyperlink>
    </w:p>
    <w:p>
      <w:pPr>
        <w:spacing w:after="0" w:line="25" w:lineRule="exact"/>
        <w:rPr>
          <w:rFonts w:ascii="Arial" w:cs="Arial" w:eastAsia="Arial" w:hAnsi="Arial"/>
          <w:sz w:val="18"/>
          <w:szCs w:val="18"/>
          <w:u w:val="single" w:color="auto"/>
          <w:color w:val="0000FF"/>
        </w:rPr>
      </w:pPr>
    </w:p>
    <w:p>
      <w:pPr>
        <w:ind w:left="1620" w:right="20" w:hanging="476"/>
        <w:spacing w:after="0" w:line="279" w:lineRule="auto"/>
        <w:tabs>
          <w:tab w:leader="none" w:pos="1600" w:val="left"/>
        </w:tabs>
        <w:rPr>
          <w:rFonts w:ascii="Arial" w:cs="Arial" w:eastAsia="Arial" w:hAnsi="Arial"/>
          <w:sz w:val="17"/>
          <w:szCs w:val="17"/>
          <w:u w:val="single" w:color="auto"/>
          <w:color w:val="0000FF"/>
        </w:rPr>
      </w:pPr>
      <w:hyperlink r:id="rId58">
        <w:r>
          <w:rPr>
            <w:rFonts w:ascii="Arial" w:cs="Arial" w:eastAsia="Arial" w:hAnsi="Arial"/>
            <w:sz w:val="18"/>
            <w:szCs w:val="18"/>
            <w:u w:val="single" w:color="auto"/>
            <w:color w:val="0000FF"/>
          </w:rPr>
          <w:t>4.23</w:t>
        </w:r>
      </w:hyperlink>
      <w:r>
        <w:rPr>
          <w:rFonts w:ascii="Arial" w:cs="Arial" w:eastAsia="Arial" w:hAnsi="Arial"/>
          <w:sz w:val="18"/>
          <w:szCs w:val="18"/>
          <w:u w:val="single" w:color="auto"/>
          <w:color w:val="0000FF"/>
        </w:rPr>
        <w:tab/>
      </w:r>
      <w:hyperlink r:id="rId58">
        <w:r>
          <w:rPr>
            <w:rFonts w:ascii="Arial" w:cs="Arial" w:eastAsia="Arial" w:hAnsi="Arial"/>
            <w:sz w:val="17"/>
            <w:szCs w:val="17"/>
            <w:u w:val="single" w:color="auto"/>
            <w:color w:val="0000FF"/>
          </w:rPr>
          <w:t>2021 Notes Supplemental Indenture No. 3, dated as of September 7, 2016, by and among Dell International L.L.C., EMC</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Corporation, Dell Technologies Inc., Denali Intermediate Inc., Dell Inc., the other guarantors named therein and The Bank of New</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York Mellon Trust Company, N.A., as trustee (incorporated by reference to Exhibit 4.8 to the Company’s Current Report on Form 8-</w:t>
        </w:r>
      </w:hyperlink>
      <w:hyperlink r:id="rId58">
        <w:r>
          <w:rPr>
            <w:rFonts w:ascii="Arial" w:cs="Arial" w:eastAsia="Arial" w:hAnsi="Arial"/>
            <w:sz w:val="17"/>
            <w:szCs w:val="17"/>
            <w:u w:val="single" w:color="auto"/>
            <w:color w:val="0000FF"/>
          </w:rPr>
          <w:t>K filed with the Commission on September 9, 2016) (Commission File No. 001-37867).</w:t>
        </w:r>
      </w:hyperlink>
    </w:p>
    <w:p>
      <w:pPr>
        <w:spacing w:after="0" w:line="9" w:lineRule="exact"/>
        <w:rPr>
          <w:rFonts w:ascii="Arial" w:cs="Arial" w:eastAsia="Arial" w:hAnsi="Arial"/>
          <w:sz w:val="17"/>
          <w:szCs w:val="17"/>
          <w:u w:val="single" w:color="auto"/>
          <w:color w:val="0000FF"/>
        </w:rPr>
      </w:pPr>
    </w:p>
    <w:p>
      <w:pPr>
        <w:ind w:left="1620" w:right="380" w:hanging="476"/>
        <w:spacing w:after="0" w:line="259" w:lineRule="auto"/>
        <w:tabs>
          <w:tab w:leader="none" w:pos="1600" w:val="left"/>
        </w:tabs>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4.24</w:t>
        </w:r>
      </w:hyperlink>
      <w:r>
        <w:rPr>
          <w:rFonts w:ascii="Arial" w:cs="Arial" w:eastAsia="Arial" w:hAnsi="Arial"/>
          <w:sz w:val="18"/>
          <w:szCs w:val="18"/>
          <w:u w:val="single" w:color="auto"/>
          <w:color w:val="0000FF"/>
        </w:rPr>
        <w:tab/>
      </w:r>
      <w:hyperlink r:id="rId59">
        <w:r>
          <w:rPr>
            <w:rFonts w:ascii="Arial" w:cs="Arial" w:eastAsia="Arial" w:hAnsi="Arial"/>
            <w:sz w:val="18"/>
            <w:szCs w:val="18"/>
            <w:u w:val="single" w:color="auto"/>
            <w:color w:val="0000FF"/>
          </w:rPr>
          <w:t>2024 Notes Supplemental Indenture No. 2, dated as of September 7, 2016, by and among Dell International L.L.C., EMC</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Corporation, New Dell International LLC and The Bank of New York Mellon Trust Company, N.A., as trustee (incorporated by</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reference to Exhibit 4.9 to the Company’s Current Report on Form 8-K filed with the Commission on September 9, 2016)</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(Commission File No. 001-37867).</w:t>
        </w:r>
      </w:hyperlink>
    </w:p>
    <w:p>
      <w:pPr>
        <w:spacing w:after="0" w:line="25" w:lineRule="exact"/>
        <w:rPr>
          <w:rFonts w:ascii="Arial" w:cs="Arial" w:eastAsia="Arial" w:hAnsi="Arial"/>
          <w:sz w:val="18"/>
          <w:szCs w:val="18"/>
          <w:u w:val="single" w:color="auto"/>
          <w:color w:val="0000FF"/>
        </w:rPr>
      </w:pPr>
    </w:p>
    <w:p>
      <w:pPr>
        <w:ind w:left="1620" w:right="120" w:hanging="476"/>
        <w:spacing w:after="0" w:line="279" w:lineRule="auto"/>
        <w:tabs>
          <w:tab w:leader="none" w:pos="1600" w:val="left"/>
        </w:tabs>
        <w:rPr>
          <w:rFonts w:ascii="Arial" w:cs="Arial" w:eastAsia="Arial" w:hAnsi="Arial"/>
          <w:sz w:val="17"/>
          <w:szCs w:val="17"/>
          <w:u w:val="single" w:color="auto"/>
          <w:color w:val="0000FF"/>
        </w:rPr>
      </w:pPr>
      <w:hyperlink r:id="rId60">
        <w:r>
          <w:rPr>
            <w:rFonts w:ascii="Arial" w:cs="Arial" w:eastAsia="Arial" w:hAnsi="Arial"/>
            <w:sz w:val="18"/>
            <w:szCs w:val="18"/>
            <w:u w:val="single" w:color="auto"/>
            <w:color w:val="0000FF"/>
          </w:rPr>
          <w:t>4.25</w:t>
        </w:r>
      </w:hyperlink>
      <w:r>
        <w:rPr>
          <w:rFonts w:ascii="Arial" w:cs="Arial" w:eastAsia="Arial" w:hAnsi="Arial"/>
          <w:sz w:val="18"/>
          <w:szCs w:val="18"/>
          <w:u w:val="single" w:color="auto"/>
          <w:color w:val="0000FF"/>
        </w:rPr>
        <w:tab/>
      </w:r>
      <w:hyperlink r:id="rId60">
        <w:r>
          <w:rPr>
            <w:rFonts w:ascii="Arial" w:cs="Arial" w:eastAsia="Arial" w:hAnsi="Arial"/>
            <w:sz w:val="17"/>
            <w:szCs w:val="17"/>
            <w:u w:val="single" w:color="auto"/>
            <w:color w:val="0000FF"/>
          </w:rPr>
          <w:t>2024 Notes Supplemental Indenture No 3. dated as of September 7, 2016, by and among Dell International L.L.C., EMC</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Corporation, Dell Technologies Inc., Denali Intermediate Inc., Dell Inc., the other guarantors named therein and The Bank of New</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York Mellon Trust Company, N.A., as trustee (incorporated by reference to Exhibit 4.10 to the Company’s Current Report on Form</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8-K filed with the Commission on September 9, 2016) (Commission File No. 001-37867).</w:t>
        </w:r>
      </w:hyperlink>
    </w:p>
    <w:p>
      <w:pPr>
        <w:spacing w:after="0" w:line="9" w:lineRule="exact"/>
        <w:rPr>
          <w:rFonts w:ascii="Arial" w:cs="Arial" w:eastAsia="Arial" w:hAnsi="Arial"/>
          <w:sz w:val="17"/>
          <w:szCs w:val="17"/>
          <w:u w:val="single" w:color="auto"/>
          <w:color w:val="0000FF"/>
        </w:rPr>
      </w:pPr>
    </w:p>
    <w:p>
      <w:pPr>
        <w:jc w:val="center"/>
        <w:ind w:left="900"/>
        <w:spacing w:after="0"/>
        <w:tabs>
          <w:tab w:leader="none" w:pos="140" w:val="left"/>
        </w:tabs>
        <w:rPr>
          <w:rFonts w:ascii="Arial" w:cs="Arial" w:eastAsia="Arial" w:hAnsi="Arial"/>
          <w:sz w:val="16"/>
          <w:szCs w:val="16"/>
          <w:u w:val="single" w:color="auto"/>
          <w:color w:val="0000FF"/>
        </w:rPr>
      </w:pPr>
      <w:hyperlink r:id="rId61">
        <w:r>
          <w:rPr>
            <w:rFonts w:ascii="Arial" w:cs="Arial" w:eastAsia="Arial" w:hAnsi="Arial"/>
            <w:sz w:val="18"/>
            <w:szCs w:val="18"/>
            <w:u w:val="single" w:color="auto"/>
            <w:color w:val="0000FF"/>
          </w:rPr>
          <w:t>4.26</w:t>
        </w:r>
      </w:hyperlink>
      <w:r>
        <w:rPr>
          <w:rFonts w:ascii="Arial" w:cs="Arial" w:eastAsia="Arial" w:hAnsi="Arial"/>
          <w:sz w:val="18"/>
          <w:szCs w:val="18"/>
          <w:u w:val="single" w:color="auto"/>
          <w:color w:val="0000FF"/>
        </w:rPr>
        <w:tab/>
      </w:r>
      <w:hyperlink r:id="rId61">
        <w:r>
          <w:rPr>
            <w:rFonts w:ascii="Arial" w:cs="Arial" w:eastAsia="Arial" w:hAnsi="Arial"/>
            <w:sz w:val="16"/>
            <w:szCs w:val="16"/>
            <w:u w:val="single" w:color="auto"/>
            <w:color w:val="0000FF"/>
          </w:rPr>
          <w:t>Security Agreement, dated as of September 7, 2016, among Dell International L.L.C., EMC Corporation, Denali Intermediate Inc.,</w:t>
        </w:r>
      </w:hyperlink>
    </w:p>
    <w:p>
      <w:pPr>
        <w:spacing w:after="0" w:line="23" w:lineRule="exact"/>
        <w:rPr>
          <w:sz w:val="20"/>
          <w:szCs w:val="20"/>
          <w:color w:val="auto"/>
        </w:rPr>
      </w:pPr>
    </w:p>
    <w:p>
      <w:pPr>
        <w:ind w:left="1620" w:right="60"/>
        <w:spacing w:after="0" w:line="255" w:lineRule="auto"/>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Dell Inc., the other grantors party thereto and The Bank of New York Mellon Trust Company, N.A., as notes collateral agent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(incorporated by reference to Exhibit 4.11 to the Company’s Quarterly Report on Form 10-Q for the quarterly period ended October</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28, 2016) (Commission File No. 001-37867).</w:t>
        </w:r>
      </w:hyperlink>
    </w:p>
    <w:p>
      <w:pPr>
        <w:spacing w:after="0" w:line="28" w:lineRule="exact"/>
        <w:rPr>
          <w:rFonts w:ascii="Arial" w:cs="Arial" w:eastAsia="Arial" w:hAnsi="Arial"/>
          <w:sz w:val="18"/>
          <w:szCs w:val="18"/>
          <w:u w:val="single" w:color="auto"/>
          <w:color w:val="0000FF"/>
        </w:rPr>
      </w:pPr>
    </w:p>
    <w:p>
      <w:pPr>
        <w:jc w:val="both"/>
        <w:ind w:left="1620" w:right="160" w:hanging="476"/>
        <w:spacing w:after="0" w:line="287" w:lineRule="auto"/>
        <w:tabs>
          <w:tab w:leader="none" w:pos="1600" w:val="left"/>
        </w:tabs>
        <w:rPr>
          <w:rFonts w:ascii="Arial" w:cs="Arial" w:eastAsia="Arial" w:hAnsi="Arial"/>
          <w:sz w:val="16"/>
          <w:szCs w:val="16"/>
          <w:u w:val="single" w:color="auto"/>
          <w:color w:val="0000FF"/>
        </w:rPr>
      </w:pPr>
      <w:hyperlink r:id="rId62">
        <w:r>
          <w:rPr>
            <w:rFonts w:ascii="Arial" w:cs="Arial" w:eastAsia="Arial" w:hAnsi="Arial"/>
            <w:sz w:val="18"/>
            <w:szCs w:val="18"/>
            <w:u w:val="single" w:color="auto"/>
            <w:color w:val="0000FF"/>
          </w:rPr>
          <w:t>4.27</w:t>
        </w:r>
      </w:hyperlink>
      <w:r>
        <w:rPr>
          <w:rFonts w:ascii="Arial" w:cs="Arial" w:eastAsia="Arial" w:hAnsi="Arial"/>
          <w:sz w:val="18"/>
          <w:szCs w:val="18"/>
          <w:u w:val="single" w:color="auto"/>
          <w:color w:val="0000FF"/>
        </w:rPr>
        <w:tab/>
      </w:r>
      <w:hyperlink r:id="rId62">
        <w:r>
          <w:rPr>
            <w:rFonts w:ascii="Arial" w:cs="Arial" w:eastAsia="Arial" w:hAnsi="Arial"/>
            <w:sz w:val="16"/>
            <w:szCs w:val="16"/>
            <w:u w:val="single" w:color="auto"/>
            <w:color w:val="0000FF"/>
          </w:rPr>
          <w:t>2021 Notes Supplemental Indenture No. 4, dated as of May 23, 2017, by and among Dell International L.L.C., EMC Corporation,</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Dell Global Holdings XIII L.L.C., QTZ L.L.C. and The Bank of New York Mellon Trust Company, N.A., as Trustee (incorporated</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by reference to Exhibit 4.30 to the Company’s Annual Report on Form 10-K for the fiscal year ended February 1, 2019)</w:t>
        </w:r>
      </w:hyperlink>
    </w:p>
    <w:p>
      <w:pPr>
        <w:spacing w:after="0" w:line="2" w:lineRule="exact"/>
        <w:rPr>
          <w:rFonts w:ascii="Arial" w:cs="Arial" w:eastAsia="Arial" w:hAnsi="Arial"/>
          <w:sz w:val="16"/>
          <w:szCs w:val="16"/>
          <w:u w:val="single" w:color="auto"/>
          <w:color w:val="0000FF"/>
        </w:rPr>
      </w:pPr>
    </w:p>
    <w:p>
      <w:pPr>
        <w:ind w:left="162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(Commission File No. 001-37867).</w:t>
        </w:r>
      </w:hyperlink>
    </w:p>
    <w:p>
      <w:pPr>
        <w:spacing w:after="0" w:line="49" w:lineRule="exact"/>
        <w:rPr>
          <w:rFonts w:ascii="Arial" w:cs="Arial" w:eastAsia="Arial" w:hAnsi="Arial"/>
          <w:sz w:val="16"/>
          <w:szCs w:val="16"/>
          <w:u w:val="single" w:color="auto"/>
          <w:color w:val="0000FF"/>
        </w:rPr>
      </w:pPr>
    </w:p>
    <w:p>
      <w:pPr>
        <w:jc w:val="both"/>
        <w:ind w:left="1620" w:right="160" w:hanging="476"/>
        <w:spacing w:after="0" w:line="287" w:lineRule="auto"/>
        <w:tabs>
          <w:tab w:leader="none" w:pos="1600" w:val="left"/>
        </w:tabs>
        <w:rPr>
          <w:rFonts w:ascii="Arial" w:cs="Arial" w:eastAsia="Arial" w:hAnsi="Arial"/>
          <w:sz w:val="16"/>
          <w:szCs w:val="16"/>
          <w:u w:val="single" w:color="auto"/>
          <w:color w:val="0000FF"/>
        </w:rPr>
      </w:pPr>
      <w:hyperlink r:id="rId63">
        <w:r>
          <w:rPr>
            <w:rFonts w:ascii="Arial" w:cs="Arial" w:eastAsia="Arial" w:hAnsi="Arial"/>
            <w:sz w:val="18"/>
            <w:szCs w:val="18"/>
            <w:u w:val="single" w:color="auto"/>
            <w:color w:val="0000FF"/>
          </w:rPr>
          <w:t>4.28</w:t>
        </w:r>
      </w:hyperlink>
      <w:r>
        <w:rPr>
          <w:rFonts w:ascii="Arial" w:cs="Arial" w:eastAsia="Arial" w:hAnsi="Arial"/>
          <w:sz w:val="18"/>
          <w:szCs w:val="18"/>
          <w:u w:val="single" w:color="auto"/>
          <w:color w:val="0000FF"/>
        </w:rPr>
        <w:tab/>
      </w:r>
      <w:hyperlink r:id="rId63">
        <w:r>
          <w:rPr>
            <w:rFonts w:ascii="Arial" w:cs="Arial" w:eastAsia="Arial" w:hAnsi="Arial"/>
            <w:sz w:val="16"/>
            <w:szCs w:val="16"/>
            <w:u w:val="single" w:color="auto"/>
            <w:color w:val="0000FF"/>
          </w:rPr>
          <w:t>2024 Notes Supplemental Indenture No. 4, dated as of May 23, 2017, by and among Dell International L.L.C., EMC Corporation,</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Dell Global Holdings XIII L.L.C., QTZ L.L.C. and The Bank of New York Mellon Trust Company, N.A., as Trustee (incorporated</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by reference to Exhibit 4.31 to the Company’s Annual Report on Form 10-K for the fiscal year ended February 1, 2019)</w:t>
        </w:r>
      </w:hyperlink>
    </w:p>
    <w:p>
      <w:pPr>
        <w:spacing w:after="0" w:line="2" w:lineRule="exact"/>
        <w:rPr>
          <w:rFonts w:ascii="Arial" w:cs="Arial" w:eastAsia="Arial" w:hAnsi="Arial"/>
          <w:sz w:val="16"/>
          <w:szCs w:val="16"/>
          <w:u w:val="single" w:color="auto"/>
          <w:color w:val="0000FF"/>
        </w:rPr>
      </w:pPr>
    </w:p>
    <w:p>
      <w:pPr>
        <w:ind w:left="162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(Commission File No. 001-37867).</w:t>
        </w:r>
      </w:hyperlink>
    </w:p>
    <w:p>
      <w:pPr>
        <w:spacing w:after="0" w:line="49" w:lineRule="exact"/>
        <w:rPr>
          <w:rFonts w:ascii="Arial" w:cs="Arial" w:eastAsia="Arial" w:hAnsi="Arial"/>
          <w:sz w:val="16"/>
          <w:szCs w:val="16"/>
          <w:u w:val="single" w:color="auto"/>
          <w:color w:val="0000FF"/>
        </w:rPr>
      </w:pPr>
    </w:p>
    <w:p>
      <w:pPr>
        <w:ind w:left="1620" w:right="40" w:hanging="476"/>
        <w:spacing w:after="0" w:line="255" w:lineRule="auto"/>
        <w:tabs>
          <w:tab w:leader="none" w:pos="1600" w:val="left"/>
        </w:tabs>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4.29</w:t>
        </w:r>
      </w:hyperlink>
      <w:r>
        <w:rPr>
          <w:rFonts w:ascii="Arial" w:cs="Arial" w:eastAsia="Arial" w:hAnsi="Arial"/>
          <w:sz w:val="18"/>
          <w:szCs w:val="18"/>
          <w:u w:val="single" w:color="auto"/>
          <w:color w:val="0000FF"/>
        </w:rPr>
        <w:tab/>
      </w:r>
      <w:hyperlink r:id="rId64">
        <w:r>
          <w:rPr>
            <w:rFonts w:ascii="Arial" w:cs="Arial" w:eastAsia="Arial" w:hAnsi="Arial"/>
            <w:sz w:val="18"/>
            <w:szCs w:val="18"/>
            <w:u w:val="single" w:color="auto"/>
            <w:color w:val="0000FF"/>
          </w:rPr>
          <w:t>2019 Notes Supplemental Indenture No. 4, 2021 Notes Supplemental Indenture No. 4, 2023 Notes Supplemental Indenture No. 4,</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2026 Notes Supplemental Indenture No. 4, 2036 Notes Supplemental Indenture No. 4 and 2046 Notes Supplemental Indenture No.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4, dated as of May 23, 2017, by and among Dell International L.L.C., EMC Corporation, Dell Global Holdings XIII L.L.C., QTZ</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L.L.C.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Exhibit 4.32 to the Company’s Annual Report on Form 10-K for the fiscal year ended February 1, 2019) (Commission File No. 001-</w:t>
        </w:r>
      </w:hyperlink>
      <w:hyperlink r:id="rId64">
        <w:r>
          <w:rPr>
            <w:rFonts w:ascii="Arial" w:cs="Arial" w:eastAsia="Arial" w:hAnsi="Arial"/>
            <w:sz w:val="18"/>
            <w:szCs w:val="18"/>
            <w:u w:val="single" w:color="auto"/>
            <w:color w:val="0000FF"/>
          </w:rPr>
          <w:t>37867).</w:t>
        </w:r>
      </w:hyperlink>
    </w:p>
    <w:p>
      <w:pPr>
        <w:spacing w:after="0" w:line="30" w:lineRule="exact"/>
        <w:rPr>
          <w:rFonts w:ascii="Arial" w:cs="Arial" w:eastAsia="Arial" w:hAnsi="Arial"/>
          <w:sz w:val="18"/>
          <w:szCs w:val="18"/>
          <w:u w:val="single" w:color="auto"/>
          <w:color w:val="0000FF"/>
        </w:rPr>
      </w:pPr>
    </w:p>
    <w:p>
      <w:pPr>
        <w:ind w:left="1620" w:right="40" w:hanging="476"/>
        <w:spacing w:after="0" w:line="263" w:lineRule="auto"/>
        <w:tabs>
          <w:tab w:leader="none" w:pos="160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4.30</w:t>
        </w:r>
      </w:hyperlink>
      <w:r>
        <w:rPr>
          <w:rFonts w:ascii="Arial" w:cs="Arial" w:eastAsia="Arial" w:hAnsi="Arial"/>
          <w:sz w:val="18"/>
          <w:szCs w:val="18"/>
          <w:u w:val="single" w:color="auto"/>
          <w:color w:val="0000FF"/>
        </w:rPr>
        <w:tab/>
      </w:r>
      <w:hyperlink r:id="rId66">
        <w:r>
          <w:rPr>
            <w:rFonts w:ascii="Arial" w:cs="Arial" w:eastAsia="Arial" w:hAnsi="Arial"/>
            <w:sz w:val="18"/>
            <w:szCs w:val="18"/>
            <w:u w:val="single" w:color="auto"/>
            <w:color w:val="0000FF"/>
          </w:rPr>
          <w:t>Joinder Agreement to Registration Rights Agreement, dated as of May 23, 2017, by Dell Global Holdings XIII L.L.C. and QTZ</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L.L.C. (incorporated by reference to Exhibit 4.33 to the Company’s Annual Report on Form 10-K for the fiscal year ended February</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1, 2019) (Commission File No. 001-37867).</w:t>
        </w:r>
      </w:hyperlink>
    </w:p>
    <w:p>
      <w:pPr>
        <w:spacing w:after="0" w:line="200" w:lineRule="exact"/>
        <w:rPr>
          <w:rFonts w:ascii="Arial" w:cs="Arial" w:eastAsia="Arial" w:hAnsi="Arial"/>
          <w:sz w:val="18"/>
          <w:szCs w:val="18"/>
          <w:u w:val="single" w:color="auto"/>
          <w:color w:val="0000FF"/>
        </w:rPr>
      </w:pPr>
    </w:p>
    <w:p>
      <w:pPr>
        <w:spacing w:after="0" w:line="227"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320" w:top="125" w:right="39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620" w:right="200" w:hanging="476"/>
        <w:spacing w:after="0" w:line="259" w:lineRule="auto"/>
        <w:tabs>
          <w:tab w:leader="none" w:pos="1600" w:val="left"/>
        </w:tabs>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4.31</w:t>
        </w:r>
      </w:hyperlink>
      <w:r>
        <w:rPr>
          <w:rFonts w:ascii="Arial" w:cs="Arial" w:eastAsia="Arial" w:hAnsi="Arial"/>
          <w:sz w:val="18"/>
          <w:szCs w:val="18"/>
          <w:u w:val="single" w:color="auto"/>
          <w:color w:val="0000FF"/>
        </w:rPr>
        <w:tab/>
      </w:r>
      <w:hyperlink r:id="rId67">
        <w:r>
          <w:rPr>
            <w:rFonts w:ascii="Arial" w:cs="Arial" w:eastAsia="Arial" w:hAnsi="Arial"/>
            <w:sz w:val="18"/>
            <w:szCs w:val="18"/>
            <w:u w:val="single" w:color="auto"/>
            <w:color w:val="0000FF"/>
          </w:rPr>
          <w:t>Base Indenture, dated as of March 20, 2019, among Dell International L.L.C, EMC Corporation, the guarantors party thereto and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The Bank of New York Mellon Trust Company, N.A., as Trustee and Notes Collateral Agent (incorporated by reference to Exhibit</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4.1 to the Company’s Current Report on Form 8-K filed with the Commission on March 21, 2019) (Commission File No. 001-</w:t>
        </w:r>
      </w:hyperlink>
      <w:hyperlink r:id="rId67">
        <w:r>
          <w:rPr>
            <w:rFonts w:ascii="Arial" w:cs="Arial" w:eastAsia="Arial" w:hAnsi="Arial"/>
            <w:sz w:val="18"/>
            <w:szCs w:val="18"/>
            <w:u w:val="single" w:color="auto"/>
            <w:color w:val="0000FF"/>
          </w:rPr>
          <w:t>37867).</w:t>
        </w:r>
      </w:hyperlink>
    </w:p>
    <w:p>
      <w:pPr>
        <w:spacing w:after="0" w:line="241" w:lineRule="exact"/>
        <w:rPr>
          <w:rFonts w:ascii="Arial" w:cs="Arial" w:eastAsia="Arial" w:hAnsi="Arial"/>
          <w:sz w:val="18"/>
          <w:szCs w:val="18"/>
          <w:u w:val="single" w:color="auto"/>
          <w:color w:val="0000FF"/>
        </w:rPr>
      </w:pPr>
    </w:p>
    <w:p>
      <w:pPr>
        <w:ind w:left="1620" w:right="260" w:hanging="476"/>
        <w:spacing w:after="0" w:line="259" w:lineRule="auto"/>
        <w:tabs>
          <w:tab w:leader="none" w:pos="1600" w:val="left"/>
        </w:tabs>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4.32</w:t>
        </w:r>
      </w:hyperlink>
      <w:r>
        <w:rPr>
          <w:rFonts w:ascii="Arial" w:cs="Arial" w:eastAsia="Arial" w:hAnsi="Arial"/>
          <w:sz w:val="18"/>
          <w:szCs w:val="18"/>
          <w:u w:val="single" w:color="auto"/>
          <w:color w:val="0000FF"/>
        </w:rPr>
        <w:tab/>
      </w:r>
      <w:hyperlink r:id="rId68">
        <w:r>
          <w:rPr>
            <w:rFonts w:ascii="Arial" w:cs="Arial" w:eastAsia="Arial" w:hAnsi="Arial"/>
            <w:sz w:val="18"/>
            <w:szCs w:val="18"/>
            <w:u w:val="single" w:color="auto"/>
            <w:color w:val="0000FF"/>
          </w:rPr>
          <w:t>2024 Notes Supplemental Indenture No. 1, dated as of March 20, 2019, among Dell International L.L.C, EMC Corporation, the</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(incorporated by reference to Exhibit 4.2 to the Company’s Current Report on Form 8-K filed with the Commission on March 21,</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2019) (Commission File No. 001-37867).</w:t>
        </w:r>
      </w:hyperlink>
    </w:p>
    <w:p>
      <w:pPr>
        <w:spacing w:after="0" w:line="241" w:lineRule="exact"/>
        <w:rPr>
          <w:rFonts w:ascii="Arial" w:cs="Arial" w:eastAsia="Arial" w:hAnsi="Arial"/>
          <w:sz w:val="18"/>
          <w:szCs w:val="18"/>
          <w:u w:val="single" w:color="auto"/>
          <w:color w:val="0000FF"/>
        </w:rPr>
      </w:pPr>
    </w:p>
    <w:p>
      <w:pPr>
        <w:ind w:left="1620" w:right="260" w:hanging="476"/>
        <w:spacing w:after="0" w:line="259" w:lineRule="auto"/>
        <w:tabs>
          <w:tab w:leader="none" w:pos="160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4.33</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2026 Notes Supplemental Indenture No. 1, dated as of March 20, 2019, among Dell International L.L.C, EMC Corporation,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(incorporated by reference to Exhibit 4.3 to the Company’s Current Report on Form 8-K filed with the Commission on March 21,</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2019) (Commission File No. 001-37867).</w:t>
        </w:r>
      </w:hyperlink>
    </w:p>
    <w:p>
      <w:pPr>
        <w:spacing w:after="0" w:line="241" w:lineRule="exact"/>
        <w:rPr>
          <w:rFonts w:ascii="Arial" w:cs="Arial" w:eastAsia="Arial" w:hAnsi="Arial"/>
          <w:sz w:val="18"/>
          <w:szCs w:val="18"/>
          <w:u w:val="single" w:color="auto"/>
          <w:color w:val="0000FF"/>
        </w:rPr>
      </w:pPr>
    </w:p>
    <w:p>
      <w:pPr>
        <w:ind w:left="1620" w:right="260" w:hanging="521"/>
        <w:spacing w:after="0" w:line="259" w:lineRule="auto"/>
        <w:tabs>
          <w:tab w:leader="none" w:pos="1600" w:val="left"/>
        </w:tabs>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4.34</w:t>
        </w:r>
      </w:hyperlink>
      <w:r>
        <w:rPr>
          <w:rFonts w:ascii="Arial" w:cs="Arial" w:eastAsia="Arial" w:hAnsi="Arial"/>
          <w:sz w:val="18"/>
          <w:szCs w:val="18"/>
          <w:u w:val="single" w:color="auto"/>
          <w:color w:val="0000FF"/>
        </w:rPr>
        <w:tab/>
      </w:r>
      <w:hyperlink r:id="rId70">
        <w:r>
          <w:rPr>
            <w:rFonts w:ascii="Arial" w:cs="Arial" w:eastAsia="Arial" w:hAnsi="Arial"/>
            <w:sz w:val="18"/>
            <w:szCs w:val="18"/>
            <w:u w:val="single" w:color="auto"/>
            <w:color w:val="0000FF"/>
          </w:rPr>
          <w:t>2029 Notes Supplemental Indenture No. 1, dated as of March 20, 2019, among Dell International L.L.C, EMC Corporation,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(incorporated by reference to Exhibit 4.4 to the Company’s Current Report on Form 8-K filed with the Commission on March 21,</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2019) (Commission File No. 001-37867).</w:t>
        </w:r>
      </w:hyperlink>
    </w:p>
    <w:p>
      <w:pPr>
        <w:spacing w:after="0" w:line="241" w:lineRule="exact"/>
        <w:rPr>
          <w:rFonts w:ascii="Arial" w:cs="Arial" w:eastAsia="Arial" w:hAnsi="Arial"/>
          <w:sz w:val="18"/>
          <w:szCs w:val="18"/>
          <w:u w:val="single" w:color="auto"/>
          <w:color w:val="0000FF"/>
        </w:rPr>
      </w:pPr>
    </w:p>
    <w:p>
      <w:pPr>
        <w:ind w:left="1620" w:hanging="476"/>
        <w:spacing w:after="0" w:line="257" w:lineRule="auto"/>
        <w:tabs>
          <w:tab w:leader="none" w:pos="1600" w:val="left"/>
        </w:tabs>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4.35</w:t>
        </w:r>
      </w:hyperlink>
      <w:r>
        <w:rPr>
          <w:rFonts w:ascii="Arial" w:cs="Arial" w:eastAsia="Arial" w:hAnsi="Arial"/>
          <w:sz w:val="18"/>
          <w:szCs w:val="18"/>
          <w:u w:val="single" w:color="auto"/>
          <w:color w:val="0000FF"/>
        </w:rPr>
        <w:tab/>
      </w:r>
      <w:hyperlink r:id="rId71">
        <w:r>
          <w:rPr>
            <w:rFonts w:ascii="Arial" w:cs="Arial" w:eastAsia="Arial" w:hAnsi="Arial"/>
            <w:sz w:val="18"/>
            <w:szCs w:val="18"/>
            <w:u w:val="single" w:color="auto"/>
            <w:color w:val="0000FF"/>
          </w:rPr>
          <w:t>Registration Rights Agreement, dated as of March 20, 2019, among Dell International L.L.C, EMC Corporation, the guarantors party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thereto and Merrill Lynch, Pierce, Fenner &amp; Smith Incorporated, Barclays Capital Inc., Citigroup Global Markets, Credit Suisse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Securities (USA) LLC, Goldman, Sachs &amp; Co. and J.P. Morgan Securities LLC, as the representatives for the initial purchasers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(incorporated by reference to Exhibit 4.5 to the Company’s Current Report on Form 8-K filed with the Commission on March 21,</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2019) (Commission File No. 001-37867).</w:t>
        </w:r>
      </w:hyperlink>
    </w:p>
    <w:p>
      <w:pPr>
        <w:spacing w:after="0" w:line="26" w:lineRule="exact"/>
        <w:rPr>
          <w:rFonts w:ascii="Arial" w:cs="Arial" w:eastAsia="Arial" w:hAnsi="Arial"/>
          <w:sz w:val="18"/>
          <w:szCs w:val="18"/>
          <w:u w:val="single" w:color="auto"/>
          <w:color w:val="0000FF"/>
        </w:rPr>
      </w:pPr>
    </w:p>
    <w:p>
      <w:pPr>
        <w:ind w:left="1620" w:right="140" w:hanging="476"/>
        <w:spacing w:after="0" w:line="259" w:lineRule="auto"/>
        <w:tabs>
          <w:tab w:leader="none" w:pos="160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4.36</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2024 Notes Supplemental Indenture No. 5, dated as of March 20, 2019, among Dell International L.L.C, EMC Corporation,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guarantors party thereto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4.10 to the Company’s Current Report on Form 8-K filed with the Commission on March 21, 2019) (Commission File No. 001-</w:t>
        </w:r>
      </w:hyperlink>
      <w:hyperlink r:id="rId72">
        <w:r>
          <w:rPr>
            <w:rFonts w:ascii="Arial" w:cs="Arial" w:eastAsia="Arial" w:hAnsi="Arial"/>
            <w:sz w:val="18"/>
            <w:szCs w:val="18"/>
            <w:u w:val="single" w:color="auto"/>
            <w:color w:val="0000FF"/>
          </w:rPr>
          <w:t>37867).</w:t>
        </w:r>
      </w:hyperlink>
    </w:p>
    <w:p>
      <w:pPr>
        <w:spacing w:after="0" w:line="241" w:lineRule="exact"/>
        <w:rPr>
          <w:rFonts w:ascii="Arial" w:cs="Arial" w:eastAsia="Arial" w:hAnsi="Arial"/>
          <w:sz w:val="18"/>
          <w:szCs w:val="18"/>
          <w:u w:val="single" w:color="auto"/>
          <w:color w:val="0000FF"/>
        </w:rPr>
      </w:pPr>
    </w:p>
    <w:p>
      <w:pPr>
        <w:ind w:left="1620" w:hanging="476"/>
        <w:spacing w:after="0" w:line="259" w:lineRule="auto"/>
        <w:tabs>
          <w:tab w:leader="none" w:pos="1600" w:val="left"/>
        </w:tabs>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4.37</w:t>
        </w:r>
      </w:hyperlink>
      <w:r>
        <w:rPr>
          <w:rFonts w:ascii="Arial" w:cs="Arial" w:eastAsia="Arial" w:hAnsi="Arial"/>
          <w:sz w:val="18"/>
          <w:szCs w:val="18"/>
          <w:u w:val="single" w:color="auto"/>
          <w:color w:val="0000FF"/>
        </w:rPr>
        <w:tab/>
      </w:r>
      <w:hyperlink r:id="rId73">
        <w:r>
          <w:rPr>
            <w:rFonts w:ascii="Arial" w:cs="Arial" w:eastAsia="Arial" w:hAnsi="Arial"/>
            <w:sz w:val="18"/>
            <w:szCs w:val="18"/>
            <w:u w:val="single" w:color="auto"/>
            <w:color w:val="0000FF"/>
          </w:rPr>
          <w:t>Supplemental Indenture No. 5, dated as of March 20, 2019, among Dell International L.L.C, EMC Corporation, the guarantors party</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thereto and The Bank of New York Mellon Trust Company, N.A., as Trustee and Notes Collateral Agent (incorporated by reference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to Exhibit 4.11 to the Company’s Current Report on Form 8-K filed with the Commission on March 21, 2019) (Commission File No.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001-37867).</w:t>
        </w:r>
      </w:hyperlink>
    </w:p>
    <w:p>
      <w:pPr>
        <w:spacing w:after="0" w:line="241" w:lineRule="exact"/>
        <w:rPr>
          <w:rFonts w:ascii="Arial" w:cs="Arial" w:eastAsia="Arial" w:hAnsi="Arial"/>
          <w:sz w:val="18"/>
          <w:szCs w:val="18"/>
          <w:u w:val="single" w:color="auto"/>
          <w:color w:val="0000FF"/>
        </w:rPr>
      </w:pPr>
    </w:p>
    <w:p>
      <w:pPr>
        <w:ind w:left="1620" w:right="280" w:hanging="476"/>
        <w:spacing w:after="0" w:line="316" w:lineRule="auto"/>
        <w:tabs>
          <w:tab w:leader="none" w:pos="1600" w:val="left"/>
        </w:tabs>
        <w:rPr>
          <w:rFonts w:ascii="Arial" w:cs="Arial" w:eastAsia="Arial" w:hAnsi="Arial"/>
          <w:sz w:val="16"/>
          <w:szCs w:val="16"/>
          <w:u w:val="single" w:color="auto"/>
          <w:color w:val="0000FF"/>
        </w:rPr>
      </w:pPr>
      <w:hyperlink r:id="rId74">
        <w:r>
          <w:rPr>
            <w:rFonts w:ascii="Arial" w:cs="Arial" w:eastAsia="Arial" w:hAnsi="Arial"/>
            <w:sz w:val="18"/>
            <w:szCs w:val="18"/>
            <w:u w:val="single" w:color="auto"/>
            <w:color w:val="0000FF"/>
          </w:rPr>
          <w:t>4.38</w:t>
        </w:r>
      </w:hyperlink>
      <w:r>
        <w:rPr>
          <w:rFonts w:ascii="Arial" w:cs="Arial" w:eastAsia="Arial" w:hAnsi="Arial"/>
          <w:sz w:val="18"/>
          <w:szCs w:val="18"/>
          <w:u w:val="single" w:color="auto"/>
          <w:color w:val="0000FF"/>
        </w:rPr>
        <w:tab/>
      </w:r>
      <w:hyperlink r:id="rId74">
        <w:r>
          <w:rPr>
            <w:rFonts w:ascii="Arial" w:cs="Arial" w:eastAsia="Arial" w:hAnsi="Arial"/>
            <w:sz w:val="16"/>
            <w:szCs w:val="16"/>
            <w:u w:val="single" w:color="auto"/>
            <w:color w:val="0000FF"/>
          </w:rPr>
          <w:t>Joinder Agreement to the Registration Rights Agreement, dated March 20, 2019 (incorporated by reference to Exhibit 4.12 to the</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Company’s Current Report on Form 8-K filed with the Commission on March 21, 2019) (Commission File No. 001-37867).</w:t>
        </w:r>
      </w:hyperlink>
    </w:p>
    <w:p>
      <w:pPr>
        <w:spacing w:after="0" w:line="2" w:lineRule="exact"/>
        <w:rPr>
          <w:rFonts w:ascii="Arial" w:cs="Arial" w:eastAsia="Arial" w:hAnsi="Arial"/>
          <w:sz w:val="18"/>
          <w:szCs w:val="18"/>
          <w:u w:val="single" w:color="auto"/>
          <w:color w:val="0000FF"/>
        </w:rPr>
      </w:pPr>
    </w:p>
    <w:p>
      <w:pPr>
        <w:ind w:left="1620" w:hanging="476"/>
        <w:spacing w:after="0" w:line="255" w:lineRule="auto"/>
        <w:tabs>
          <w:tab w:leader="none" w:pos="1600" w:val="left"/>
        </w:tabs>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4.39</w:t>
        </w:r>
      </w:hyperlink>
      <w:r>
        <w:rPr>
          <w:rFonts w:ascii="Arial" w:cs="Arial" w:eastAsia="Arial" w:hAnsi="Arial"/>
          <w:sz w:val="18"/>
          <w:szCs w:val="18"/>
          <w:u w:val="single" w:color="auto"/>
          <w:color w:val="0000FF"/>
        </w:rPr>
        <w:tab/>
      </w:r>
      <w:hyperlink r:id="rId75">
        <w:r>
          <w:rPr>
            <w:rFonts w:ascii="Arial" w:cs="Arial" w:eastAsia="Arial" w:hAnsi="Arial"/>
            <w:sz w:val="18"/>
            <w:szCs w:val="18"/>
            <w:u w:val="single" w:color="auto"/>
            <w:color w:val="0000FF"/>
          </w:rPr>
          <w:t>Second Amended and Restated Registration Rights Agreement, dated as of December 25, 2018, by and among the Company,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Michael S. Dell, Susan Lieberman Dell Separate Property Trust, MSDC Denali Investors, L.P., MSDC Denali EIV, LLC, Silver Lake</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Partners III, L.P., Silver Lake Technology Investors III, L.P., Silver Lake Partners IV, L.P., Silver Lake Technology Investors IV, L.P.,</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SLP Denali Co-Invest, L.P., Venezio Investments Pte. Ltd. and the Management Stockholders party thereto (incorporated by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reference to Exhibit 10.4 to the Company’s Current Report on Form 8-K filed with the Commission on December 28, 2018)</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(Commission File No. 001-37867).</w:t>
        </w:r>
      </w:hyperlink>
    </w:p>
    <w:p>
      <w:pPr>
        <w:spacing w:after="0" w:line="30" w:lineRule="exact"/>
        <w:rPr>
          <w:rFonts w:ascii="Arial" w:cs="Arial" w:eastAsia="Arial" w:hAnsi="Arial"/>
          <w:sz w:val="18"/>
          <w:szCs w:val="18"/>
          <w:u w:val="single" w:color="auto"/>
          <w:color w:val="0000FF"/>
        </w:rPr>
      </w:pPr>
    </w:p>
    <w:p>
      <w:pPr>
        <w:ind w:left="1620" w:right="320" w:hanging="656"/>
        <w:spacing w:after="0" w:line="299" w:lineRule="auto"/>
        <w:tabs>
          <w:tab w:leader="none" w:pos="1600" w:val="left"/>
        </w:tabs>
        <w:rPr>
          <w:rFonts w:ascii="Arial" w:cs="Arial" w:eastAsia="Arial" w:hAnsi="Arial"/>
          <w:sz w:val="16"/>
          <w:szCs w:val="16"/>
          <w:u w:val="single" w:color="auto"/>
          <w:color w:val="0000FF"/>
        </w:rPr>
      </w:pPr>
      <w:hyperlink w:anchor="page198">
        <w:r>
          <w:rPr>
            <w:rFonts w:ascii="Arial" w:cs="Arial" w:eastAsia="Arial" w:hAnsi="Arial"/>
            <w:sz w:val="18"/>
            <w:szCs w:val="18"/>
            <w:u w:val="single" w:color="auto"/>
            <w:color w:val="0000FF"/>
          </w:rPr>
          <w:t>4.40††</w:t>
        </w:r>
      </w:hyperlink>
      <w:r>
        <w:rPr>
          <w:rFonts w:ascii="Arial" w:cs="Arial" w:eastAsia="Arial" w:hAnsi="Arial"/>
          <w:sz w:val="18"/>
          <w:szCs w:val="18"/>
          <w:u w:val="single" w:color="auto"/>
          <w:color w:val="0000FF"/>
        </w:rPr>
        <w:tab/>
      </w:r>
      <w:hyperlink w:anchor="page198">
        <w:r>
          <w:rPr>
            <w:rFonts w:ascii="Arial" w:cs="Arial" w:eastAsia="Arial" w:hAnsi="Arial"/>
            <w:sz w:val="16"/>
            <w:szCs w:val="16"/>
            <w:u w:val="single" w:color="auto"/>
            <w:color w:val="0000FF"/>
          </w:rPr>
          <w:t>Amendment No. 1 to Second Amended and Restated Registration Rights Agreement, dated as of May 27, 2019, among Dell</w:t>
        </w:r>
      </w:hyperlink>
      <w:r>
        <w:rPr>
          <w:rFonts w:ascii="Arial" w:cs="Arial" w:eastAsia="Arial" w:hAnsi="Arial"/>
          <w:sz w:val="16"/>
          <w:szCs w:val="16"/>
          <w:u w:val="single" w:color="auto"/>
          <w:color w:val="0000FF"/>
        </w:rPr>
        <w:t xml:space="preserve"> </w:t>
      </w:r>
      <w:hyperlink w:anchor="page198">
        <w:r>
          <w:rPr>
            <w:rFonts w:ascii="Arial" w:cs="Arial" w:eastAsia="Arial" w:hAnsi="Arial"/>
            <w:sz w:val="16"/>
            <w:szCs w:val="16"/>
            <w:u w:val="single" w:color="auto"/>
            <w:color w:val="0000FF"/>
          </w:rPr>
          <w:t>Technologies Inc., Michael S. Dell, Susan Lieberman Dell Separate Property Trust, MSDC Denali Investors, L.P., MSDC Denali</w:t>
        </w:r>
      </w:hyperlink>
      <w:r>
        <w:rPr>
          <w:rFonts w:ascii="Arial" w:cs="Arial" w:eastAsia="Arial" w:hAnsi="Arial"/>
          <w:sz w:val="16"/>
          <w:szCs w:val="16"/>
          <w:u w:val="single" w:color="auto"/>
          <w:color w:val="0000FF"/>
        </w:rPr>
        <w:t xml:space="preserve"> </w:t>
      </w:r>
      <w:hyperlink w:anchor="page198">
        <w:r>
          <w:rPr>
            <w:rFonts w:ascii="Arial" w:cs="Arial" w:eastAsia="Arial" w:hAnsi="Arial"/>
            <w:sz w:val="16"/>
            <w:szCs w:val="16"/>
            <w:u w:val="single" w:color="auto"/>
            <w:color w:val="0000FF"/>
          </w:rPr>
          <w:t>EIV, LLC, SL SPV-2, L.P., Silver Lake Partners IV, L.P., Silver Lake Technology Investors IV, L.P., Silver Lake Partners V DE</w:t>
        </w:r>
      </w:hyperlink>
      <w:r>
        <w:rPr>
          <w:rFonts w:ascii="Arial" w:cs="Arial" w:eastAsia="Arial" w:hAnsi="Arial"/>
          <w:sz w:val="16"/>
          <w:szCs w:val="16"/>
          <w:u w:val="single" w:color="auto"/>
          <w:color w:val="0000FF"/>
        </w:rPr>
        <w:t xml:space="preserve"> </w:t>
      </w:r>
      <w:hyperlink w:anchor="page198">
        <w:r>
          <w:rPr>
            <w:rFonts w:ascii="Arial" w:cs="Arial" w:eastAsia="Arial" w:hAnsi="Arial"/>
            <w:sz w:val="16"/>
            <w:szCs w:val="16"/>
            <w:u w:val="single" w:color="auto"/>
            <w:color w:val="0000FF"/>
          </w:rPr>
          <w:t>(AIV), L.P., Silver Lake Technology Investors V, L.P., SLP Denali Co-Invest, L.P. and Venezio Investments Pte. Ltd.</w:t>
        </w:r>
      </w:hyperlink>
    </w:p>
    <w:p>
      <w:pPr>
        <w:spacing w:after="0" w:line="1" w:lineRule="exact"/>
        <w:rPr>
          <w:rFonts w:ascii="Arial" w:cs="Arial" w:eastAsia="Arial" w:hAnsi="Arial"/>
          <w:sz w:val="16"/>
          <w:szCs w:val="16"/>
          <w:u w:val="single" w:color="auto"/>
          <w:color w:val="0000FF"/>
        </w:rPr>
      </w:pPr>
    </w:p>
    <w:p>
      <w:pPr>
        <w:ind w:left="960"/>
        <w:spacing w:after="0"/>
        <w:tabs>
          <w:tab w:leader="none" w:pos="1600" w:val="left"/>
        </w:tabs>
        <w:rPr>
          <w:rFonts w:ascii="Arial" w:cs="Arial" w:eastAsia="Arial" w:hAnsi="Arial"/>
          <w:sz w:val="16"/>
          <w:szCs w:val="16"/>
          <w:u w:val="single" w:color="auto"/>
          <w:color w:val="0000FF"/>
        </w:rPr>
      </w:pPr>
      <w:hyperlink w:anchor="page212">
        <w:r>
          <w:rPr>
            <w:rFonts w:ascii="Arial" w:cs="Arial" w:eastAsia="Arial" w:hAnsi="Arial"/>
            <w:sz w:val="18"/>
            <w:szCs w:val="18"/>
            <w:u w:val="single" w:color="auto"/>
            <w:color w:val="0000FF"/>
          </w:rPr>
          <w:t>4.41††</w:t>
        </w:r>
      </w:hyperlink>
      <w:r>
        <w:rPr>
          <w:rFonts w:ascii="Arial" w:cs="Arial" w:eastAsia="Arial" w:hAnsi="Arial"/>
          <w:sz w:val="18"/>
          <w:szCs w:val="18"/>
          <w:u w:val="single" w:color="auto"/>
          <w:color w:val="0000FF"/>
        </w:rPr>
        <w:tab/>
      </w:r>
      <w:hyperlink w:anchor="page212">
        <w:r>
          <w:rPr>
            <w:rFonts w:ascii="Arial" w:cs="Arial" w:eastAsia="Arial" w:hAnsi="Arial"/>
            <w:sz w:val="16"/>
            <w:szCs w:val="16"/>
            <w:u w:val="single" w:color="auto"/>
            <w:color w:val="0000FF"/>
          </w:rPr>
          <w:t>Description of Common Stock.</w:t>
        </w:r>
      </w:hyperlink>
    </w:p>
    <w:p>
      <w:pPr>
        <w:spacing w:after="0" w:line="63" w:lineRule="exact"/>
        <w:rPr>
          <w:sz w:val="20"/>
          <w:szCs w:val="20"/>
          <w:color w:val="auto"/>
        </w:rPr>
      </w:pPr>
    </w:p>
    <w:p>
      <w:pPr>
        <w:jc w:val="both"/>
        <w:ind w:left="1620" w:right="140" w:hanging="566"/>
        <w:spacing w:after="0" w:line="263" w:lineRule="auto"/>
        <w:tabs>
          <w:tab w:leader="none" w:pos="160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Dell Technologies Inc. 2012 Long-Term Incentive Plan (formerly known as Dell Inc. 2012 Long-Term Incentive Plan) as amended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and restated as of October 6, 2017 (incorporated by reference to Exhibit 10.4 to the Company’s Quarterly Report on Form 10-Q for</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the quarterly period ended November 3, 2017) (Commission File No. 001-37867).</w:t>
        </w:r>
      </w:hyperlink>
    </w:p>
    <w:p>
      <w:pPr>
        <w:spacing w:after="0" w:line="22" w:lineRule="exact"/>
        <w:rPr>
          <w:rFonts w:ascii="Arial" w:cs="Arial" w:eastAsia="Arial" w:hAnsi="Arial"/>
          <w:sz w:val="18"/>
          <w:szCs w:val="18"/>
          <w:u w:val="single" w:color="auto"/>
          <w:color w:val="0000FF"/>
        </w:rPr>
      </w:pPr>
    </w:p>
    <w:p>
      <w:pPr>
        <w:ind w:left="1620" w:right="140" w:hanging="566"/>
        <w:spacing w:after="0" w:line="263" w:lineRule="auto"/>
        <w:tabs>
          <w:tab w:leader="none" w:pos="1600" w:val="left"/>
        </w:tabs>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77">
        <w:r>
          <w:rPr>
            <w:rFonts w:ascii="Arial" w:cs="Arial" w:eastAsia="Arial" w:hAnsi="Arial"/>
            <w:sz w:val="18"/>
            <w:szCs w:val="18"/>
            <w:u w:val="single" w:color="auto"/>
            <w:color w:val="0000FF"/>
          </w:rPr>
          <w:t>Form of Dell Inc. Long-Term Cash Incentive and Retention Award for Fiscal 2016 awards under the Dell Technologies Inc. 2012</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Long-Term Incentive Plan (incorporated by reference to Exhibit 10.13 to Amendment No. 3 to the Company’s 2016 Form S-4 filed</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with the Commission on April 11, 2016) (Registration No. 333-208524).</w:t>
        </w:r>
      </w:hyperlink>
    </w:p>
    <w:p>
      <w:pPr>
        <w:spacing w:after="0" w:line="22" w:lineRule="exact"/>
        <w:rPr>
          <w:rFonts w:ascii="Arial" w:cs="Arial" w:eastAsia="Arial" w:hAnsi="Arial"/>
          <w:sz w:val="18"/>
          <w:szCs w:val="18"/>
          <w:u w:val="single" w:color="auto"/>
          <w:color w:val="0000FF"/>
        </w:rPr>
      </w:pPr>
    </w:p>
    <w:p>
      <w:pPr>
        <w:ind w:left="1620" w:right="60" w:hanging="566"/>
        <w:spacing w:after="0" w:line="259" w:lineRule="auto"/>
        <w:tabs>
          <w:tab w:leader="none" w:pos="1600" w:val="left"/>
        </w:tabs>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78">
        <w:r>
          <w:rPr>
            <w:rFonts w:ascii="Arial" w:cs="Arial" w:eastAsia="Arial" w:hAnsi="Arial"/>
            <w:sz w:val="18"/>
            <w:szCs w:val="18"/>
            <w:u w:val="single" w:color="auto"/>
            <w:color w:val="0000FF"/>
          </w:rPr>
          <w:t>Form of Dell Inc. Long-Term Cash Incentive and Retention Award Agreement, under the Dell Technologies Inc. 2012 Long-Term</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Incentive Plan, between Dell Inc. and each of Jeremy Burton, Howard D. Elias and David I. Goulden (incorporated by reference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Exhibit 10.3 to the Company’s Annual Report on Form 10-K for the fiscal year ended February 3, 2017) (Commission File No. 001-</w:t>
        </w:r>
      </w:hyperlink>
      <w:hyperlink r:id="rId78">
        <w:r>
          <w:rPr>
            <w:rFonts w:ascii="Arial" w:cs="Arial" w:eastAsia="Arial" w:hAnsi="Arial"/>
            <w:sz w:val="18"/>
            <w:szCs w:val="18"/>
            <w:u w:val="single" w:color="auto"/>
            <w:color w:val="0000FF"/>
          </w:rPr>
          <w:t>37867).</w:t>
        </w:r>
      </w:hyperlink>
    </w:p>
    <w:p>
      <w:pPr>
        <w:sectPr>
          <w:pgSz w:w="11900" w:h="16838" w:orient="portrait"/>
          <w:cols w:equalWidth="0" w:num="1">
            <w:col w:w="11200"/>
          </w:cols>
          <w:pgMar w:left="320" w:top="125" w:right="379" w:bottom="1440" w:gutter="0" w:footer="0" w:header="0"/>
        </w:sectPr>
      </w:pPr>
    </w:p>
    <w:p>
      <w:pPr>
        <w:spacing w:after="0" w:line="200" w:lineRule="exact"/>
        <w:rPr>
          <w:rFonts w:ascii="Arial" w:cs="Arial" w:eastAsia="Arial" w:hAnsi="Arial"/>
          <w:sz w:val="18"/>
          <w:szCs w:val="18"/>
          <w:u w:val="single" w:color="auto"/>
          <w:color w:val="0000FF"/>
        </w:rPr>
      </w:pPr>
    </w:p>
    <w:p>
      <w:pPr>
        <w:spacing w:after="0" w:line="23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00"/>
          </w:cols>
          <w:pgMar w:left="320" w:top="125" w:right="37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620" w:right="420" w:hanging="566"/>
        <w:spacing w:after="0" w:line="263" w:lineRule="auto"/>
        <w:tabs>
          <w:tab w:leader="none" w:pos="1600" w:val="left"/>
        </w:tabs>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79">
        <w:r>
          <w:rPr>
            <w:rFonts w:ascii="Arial" w:cs="Arial" w:eastAsia="Arial" w:hAnsi="Arial"/>
            <w:sz w:val="18"/>
            <w:szCs w:val="18"/>
            <w:u w:val="single" w:color="auto"/>
            <w:color w:val="0000FF"/>
          </w:rPr>
          <w:t>Form of Dell Inc. Deferred Cash Replacement Agreement under the Dell Technologies Inc. 2012 Long-Term Incentive Plan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(incorporated by reference to Exhibit 10.4 to the Company’s Annual Report on Form 10-K for the fiscal year ended February 3,</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2017) (Commission File No. 001-37867).</w:t>
        </w:r>
      </w:hyperlink>
    </w:p>
    <w:p>
      <w:pPr>
        <w:spacing w:after="0" w:line="22" w:lineRule="exact"/>
        <w:rPr>
          <w:rFonts w:ascii="Arial" w:cs="Arial" w:eastAsia="Arial" w:hAnsi="Arial"/>
          <w:sz w:val="18"/>
          <w:szCs w:val="18"/>
          <w:u w:val="single" w:color="auto"/>
          <w:color w:val="0000FF"/>
        </w:rPr>
      </w:pPr>
    </w:p>
    <w:p>
      <w:pPr>
        <w:ind w:left="1620" w:right="80" w:hanging="566"/>
        <w:spacing w:after="0" w:line="277" w:lineRule="auto"/>
        <w:tabs>
          <w:tab w:leader="none" w:pos="1600" w:val="left"/>
        </w:tabs>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80">
        <w:r>
          <w:rPr>
            <w:rFonts w:ascii="Arial" w:cs="Arial" w:eastAsia="Arial" w:hAnsi="Arial"/>
            <w:sz w:val="18"/>
            <w:szCs w:val="18"/>
            <w:u w:val="single" w:color="auto"/>
            <w:color w:val="0000FF"/>
          </w:rPr>
          <w:t>Dell Inc. Annual Bonus Plan (incorporated by reference to Exhibit 10.5 to Amendment No. 3 to the Company’s 2016 Form S-4 filed</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with the Commission on April 11, 2016) (Registration No. 333-208524).</w:t>
        </w:r>
      </w:hyperlink>
    </w:p>
    <w:p>
      <w:pPr>
        <w:spacing w:after="0" w:line="8" w:lineRule="exact"/>
        <w:rPr>
          <w:rFonts w:ascii="Arial" w:cs="Arial" w:eastAsia="Arial" w:hAnsi="Arial"/>
          <w:sz w:val="18"/>
          <w:szCs w:val="18"/>
          <w:u w:val="single" w:color="auto"/>
          <w:color w:val="0000FF"/>
        </w:rPr>
      </w:pPr>
    </w:p>
    <w:p>
      <w:pPr>
        <w:ind w:left="1620" w:right="20" w:hanging="566"/>
        <w:spacing w:after="0" w:line="277" w:lineRule="auto"/>
        <w:tabs>
          <w:tab w:leader="none" w:pos="1600" w:val="left"/>
        </w:tabs>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81">
        <w:r>
          <w:rPr>
            <w:rFonts w:ascii="Arial" w:cs="Arial" w:eastAsia="Arial" w:hAnsi="Arial"/>
            <w:sz w:val="18"/>
            <w:szCs w:val="18"/>
            <w:u w:val="single" w:color="auto"/>
            <w:color w:val="0000FF"/>
          </w:rPr>
          <w:t>Dell Inc. Special Incentive Bonus Plan (incorporated by reference to Exhibit 10.6 to Amendment No. 3 to the Company’s 2016 Form</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S-4 filed with the Commission on April 11, 2016) (Registration No. 333-208524).</w:t>
        </w:r>
      </w:hyperlink>
    </w:p>
    <w:p>
      <w:pPr>
        <w:spacing w:after="0" w:line="8" w:lineRule="exact"/>
        <w:rPr>
          <w:rFonts w:ascii="Arial" w:cs="Arial" w:eastAsia="Arial" w:hAnsi="Arial"/>
          <w:sz w:val="18"/>
          <w:szCs w:val="18"/>
          <w:u w:val="single" w:color="auto"/>
          <w:color w:val="0000FF"/>
        </w:rPr>
      </w:pPr>
    </w:p>
    <w:p>
      <w:pPr>
        <w:jc w:val="both"/>
        <w:ind w:left="1620" w:right="460" w:hanging="566"/>
        <w:spacing w:after="0" w:line="263" w:lineRule="auto"/>
        <w:tabs>
          <w:tab w:leader="none" w:pos="1600" w:val="left"/>
        </w:tabs>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82">
        <w:r>
          <w:rPr>
            <w:rFonts w:ascii="Arial" w:cs="Arial" w:eastAsia="Arial" w:hAnsi="Arial"/>
            <w:sz w:val="18"/>
            <w:szCs w:val="18"/>
            <w:u w:val="single" w:color="auto"/>
            <w:color w:val="0000FF"/>
          </w:rPr>
          <w:t>Employment Agreement, dated October 29, 2013, by and among Dell Inc., the Company and Michael S. Dell (incorporated by</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reference to Exhibit 10.7 to Amendment No. 3 to the Company’s 2016 Form S-4 filed with the Commission on April 11, 2016)</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(Registration No. 333-208524).</w:t>
        </w:r>
      </w:hyperlink>
    </w:p>
    <w:p>
      <w:pPr>
        <w:spacing w:after="0" w:line="22" w:lineRule="exact"/>
        <w:rPr>
          <w:rFonts w:ascii="Arial" w:cs="Arial" w:eastAsia="Arial" w:hAnsi="Arial"/>
          <w:sz w:val="18"/>
          <w:szCs w:val="18"/>
          <w:u w:val="single" w:color="auto"/>
          <w:color w:val="0000FF"/>
        </w:rPr>
      </w:pPr>
    </w:p>
    <w:p>
      <w:pPr>
        <w:ind w:left="1620" w:right="60" w:hanging="566"/>
        <w:spacing w:after="0" w:line="277" w:lineRule="auto"/>
        <w:tabs>
          <w:tab w:leader="none" w:pos="1600" w:val="left"/>
        </w:tabs>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83">
        <w:r>
          <w:rPr>
            <w:rFonts w:ascii="Arial" w:cs="Arial" w:eastAsia="Arial" w:hAnsi="Arial"/>
            <w:sz w:val="18"/>
            <w:szCs w:val="18"/>
            <w:u w:val="single" w:color="auto"/>
            <w:color w:val="0000FF"/>
          </w:rPr>
          <w:t>Dell Inc. Severance Pay Plan for Executive Employees (incorporated by reference to Exhibit 10.14 to the Company’s Annual Report</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on Form 10-K for the fiscal year ended February 3, 2017) (Commission File No. 001-37867).</w:t>
        </w:r>
      </w:hyperlink>
    </w:p>
    <w:p>
      <w:pPr>
        <w:spacing w:after="0" w:line="8" w:lineRule="exact"/>
        <w:rPr>
          <w:rFonts w:ascii="Arial" w:cs="Arial" w:eastAsia="Arial" w:hAnsi="Arial"/>
          <w:sz w:val="18"/>
          <w:szCs w:val="18"/>
          <w:u w:val="single" w:color="auto"/>
          <w:color w:val="0000FF"/>
        </w:rPr>
      </w:pPr>
    </w:p>
    <w:p>
      <w:pPr>
        <w:ind w:left="1620" w:right="160" w:hanging="566"/>
        <w:spacing w:after="0" w:line="263" w:lineRule="auto"/>
        <w:tabs>
          <w:tab w:leader="none" w:pos="1600" w:val="left"/>
        </w:tabs>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84">
        <w:r>
          <w:rPr>
            <w:rFonts w:ascii="Arial" w:cs="Arial" w:eastAsia="Arial" w:hAnsi="Arial"/>
            <w:sz w:val="18"/>
            <w:szCs w:val="18"/>
            <w:u w:val="single" w:color="auto"/>
            <w:color w:val="0000FF"/>
          </w:rPr>
          <w:t>Protection of Sensitive Information, Noncompetition and Nonsolicitation Agreement, dated March 19, 2015, between Dell Inc. and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Rory P. Read (incorporated by reference to Exhibit 10.15 to Amendment No. 3 to the Company’s 2016 Form S-4 filed with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Commission on April 11, 2016) (Registration No. 333-208524).</w:t>
        </w:r>
      </w:hyperlink>
    </w:p>
    <w:p>
      <w:pPr>
        <w:spacing w:after="0" w:line="22" w:lineRule="exact"/>
        <w:rPr>
          <w:rFonts w:ascii="Arial" w:cs="Arial" w:eastAsia="Arial" w:hAnsi="Arial"/>
          <w:sz w:val="18"/>
          <w:szCs w:val="18"/>
          <w:u w:val="single" w:color="auto"/>
          <w:color w:val="0000FF"/>
        </w:rPr>
      </w:pPr>
    </w:p>
    <w:p>
      <w:pPr>
        <w:ind w:left="960"/>
        <w:spacing w:after="0"/>
        <w:tabs>
          <w:tab w:leader="none" w:pos="1600" w:val="left"/>
        </w:tabs>
        <w:rPr>
          <w:rFonts w:ascii="Arial" w:cs="Arial" w:eastAsia="Arial" w:hAnsi="Arial"/>
          <w:sz w:val="16"/>
          <w:szCs w:val="16"/>
          <w:u w:val="single" w:color="auto"/>
          <w:color w:val="0000FF"/>
        </w:rPr>
      </w:pPr>
      <w:hyperlink r:id="rId85">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85">
        <w:r>
          <w:rPr>
            <w:rFonts w:ascii="Arial" w:cs="Arial" w:eastAsia="Arial" w:hAnsi="Arial"/>
            <w:sz w:val="16"/>
            <w:szCs w:val="16"/>
            <w:u w:val="single" w:color="auto"/>
            <w:color w:val="0000FF"/>
          </w:rPr>
          <w:t>Form of Protection of Sensitive Information, Noncompetition and Nonsolicitation Agreement (incorporated by reference to Exhibit</w:t>
        </w:r>
      </w:hyperlink>
    </w:p>
    <w:p>
      <w:pPr>
        <w:spacing w:after="0" w:line="23" w:lineRule="exact"/>
        <w:rPr>
          <w:sz w:val="20"/>
          <w:szCs w:val="20"/>
          <w:color w:val="auto"/>
        </w:rPr>
      </w:pPr>
    </w:p>
    <w:p>
      <w:pPr>
        <w:ind w:left="1620"/>
        <w:spacing w:after="0"/>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10.16 to Amendment No. 3 to the Company’s 2016 Form S-4 filed with the Commission on April 11, 2016) (Registration No. 333-</w:t>
        </w:r>
      </w:hyperlink>
    </w:p>
    <w:p>
      <w:pPr>
        <w:spacing w:after="0" w:line="32" w:lineRule="exact"/>
        <w:rPr>
          <w:sz w:val="20"/>
          <w:szCs w:val="20"/>
          <w:color w:val="auto"/>
        </w:rPr>
      </w:pPr>
    </w:p>
    <w:p>
      <w:pPr>
        <w:ind w:left="1620"/>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208524).</w:t>
        </w:r>
      </w:hyperlink>
    </w:p>
    <w:p>
      <w:pPr>
        <w:spacing w:after="0" w:line="49" w:lineRule="exact"/>
        <w:rPr>
          <w:sz w:val="20"/>
          <w:szCs w:val="20"/>
          <w:color w:val="auto"/>
        </w:rPr>
      </w:pPr>
    </w:p>
    <w:p>
      <w:pPr>
        <w:ind w:left="1620" w:right="420" w:hanging="649"/>
        <w:spacing w:after="0" w:line="298" w:lineRule="auto"/>
        <w:tabs>
          <w:tab w:leader="none" w:pos="1600" w:val="left"/>
        </w:tabs>
        <w:rPr>
          <w:rFonts w:ascii="Arial" w:cs="Arial" w:eastAsia="Arial" w:hAnsi="Arial"/>
          <w:sz w:val="17"/>
          <w:szCs w:val="17"/>
          <w:u w:val="single" w:color="auto"/>
          <w:color w:val="0000FF"/>
        </w:rPr>
      </w:pPr>
      <w:hyperlink r:id="rId86">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86">
        <w:r>
          <w:rPr>
            <w:rFonts w:ascii="Arial" w:cs="Arial" w:eastAsia="Arial" w:hAnsi="Arial"/>
            <w:sz w:val="17"/>
            <w:szCs w:val="17"/>
            <w:u w:val="single" w:color="auto"/>
            <w:color w:val="0000FF"/>
          </w:rPr>
          <w:t>Form of Dell Technologies Inc. Deferred Cash Award Agreement (incorporated by reference to Exhibit 10.26 to the Company’s</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Annual Report on Form 10-K for the fiscal year ended February 3, 2017) (Commission File No. 001-37867).</w:t>
        </w:r>
      </w:hyperlink>
    </w:p>
    <w:p>
      <w:pPr>
        <w:spacing w:after="0" w:line="1" w:lineRule="exact"/>
        <w:rPr>
          <w:rFonts w:ascii="Arial" w:cs="Arial" w:eastAsia="Arial" w:hAnsi="Arial"/>
          <w:sz w:val="18"/>
          <w:szCs w:val="18"/>
          <w:u w:val="single" w:color="auto"/>
          <w:color w:val="0000FF"/>
        </w:rPr>
      </w:pPr>
    </w:p>
    <w:p>
      <w:pPr>
        <w:ind w:left="1620" w:right="60" w:hanging="566"/>
        <w:spacing w:after="0" w:line="263" w:lineRule="auto"/>
        <w:tabs>
          <w:tab w:leader="none" w:pos="1600" w:val="left"/>
        </w:tabs>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87">
        <w:r>
          <w:rPr>
            <w:rFonts w:ascii="Arial" w:cs="Arial" w:eastAsia="Arial" w:hAnsi="Arial"/>
            <w:sz w:val="18"/>
            <w:szCs w:val="18"/>
            <w:u w:val="single" w:color="auto"/>
            <w:color w:val="0000FF"/>
          </w:rPr>
          <w:t>Amended and Restated Master Transaction Agreement among EMC Corporation, Dell Technologies Inc. and VMware, Inc. dated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January 9, 2018 (incorporated by reference to Exhibit 10.1 to VMware, Inc.’s Annual Report on Form 10-K for the fiscal year ended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February 2, 2018) (Commission File No. 001-33622).</w:t>
        </w:r>
      </w:hyperlink>
    </w:p>
    <w:p>
      <w:pPr>
        <w:spacing w:after="0" w:line="22" w:lineRule="exact"/>
        <w:rPr>
          <w:rFonts w:ascii="Arial" w:cs="Arial" w:eastAsia="Arial" w:hAnsi="Arial"/>
          <w:sz w:val="18"/>
          <w:szCs w:val="18"/>
          <w:u w:val="single" w:color="auto"/>
          <w:color w:val="0000FF"/>
        </w:rPr>
      </w:pPr>
    </w:p>
    <w:p>
      <w:pPr>
        <w:ind w:left="1620" w:hanging="566"/>
        <w:spacing w:after="0" w:line="275" w:lineRule="auto"/>
        <w:tabs>
          <w:tab w:leader="none" w:pos="1600" w:val="left"/>
        </w:tabs>
        <w:rPr>
          <w:rFonts w:ascii="Arial" w:cs="Arial" w:eastAsia="Arial" w:hAnsi="Arial"/>
          <w:sz w:val="17"/>
          <w:szCs w:val="17"/>
          <w:u w:val="single" w:color="auto"/>
          <w:color w:val="0000FF"/>
        </w:rPr>
      </w:pPr>
      <w:hyperlink r:id="rId88">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88">
        <w:r>
          <w:rPr>
            <w:rFonts w:ascii="Arial" w:cs="Arial" w:eastAsia="Arial" w:hAnsi="Arial"/>
            <w:sz w:val="17"/>
            <w:szCs w:val="17"/>
            <w:u w:val="single" w:color="auto"/>
            <w:color w:val="0000FF"/>
          </w:rPr>
          <w:t>Credit Agreement, dated as of September 7, 2016, among Denali Intermediate Inc., Dell Inc., Dell International L.L.C., New Dell</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International LLC, Universal Acquisition Co., EMC Corporation, the issuing banks and lenders party thereto, Credit Suisse AG,</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Cayman Islands Branch, as Term Loan B Administrative Agent and Collateral Agent, JPMorgan Chase Bank, N A., as Term Loan</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A/Revolver Administrative Agent and Swingline Lender (incorporated by reference to Exhibit 10.1 to the Company’s Current Report</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on Form 8-K filed with the Commission on September 9, 2016) (Commission File No. 001-37867).</w:t>
        </w:r>
      </w:hyperlink>
    </w:p>
    <w:p>
      <w:pPr>
        <w:spacing w:after="0" w:line="14" w:lineRule="exact"/>
        <w:rPr>
          <w:rFonts w:ascii="Arial" w:cs="Arial" w:eastAsia="Arial" w:hAnsi="Arial"/>
          <w:sz w:val="17"/>
          <w:szCs w:val="17"/>
          <w:u w:val="single" w:color="auto"/>
          <w:color w:val="0000FF"/>
        </w:rPr>
      </w:pPr>
    </w:p>
    <w:p>
      <w:pPr>
        <w:ind w:left="1620" w:right="280" w:hanging="566"/>
        <w:spacing w:after="0" w:line="259" w:lineRule="auto"/>
        <w:tabs>
          <w:tab w:leader="none" w:pos="1600" w:val="left"/>
        </w:tabs>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89">
        <w:r>
          <w:rPr>
            <w:rFonts w:ascii="Arial" w:cs="Arial" w:eastAsia="Arial" w:hAnsi="Arial"/>
            <w:sz w:val="18"/>
            <w:szCs w:val="18"/>
            <w:u w:val="single" w:color="auto"/>
            <w:color w:val="0000FF"/>
          </w:rPr>
          <w:t>Credit Agreement, dated as of September 7, 2016, among Denali Intermediate Inc., Dell Inc., Dell International L.L.C., New Dell</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International LLC, Universal Acquisition Co., EMC Corporation, the lenders party thereto and JPMorgan Chase Bank, N.A., as</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Administrative Agent (incorporated by reference to Exhibit 10.2 to the Company’s Current Report on Form 8-K filed with the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Commission on September 9, 2016) (Commission File No. 001-37867).</w:t>
        </w:r>
      </w:hyperlink>
    </w:p>
    <w:p>
      <w:pPr>
        <w:spacing w:after="0" w:line="25" w:lineRule="exact"/>
        <w:rPr>
          <w:rFonts w:ascii="Arial" w:cs="Arial" w:eastAsia="Arial" w:hAnsi="Arial"/>
          <w:sz w:val="18"/>
          <w:szCs w:val="18"/>
          <w:u w:val="single" w:color="auto"/>
          <w:color w:val="0000FF"/>
        </w:rPr>
      </w:pPr>
    </w:p>
    <w:p>
      <w:pPr>
        <w:jc w:val="both"/>
        <w:ind w:left="1620" w:right="300" w:hanging="566"/>
        <w:spacing w:after="0" w:line="305" w:lineRule="auto"/>
        <w:tabs>
          <w:tab w:leader="none" w:pos="1600" w:val="left"/>
        </w:tabs>
        <w:rPr>
          <w:rFonts w:ascii="Arial" w:cs="Arial" w:eastAsia="Arial" w:hAnsi="Arial"/>
          <w:sz w:val="16"/>
          <w:szCs w:val="16"/>
          <w:u w:val="single" w:color="auto"/>
          <w:color w:val="0000FF"/>
        </w:rPr>
      </w:pPr>
      <w:hyperlink r:id="rId90">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90">
        <w:r>
          <w:rPr>
            <w:rFonts w:ascii="Arial" w:cs="Arial" w:eastAsia="Arial" w:hAnsi="Arial"/>
            <w:sz w:val="16"/>
            <w:szCs w:val="16"/>
            <w:u w:val="single" w:color="auto"/>
            <w:color w:val="0000FF"/>
          </w:rPr>
          <w:t>Credit Agreement, dated as of September 7, 2016, among Universal Acquisition Co., EMC Corporation, the lenders party thereto</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and JPMorgan Chase Bank, N.A., as Administrative Agent and Collateral Agent (incorporated by reference to Exhibit 10.3 to the</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rFonts w:ascii="Arial" w:cs="Arial" w:eastAsia="Arial" w:hAnsi="Arial"/>
          <w:sz w:val="16"/>
          <w:szCs w:val="16"/>
          <w:u w:val="single" w:color="auto"/>
          <w:color w:val="0000FF"/>
        </w:rPr>
      </w:pPr>
    </w:p>
    <w:p>
      <w:pPr>
        <w:jc w:val="both"/>
        <w:ind w:left="1620" w:right="300" w:hanging="566"/>
        <w:spacing w:after="0" w:line="305" w:lineRule="auto"/>
        <w:tabs>
          <w:tab w:leader="none" w:pos="1600" w:val="left"/>
        </w:tabs>
        <w:rPr>
          <w:rFonts w:ascii="Arial" w:cs="Arial" w:eastAsia="Arial" w:hAnsi="Arial"/>
          <w:sz w:val="16"/>
          <w:szCs w:val="16"/>
          <w:u w:val="single" w:color="auto"/>
          <w:color w:val="0000FF"/>
        </w:rPr>
      </w:pPr>
      <w:hyperlink r:id="rId91">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91">
        <w:r>
          <w:rPr>
            <w:rFonts w:ascii="Arial" w:cs="Arial" w:eastAsia="Arial" w:hAnsi="Arial"/>
            <w:sz w:val="16"/>
            <w:szCs w:val="16"/>
            <w:u w:val="single" w:color="auto"/>
            <w:color w:val="0000FF"/>
          </w:rPr>
          <w:t>Credit Agreement, dated as of September 7, 2016, among Universal Acquisition Co., EMC Corporation, the lenders party thereto</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and JPMorgan Chase Bank, N.A., as Administrative Agent and Collateral Agent (incorporated by reference to Exhibit 10.4 to the</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rFonts w:ascii="Arial" w:cs="Arial" w:eastAsia="Arial" w:hAnsi="Arial"/>
          <w:sz w:val="16"/>
          <w:szCs w:val="16"/>
          <w:u w:val="single" w:color="auto"/>
          <w:color w:val="0000FF"/>
        </w:rPr>
      </w:pPr>
    </w:p>
    <w:p>
      <w:pPr>
        <w:ind w:left="1620" w:right="80" w:hanging="566"/>
        <w:spacing w:after="0" w:line="259" w:lineRule="auto"/>
        <w:tabs>
          <w:tab w:leader="none" w:pos="1600" w:val="left"/>
        </w:tabs>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92">
        <w:r>
          <w:rPr>
            <w:rFonts w:ascii="Arial" w:cs="Arial" w:eastAsia="Arial" w:hAnsi="Arial"/>
            <w:sz w:val="18"/>
            <w:szCs w:val="18"/>
            <w:u w:val="single" w:color="auto"/>
            <w:color w:val="0000FF"/>
          </w:rPr>
          <w:t>Collateral Agreement, dated as of September 7, 2016, among Dell International L.L.C., EMC Corporation, Denali Intermediate Inc.,</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Dell Inc., the other grantors party thereto and Credit Suisse AG, Cayman Islands Branch, as Collateral Agent (incorporated by</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reference to Exhibit 10.5 to the Company’s Quarterly Report on Form 10-Q for the quarterly period ended October 28, 2016)</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(Commission File No. 001-37867).</w:t>
        </w:r>
      </w:hyperlink>
    </w:p>
    <w:p>
      <w:pPr>
        <w:spacing w:after="0" w:line="25" w:lineRule="exact"/>
        <w:rPr>
          <w:rFonts w:ascii="Arial" w:cs="Arial" w:eastAsia="Arial" w:hAnsi="Arial"/>
          <w:sz w:val="18"/>
          <w:szCs w:val="18"/>
          <w:u w:val="single" w:color="auto"/>
          <w:color w:val="0000FF"/>
        </w:rPr>
      </w:pPr>
    </w:p>
    <w:p>
      <w:pPr>
        <w:ind w:left="1620" w:right="80" w:hanging="656"/>
        <w:spacing w:after="0" w:line="291" w:lineRule="auto"/>
        <w:tabs>
          <w:tab w:leader="none" w:pos="1600" w:val="left"/>
        </w:tabs>
        <w:rPr>
          <w:rFonts w:ascii="Arial" w:cs="Arial" w:eastAsia="Arial" w:hAnsi="Arial"/>
          <w:sz w:val="16"/>
          <w:szCs w:val="16"/>
          <w:u w:val="single" w:color="auto"/>
          <w:color w:val="0000FF"/>
        </w:rPr>
      </w:pPr>
      <w:hyperlink r:id="rId93">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93">
        <w:r>
          <w:rPr>
            <w:rFonts w:ascii="Arial" w:cs="Arial" w:eastAsia="Arial" w:hAnsi="Arial"/>
            <w:sz w:val="16"/>
            <w:szCs w:val="16"/>
            <w:u w:val="single" w:color="auto"/>
            <w:color w:val="0000FF"/>
          </w:rPr>
          <w:t>Form of Indemnification Agreement between the Company and each member of its Board of Directors (incorporated by reference to</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Exhibit 10.38 to the Company’s Annual Report on Form 10-K for the fiscal year ended February 3, 2017) (Commission File No.</w:t>
        </w:r>
      </w:hyperlink>
    </w:p>
    <w:p>
      <w:pPr>
        <w:ind w:left="1620"/>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001-37867).</w:t>
        </w:r>
      </w:hyperlink>
    </w:p>
    <w:p>
      <w:pPr>
        <w:spacing w:after="0" w:line="49" w:lineRule="exact"/>
        <w:rPr>
          <w:rFonts w:ascii="Arial" w:cs="Arial" w:eastAsia="Arial" w:hAnsi="Arial"/>
          <w:sz w:val="18"/>
          <w:szCs w:val="18"/>
          <w:u w:val="single" w:color="auto"/>
          <w:color w:val="0000FF"/>
        </w:rPr>
      </w:pPr>
    </w:p>
    <w:p>
      <w:pPr>
        <w:ind w:left="1620" w:right="100" w:hanging="656"/>
        <w:spacing w:after="0" w:line="263" w:lineRule="auto"/>
        <w:tabs>
          <w:tab w:leader="none" w:pos="160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Form of Indemnification Agreement between EMC Corporation and each of Jeremy Burton, Howard D. Elias and David I. Goulden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(incorporated by reference to Exhibit 10.39 to the Company’s Annual Report on Form 10-K for the fiscal year ended February 3,</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2017) (Commission File No. 001-37867).</w:t>
        </w:r>
      </w:hyperlink>
    </w:p>
    <w:p>
      <w:pPr>
        <w:spacing w:after="0" w:line="22" w:lineRule="exact"/>
        <w:rPr>
          <w:rFonts w:ascii="Arial" w:cs="Arial" w:eastAsia="Arial" w:hAnsi="Arial"/>
          <w:sz w:val="18"/>
          <w:szCs w:val="18"/>
          <w:u w:val="single" w:color="auto"/>
          <w:color w:val="0000FF"/>
        </w:rPr>
      </w:pPr>
    </w:p>
    <w:p>
      <w:pPr>
        <w:jc w:val="both"/>
        <w:ind w:left="1620" w:right="500" w:hanging="656"/>
        <w:spacing w:after="0" w:line="311" w:lineRule="auto"/>
        <w:tabs>
          <w:tab w:leader="none" w:pos="1600" w:val="left"/>
        </w:tabs>
        <w:rPr>
          <w:rFonts w:ascii="Arial" w:cs="Arial" w:eastAsia="Arial" w:hAnsi="Arial"/>
          <w:sz w:val="16"/>
          <w:szCs w:val="16"/>
          <w:u w:val="single" w:color="auto"/>
          <w:color w:val="0000FF"/>
        </w:rPr>
      </w:pPr>
      <w:hyperlink r:id="rId95">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95">
        <w:r>
          <w:rPr>
            <w:rFonts w:ascii="Arial" w:cs="Arial" w:eastAsia="Arial" w:hAnsi="Arial"/>
            <w:sz w:val="16"/>
            <w:szCs w:val="16"/>
            <w:u w:val="single" w:color="auto"/>
            <w:color w:val="0000FF"/>
          </w:rPr>
          <w:t>Form of Indemnification Agreement between Dell Inc. and each of Jeffrey W. Clarke, Marius Haas, Steven H. Price, Karen H.</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Quintos, Rory Read, Richard J. Rothberg and Thomas W. Sweet (incorporated by reference to Exhibit 10.40 to the Company’s</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Annual Report on Form 10-K for the fiscal year ended February 3, 2017) (Commission File No. 001-37867).</w:t>
        </w:r>
      </w:hyperlink>
    </w:p>
    <w:p>
      <w:pPr>
        <w:spacing w:after="0" w:line="392"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125" w:right="3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620" w:right="320" w:hanging="656"/>
        <w:spacing w:after="0" w:line="263" w:lineRule="auto"/>
        <w:tabs>
          <w:tab w:leader="none" w:pos="1600" w:val="left"/>
        </w:tabs>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96">
        <w:r>
          <w:rPr>
            <w:rFonts w:ascii="Arial" w:cs="Arial" w:eastAsia="Arial" w:hAnsi="Arial"/>
            <w:sz w:val="18"/>
            <w:szCs w:val="18"/>
            <w:u w:val="single" w:color="auto"/>
            <w:color w:val="0000FF"/>
          </w:rPr>
          <w:t>Form of EMC Corporation Deferred Compensation Retirement Plan, as amended and restated, effective as of January 1, 2016</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(incorporated by reference to Exhibit 10.41 to the Company’s Annual Report on Form 10-K for the fiscal year ended February 3,</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2017) (Commission File No. 001-37867).</w:t>
        </w:r>
      </w:hyperlink>
    </w:p>
    <w:p>
      <w:pPr>
        <w:spacing w:after="0" w:line="22" w:lineRule="exact"/>
        <w:rPr>
          <w:rFonts w:ascii="Arial" w:cs="Arial" w:eastAsia="Arial" w:hAnsi="Arial"/>
          <w:sz w:val="18"/>
          <w:szCs w:val="18"/>
          <w:u w:val="single" w:color="auto"/>
          <w:color w:val="0000FF"/>
        </w:rPr>
      </w:pPr>
    </w:p>
    <w:p>
      <w:pPr>
        <w:ind w:left="1620" w:right="600" w:hanging="656"/>
        <w:spacing w:after="0" w:line="316" w:lineRule="auto"/>
        <w:tabs>
          <w:tab w:leader="none" w:pos="1600" w:val="left"/>
        </w:tabs>
        <w:rPr>
          <w:rFonts w:ascii="Arial" w:cs="Arial" w:eastAsia="Arial" w:hAnsi="Arial"/>
          <w:sz w:val="16"/>
          <w:szCs w:val="16"/>
          <w:u w:val="single" w:color="auto"/>
          <w:color w:val="0000FF"/>
        </w:rPr>
      </w:pPr>
      <w:hyperlink r:id="rId97">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97">
        <w:r>
          <w:rPr>
            <w:rFonts w:ascii="Arial" w:cs="Arial" w:eastAsia="Arial" w:hAnsi="Arial"/>
            <w:sz w:val="16"/>
            <w:szCs w:val="16"/>
            <w:u w:val="single" w:color="auto"/>
            <w:color w:val="0000FF"/>
          </w:rPr>
          <w:t>Form of Dell Deferred Compensation Plan, effective as of January 1, 2017 (incorporated by reference to Exhibit 10.42 to the</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Company’s Annual Report on Form 10-K for the fiscal year ended February 3, 2017) (Commission File No. 001-37867).</w:t>
        </w:r>
      </w:hyperlink>
    </w:p>
    <w:p>
      <w:pPr>
        <w:spacing w:after="0" w:line="2" w:lineRule="exact"/>
        <w:rPr>
          <w:rFonts w:ascii="Arial" w:cs="Arial" w:eastAsia="Arial" w:hAnsi="Arial"/>
          <w:sz w:val="18"/>
          <w:szCs w:val="18"/>
          <w:u w:val="single" w:color="auto"/>
          <w:color w:val="0000FF"/>
        </w:rPr>
      </w:pPr>
    </w:p>
    <w:p>
      <w:pPr>
        <w:ind w:left="1620" w:right="120" w:hanging="566"/>
        <w:spacing w:after="0" w:line="257" w:lineRule="auto"/>
        <w:tabs>
          <w:tab w:leader="none" w:pos="1600" w:val="left"/>
        </w:tabs>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98">
        <w:r>
          <w:rPr>
            <w:rFonts w:ascii="Arial" w:cs="Arial" w:eastAsia="Arial" w:hAnsi="Arial"/>
            <w:sz w:val="18"/>
            <w:szCs w:val="18"/>
            <w:u w:val="single" w:color="auto"/>
            <w:color w:val="0000FF"/>
          </w:rPr>
          <w:t>First Refinancing and Incremental Facility Amendment, dated as of March 8, 2017, among Denali Intermediate Inc., Dell Inc., Dell</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International L.L.C., EMC Corporation, Credit Suisse AG, Cayman Islands Branch, as Term Loan B Administrative Agent and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Collateral Agent, JPMorgan Chase Bank, N.A., as Term Loan A/Revolver Administrative Agent, and the lenders party thereto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(incorporated by reference to Exhibit 10.1 to the Company’s Current Report on Form 8-K filed with the Commission on March 9,</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2017) (Commission File No. 001-37867).</w:t>
        </w:r>
      </w:hyperlink>
    </w:p>
    <w:p>
      <w:pPr>
        <w:spacing w:after="0" w:line="26" w:lineRule="exact"/>
        <w:rPr>
          <w:rFonts w:ascii="Arial" w:cs="Arial" w:eastAsia="Arial" w:hAnsi="Arial"/>
          <w:sz w:val="18"/>
          <w:szCs w:val="18"/>
          <w:u w:val="single" w:color="auto"/>
          <w:color w:val="0000FF"/>
        </w:rPr>
      </w:pPr>
    </w:p>
    <w:p>
      <w:pPr>
        <w:ind w:left="1620" w:hanging="566"/>
        <w:spacing w:after="0" w:line="257" w:lineRule="auto"/>
        <w:tabs>
          <w:tab w:leader="none" w:pos="1600" w:val="left"/>
        </w:tabs>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99">
        <w:r>
          <w:rPr>
            <w:rFonts w:ascii="Arial" w:cs="Arial" w:eastAsia="Arial" w:hAnsi="Arial"/>
            <w:sz w:val="18"/>
            <w:szCs w:val="18"/>
            <w:u w:val="single" w:color="auto"/>
            <w:color w:val="0000FF"/>
          </w:rPr>
          <w:t>Second Refinancing Amendment, dated as of October 20, 2017, among Denali Intermediate Inc., Dell Inc., Dell International L.L.C.,</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EMC Corporation, Credit Suisse AG, Cayman Islands Branch, as Term Loan B Administrative Agent and Collateral Agent,</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JPMorgan Chase Bank, N.A., as Term A/Revolver Administrative Agent, and the lenders party thereto (incorporated by reference to</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Exhibit 10.1 to the Company’s Report on Form 8-K filed with the Commission on October 24, 2017) (Commission File No. 001-</w:t>
        </w:r>
      </w:hyperlink>
      <w:hyperlink r:id="rId99">
        <w:r>
          <w:rPr>
            <w:rFonts w:ascii="Arial" w:cs="Arial" w:eastAsia="Arial" w:hAnsi="Arial"/>
            <w:sz w:val="18"/>
            <w:szCs w:val="18"/>
            <w:u w:val="single" w:color="auto"/>
            <w:color w:val="0000FF"/>
          </w:rPr>
          <w:t>37867).</w:t>
        </w:r>
      </w:hyperlink>
    </w:p>
    <w:p>
      <w:pPr>
        <w:spacing w:after="0" w:line="26" w:lineRule="exact"/>
        <w:rPr>
          <w:rFonts w:ascii="Arial" w:cs="Arial" w:eastAsia="Arial" w:hAnsi="Arial"/>
          <w:sz w:val="18"/>
          <w:szCs w:val="18"/>
          <w:u w:val="single" w:color="auto"/>
          <w:color w:val="0000FF"/>
        </w:rPr>
      </w:pPr>
    </w:p>
    <w:p>
      <w:pPr>
        <w:jc w:val="center"/>
        <w:ind w:left="840"/>
        <w:spacing w:after="0"/>
        <w:tabs>
          <w:tab w:leader="none" w:pos="140" w:val="left"/>
        </w:tabs>
        <w:rPr>
          <w:rFonts w:ascii="Arial" w:cs="Arial" w:eastAsia="Arial" w:hAnsi="Arial"/>
          <w:sz w:val="16"/>
          <w:szCs w:val="16"/>
          <w:u w:val="single" w:color="auto"/>
          <w:color w:val="0000FF"/>
        </w:rPr>
      </w:pPr>
      <w:hyperlink r:id="rId100">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00">
        <w:r>
          <w:rPr>
            <w:rFonts w:ascii="Arial" w:cs="Arial" w:eastAsia="Arial" w:hAnsi="Arial"/>
            <w:sz w:val="16"/>
            <w:szCs w:val="16"/>
            <w:u w:val="single" w:color="auto"/>
            <w:color w:val="0000FF"/>
          </w:rPr>
          <w:t>Third Refinancing Amendment, dated as of October 20, 2017, among Denali Intermediate Inc., Dell Inc., Dell International L.L.C.,</w:t>
        </w:r>
      </w:hyperlink>
    </w:p>
    <w:p>
      <w:pPr>
        <w:spacing w:after="0" w:line="23" w:lineRule="exact"/>
        <w:rPr>
          <w:sz w:val="20"/>
          <w:szCs w:val="20"/>
          <w:color w:val="auto"/>
        </w:rPr>
      </w:pPr>
    </w:p>
    <w:p>
      <w:pPr>
        <w:ind w:left="1620" w:right="60"/>
        <w:spacing w:after="0" w:line="253"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EMC Corporation, Credit Suisse AG, Cayman Islands Branch, as Term Loan B Administrative Agent and Collateral Agent,</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JPMorgan Chase Bank, N.A., as Term A/Revolver Administrative Agent, and the lenders party thereto (incorporated by reference to</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Exhibit 10.2 to the Company’s Report on Form 8-K filed with the Commission on October 24, 2017) (Commission File No. 001-</w:t>
        </w:r>
      </w:hyperlink>
      <w:hyperlink r:id="rId100">
        <w:r>
          <w:rPr>
            <w:rFonts w:ascii="Arial" w:cs="Arial" w:eastAsia="Arial" w:hAnsi="Arial"/>
            <w:sz w:val="18"/>
            <w:szCs w:val="18"/>
            <w:u w:val="single" w:color="auto"/>
            <w:color w:val="0000FF"/>
          </w:rPr>
          <w:t>37867).</w:t>
        </w:r>
      </w:hyperlink>
    </w:p>
    <w:p>
      <w:pPr>
        <w:spacing w:after="0" w:line="31" w:lineRule="exact"/>
        <w:rPr>
          <w:rFonts w:ascii="Arial" w:cs="Arial" w:eastAsia="Arial" w:hAnsi="Arial"/>
          <w:sz w:val="18"/>
          <w:szCs w:val="18"/>
          <w:u w:val="single" w:color="auto"/>
          <w:color w:val="0000FF"/>
        </w:rPr>
      </w:pPr>
    </w:p>
    <w:p>
      <w:pPr>
        <w:ind w:left="1620" w:right="80" w:hanging="656"/>
        <w:spacing w:after="0" w:line="263" w:lineRule="auto"/>
        <w:tabs>
          <w:tab w:leader="none" w:pos="1600" w:val="left"/>
        </w:tabs>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01">
        <w:r>
          <w:rPr>
            <w:rFonts w:ascii="Arial" w:cs="Arial" w:eastAsia="Arial" w:hAnsi="Arial"/>
            <w:sz w:val="18"/>
            <w:szCs w:val="18"/>
            <w:u w:val="single" w:color="auto"/>
            <w:color w:val="0000FF"/>
          </w:rPr>
          <w:t>Form of Protection of Sensitive Information, Noncompetition and Nonsolicitation Agreement between Dell Inc. and each of</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Howard D. Elias and William F. Scannell (incorporated by reference to Exhibit 10.47 to the Company’s Annual Report on Form 10-</w:t>
        </w:r>
      </w:hyperlink>
      <w:hyperlink r:id="rId101">
        <w:r>
          <w:rPr>
            <w:rFonts w:ascii="Arial" w:cs="Arial" w:eastAsia="Arial" w:hAnsi="Arial"/>
            <w:sz w:val="18"/>
            <w:szCs w:val="18"/>
            <w:u w:val="single" w:color="auto"/>
            <w:color w:val="0000FF"/>
          </w:rPr>
          <w:t>K for the fiscal year ended February 2, 2018) (Commission File No. 001-37867).</w:t>
        </w:r>
      </w:hyperlink>
    </w:p>
    <w:p>
      <w:pPr>
        <w:spacing w:after="0" w:line="22" w:lineRule="exact"/>
        <w:rPr>
          <w:rFonts w:ascii="Arial" w:cs="Arial" w:eastAsia="Arial" w:hAnsi="Arial"/>
          <w:sz w:val="18"/>
          <w:szCs w:val="18"/>
          <w:u w:val="single" w:color="auto"/>
          <w:color w:val="0000FF"/>
        </w:rPr>
      </w:pPr>
    </w:p>
    <w:p>
      <w:pPr>
        <w:ind w:left="1620" w:right="520" w:hanging="656"/>
        <w:spacing w:after="0" w:line="298" w:lineRule="auto"/>
        <w:tabs>
          <w:tab w:leader="none" w:pos="1600" w:val="left"/>
        </w:tabs>
        <w:rPr>
          <w:rFonts w:ascii="Arial" w:cs="Arial" w:eastAsia="Arial" w:hAnsi="Arial"/>
          <w:sz w:val="17"/>
          <w:szCs w:val="17"/>
          <w:u w:val="single" w:color="auto"/>
          <w:color w:val="0000FF"/>
        </w:rPr>
      </w:pPr>
      <w:hyperlink r:id="rId102">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02">
        <w:r>
          <w:rPr>
            <w:rFonts w:ascii="Arial" w:cs="Arial" w:eastAsia="Arial" w:hAnsi="Arial"/>
            <w:sz w:val="17"/>
            <w:szCs w:val="17"/>
            <w:u w:val="single" w:color="auto"/>
            <w:color w:val="0000FF"/>
          </w:rPr>
          <w:t>Offer Letter to Howard D. Elias, dated August 12, 2016 (incorporated by reference to Exhibit 10.49 to the Company’s Annual</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Report on Form 10-K for the fiscal year ended February 2, 2018) (Commission File No. 001-37867).</w:t>
        </w:r>
      </w:hyperlink>
    </w:p>
    <w:p>
      <w:pPr>
        <w:spacing w:after="0" w:line="1" w:lineRule="exact"/>
        <w:rPr>
          <w:rFonts w:ascii="Arial" w:cs="Arial" w:eastAsia="Arial" w:hAnsi="Arial"/>
          <w:sz w:val="18"/>
          <w:szCs w:val="18"/>
          <w:u w:val="single" w:color="auto"/>
          <w:color w:val="0000FF"/>
        </w:rPr>
      </w:pPr>
    </w:p>
    <w:p>
      <w:pPr>
        <w:ind w:left="1620" w:right="300" w:hanging="656"/>
        <w:spacing w:after="0" w:line="298" w:lineRule="auto"/>
        <w:tabs>
          <w:tab w:leader="none" w:pos="1600" w:val="left"/>
        </w:tabs>
        <w:rPr>
          <w:rFonts w:ascii="Arial" w:cs="Arial" w:eastAsia="Arial" w:hAnsi="Arial"/>
          <w:sz w:val="17"/>
          <w:szCs w:val="17"/>
          <w:u w:val="single" w:color="auto"/>
          <w:color w:val="0000FF"/>
        </w:rPr>
      </w:pPr>
      <w:hyperlink r:id="rId103">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03">
        <w:r>
          <w:rPr>
            <w:rFonts w:ascii="Arial" w:cs="Arial" w:eastAsia="Arial" w:hAnsi="Arial"/>
            <w:sz w:val="17"/>
            <w:szCs w:val="17"/>
            <w:u w:val="single" w:color="auto"/>
            <w:color w:val="0000FF"/>
          </w:rPr>
          <w:t>Offer Letter to William F. Scannell, dated August 12, 2016 (incorporated by reference to Exhibit 10.51 to the Company’s Annual</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Report on Form 10-K for the fiscal year ended February 2, 2018) (Commission File No. 001-37867).</w:t>
        </w:r>
      </w:hyperlink>
    </w:p>
    <w:p>
      <w:pPr>
        <w:spacing w:after="0" w:line="1" w:lineRule="exact"/>
        <w:rPr>
          <w:rFonts w:ascii="Arial" w:cs="Arial" w:eastAsia="Arial" w:hAnsi="Arial"/>
          <w:sz w:val="18"/>
          <w:szCs w:val="18"/>
          <w:u w:val="single" w:color="auto"/>
          <w:color w:val="0000FF"/>
        </w:rPr>
      </w:pPr>
    </w:p>
    <w:p>
      <w:pPr>
        <w:ind w:left="1620" w:right="20" w:hanging="656"/>
        <w:spacing w:after="0" w:line="286" w:lineRule="auto"/>
        <w:tabs>
          <w:tab w:leader="none" w:pos="1600" w:val="left"/>
        </w:tabs>
        <w:rPr>
          <w:rFonts w:ascii="Arial" w:cs="Arial" w:eastAsia="Arial" w:hAnsi="Arial"/>
          <w:sz w:val="17"/>
          <w:szCs w:val="17"/>
          <w:u w:val="single" w:color="auto"/>
          <w:color w:val="0000FF"/>
        </w:rPr>
      </w:pPr>
      <w:hyperlink r:id="rId104">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04">
        <w:r>
          <w:rPr>
            <w:rFonts w:ascii="Arial" w:cs="Arial" w:eastAsia="Arial" w:hAnsi="Arial"/>
            <w:sz w:val="17"/>
            <w:szCs w:val="17"/>
            <w:u w:val="single" w:color="auto"/>
            <w:color w:val="0000FF"/>
          </w:rPr>
          <w:t>Form of Amended and Restated Stock Option Agreement-Performance Vesting Option for grants to executive officers under the Dell</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Technologies Inc. 2013 Stock Incentive Plan (incorporated by reference to Exhibit 10.10 to Amendment No. 2 to the Company’s</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Registration Statement on 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ind w:left="1620" w:right="340" w:hanging="656"/>
        <w:spacing w:after="0" w:line="305" w:lineRule="auto"/>
        <w:tabs>
          <w:tab w:leader="none" w:pos="1600" w:val="left"/>
        </w:tabs>
        <w:rPr>
          <w:rFonts w:ascii="Arial" w:cs="Arial" w:eastAsia="Arial" w:hAnsi="Arial"/>
          <w:sz w:val="16"/>
          <w:szCs w:val="16"/>
          <w:u w:val="single" w:color="auto"/>
          <w:color w:val="0000FF"/>
        </w:rPr>
      </w:pPr>
      <w:hyperlink r:id="rId105">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05">
        <w:r>
          <w:rPr>
            <w:rFonts w:ascii="Arial" w:cs="Arial" w:eastAsia="Arial" w:hAnsi="Arial"/>
            <w:sz w:val="16"/>
            <w:szCs w:val="16"/>
            <w:u w:val="single" w:color="auto"/>
            <w:color w:val="0000FF"/>
          </w:rPr>
          <w:t>Form of Amended and Restated Stock Option Agreement-Performance Vesting Option for grants to employees under the Dell</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Technologies Inc. 2013 Stock Incentive Plan (incorporated by reference to Exhibit 10.11 to Amendment No. 2 to the Company’s</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20" w:right="320" w:hanging="656"/>
        <w:spacing w:after="0" w:line="305" w:lineRule="auto"/>
        <w:tabs>
          <w:tab w:leader="none" w:pos="1600" w:val="left"/>
        </w:tabs>
        <w:rPr>
          <w:rFonts w:ascii="Arial" w:cs="Arial" w:eastAsia="Arial" w:hAnsi="Arial"/>
          <w:sz w:val="16"/>
          <w:szCs w:val="16"/>
          <w:u w:val="single" w:color="auto"/>
          <w:color w:val="0000FF"/>
        </w:rPr>
      </w:pPr>
      <w:hyperlink r:id="rId106">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06">
        <w:r>
          <w:rPr>
            <w:rFonts w:ascii="Arial" w:cs="Arial" w:eastAsia="Arial" w:hAnsi="Arial"/>
            <w:sz w:val="16"/>
            <w:szCs w:val="16"/>
            <w:u w:val="single" w:color="auto"/>
            <w:color w:val="0000FF"/>
          </w:rPr>
          <w:t>Form of Amended and Restated Stock Option Agreement-Time Vesting Option for grants to executive officers under the Dell</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Technologies Inc. 2013 Stock Incentive Plan (incorporated by reference to Exhibit 10.12 to Amendment No. 2 to the Company’s</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20" w:right="60" w:hanging="656"/>
        <w:spacing w:after="0" w:line="305" w:lineRule="auto"/>
        <w:tabs>
          <w:tab w:leader="none" w:pos="1600" w:val="left"/>
        </w:tabs>
        <w:rPr>
          <w:rFonts w:ascii="Arial" w:cs="Arial" w:eastAsia="Arial" w:hAnsi="Arial"/>
          <w:sz w:val="16"/>
          <w:szCs w:val="16"/>
          <w:u w:val="single" w:color="auto"/>
          <w:color w:val="0000FF"/>
        </w:rPr>
      </w:pPr>
      <w:hyperlink r:id="rId107">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07">
        <w:r>
          <w:rPr>
            <w:rFonts w:ascii="Arial" w:cs="Arial" w:eastAsia="Arial" w:hAnsi="Arial"/>
            <w:sz w:val="16"/>
            <w:szCs w:val="16"/>
            <w:u w:val="single" w:color="auto"/>
            <w:color w:val="0000FF"/>
          </w:rPr>
          <w:t>Form of Amended and Restated Stock Option Agreement-Time Vesting Option for grants to employees under the Dell Technologies</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Inc. 2013 Stock Incentive Plan (incorporated by reference to Exhibit 10.13 to Amendment No. 2 to the Company’s Registration</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20" w:right="280" w:hanging="656"/>
        <w:spacing w:after="0" w:line="305" w:lineRule="auto"/>
        <w:tabs>
          <w:tab w:leader="none" w:pos="1600" w:val="left"/>
        </w:tabs>
        <w:rPr>
          <w:rFonts w:ascii="Arial" w:cs="Arial" w:eastAsia="Arial" w:hAnsi="Arial"/>
          <w:sz w:val="16"/>
          <w:szCs w:val="16"/>
          <w:u w:val="single" w:color="auto"/>
          <w:color w:val="0000FF"/>
        </w:rPr>
      </w:pPr>
      <w:hyperlink r:id="rId108">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08">
        <w:r>
          <w:rPr>
            <w:rFonts w:ascii="Arial" w:cs="Arial" w:eastAsia="Arial" w:hAnsi="Arial"/>
            <w:sz w:val="16"/>
            <w:szCs w:val="16"/>
            <w:u w:val="single" w:color="auto"/>
            <w:color w:val="0000FF"/>
          </w:rPr>
          <w:t>Form of Amended and Restated Dell Performance Award Agreement for grants to executive officers under the Dell Technologies</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Inc. 2013 Stock Incentive Plan (incorporated by reference to Exhibit 10.14 to Amendment No. 2 to the Company’s Registration</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jc w:val="both"/>
        <w:ind w:left="1620" w:right="60" w:hanging="656"/>
        <w:spacing w:after="0" w:line="286" w:lineRule="auto"/>
        <w:tabs>
          <w:tab w:leader="none" w:pos="1600" w:val="left"/>
        </w:tabs>
        <w:rPr>
          <w:rFonts w:ascii="Arial" w:cs="Arial" w:eastAsia="Arial" w:hAnsi="Arial"/>
          <w:sz w:val="17"/>
          <w:szCs w:val="17"/>
          <w:u w:val="single" w:color="auto"/>
          <w:color w:val="0000FF"/>
        </w:rPr>
      </w:pPr>
      <w:hyperlink r:id="rId109">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09">
        <w:r>
          <w:rPr>
            <w:rFonts w:ascii="Arial" w:cs="Arial" w:eastAsia="Arial" w:hAnsi="Arial"/>
            <w:sz w:val="17"/>
            <w:szCs w:val="17"/>
            <w:u w:val="single" w:color="auto"/>
            <w:color w:val="0000FF"/>
          </w:rPr>
          <w:t>Form of Amended and Restated Dell Performance Award Agreement for grants to employees under the Dell Technologies Inc. 2013</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Stock Incentive Plan (incorporated by reference to Exhibit 10.15 to Amendment No. 2 to the Company’s Registration Statement on</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Form S-4 filed with the Commission on October 4, 2018) (Registration No. 333-226618).</w:t>
        </w:r>
      </w:hyperlink>
    </w:p>
    <w:p>
      <w:pPr>
        <w:spacing w:after="0" w:line="200" w:lineRule="exact"/>
        <w:rPr>
          <w:rFonts w:ascii="Arial" w:cs="Arial" w:eastAsia="Arial" w:hAnsi="Arial"/>
          <w:sz w:val="17"/>
          <w:szCs w:val="17"/>
          <w:u w:val="single" w:color="auto"/>
          <w:color w:val="0000FF"/>
        </w:rPr>
      </w:pPr>
    </w:p>
    <w:p>
      <w:pPr>
        <w:spacing w:after="0" w:line="208"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125" w:right="37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1620" w:right="120" w:hanging="656"/>
        <w:spacing w:after="0" w:line="286" w:lineRule="auto"/>
        <w:tabs>
          <w:tab w:leader="none" w:pos="1600" w:val="left"/>
        </w:tabs>
        <w:rPr>
          <w:rFonts w:ascii="Arial" w:cs="Arial" w:eastAsia="Arial" w:hAnsi="Arial"/>
          <w:sz w:val="17"/>
          <w:szCs w:val="17"/>
          <w:u w:val="single" w:color="auto"/>
          <w:color w:val="0000FF"/>
        </w:rPr>
      </w:pPr>
      <w:hyperlink r:id="rId110">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10">
        <w:r>
          <w:rPr>
            <w:rFonts w:ascii="Arial" w:cs="Arial" w:eastAsia="Arial" w:hAnsi="Arial"/>
            <w:sz w:val="17"/>
            <w:szCs w:val="17"/>
            <w:u w:val="single" w:color="auto"/>
            <w:color w:val="0000FF"/>
          </w:rPr>
          <w:t>Form of Amended and Restated Dell Time Award Agreement for grants to executive officers under the Dell Technologies Inc. 2013</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Stock Incentive Plan (incorporated by reference to Exhibit 10.16 to Amendment No. 2 to the Company’s Registration Statement on</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jc w:val="both"/>
        <w:ind w:left="1620" w:right="180" w:hanging="656"/>
        <w:spacing w:after="0" w:line="263" w:lineRule="auto"/>
        <w:tabs>
          <w:tab w:leader="none" w:pos="160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Form of Amended and Restated Dell Time Award Agreement for grants to employees under the Dell Technologies Inc. 2013 Stock</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Incentive Plan (incorporated by reference to Exhibit 10.17 to Amendment No. 2 to the Company’s Registration Statement on Form</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S-4 filed with the Commission on October 4, 2018) (Registration No. 333-226618).</w:t>
        </w:r>
      </w:hyperlink>
    </w:p>
    <w:p>
      <w:pPr>
        <w:spacing w:after="0" w:line="22" w:lineRule="exact"/>
        <w:rPr>
          <w:rFonts w:ascii="Arial" w:cs="Arial" w:eastAsia="Arial" w:hAnsi="Arial"/>
          <w:sz w:val="18"/>
          <w:szCs w:val="18"/>
          <w:u w:val="single" w:color="auto"/>
          <w:color w:val="0000FF"/>
        </w:rPr>
      </w:pPr>
    </w:p>
    <w:p>
      <w:pPr>
        <w:ind w:left="1620" w:right="300" w:hanging="656"/>
        <w:spacing w:after="0" w:line="305" w:lineRule="auto"/>
        <w:tabs>
          <w:tab w:leader="none" w:pos="1600" w:val="left"/>
        </w:tabs>
        <w:rPr>
          <w:rFonts w:ascii="Arial" w:cs="Arial" w:eastAsia="Arial" w:hAnsi="Arial"/>
          <w:sz w:val="16"/>
          <w:szCs w:val="16"/>
          <w:u w:val="single" w:color="auto"/>
          <w:color w:val="0000FF"/>
        </w:rPr>
      </w:pPr>
      <w:hyperlink r:id="rId112">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12">
        <w:r>
          <w:rPr>
            <w:rFonts w:ascii="Arial" w:cs="Arial" w:eastAsia="Arial" w:hAnsi="Arial"/>
            <w:sz w:val="16"/>
            <w:szCs w:val="16"/>
            <w:u w:val="single" w:color="auto"/>
            <w:color w:val="0000FF"/>
          </w:rPr>
          <w:t>Form of Amended and Restated Dell Deferred Time Award Agreement for Non-Employee Directors under the Dell Technologies</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Inc. 2013 Stock Incentive Plan (incorporated by reference to Exhibit 10.18 to Amendment No. 2 to the Company’s Registration</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20" w:right="120" w:hanging="656"/>
        <w:spacing w:after="0" w:line="305" w:lineRule="auto"/>
        <w:tabs>
          <w:tab w:leader="none" w:pos="1600" w:val="left"/>
        </w:tabs>
        <w:rPr>
          <w:rFonts w:ascii="Arial" w:cs="Arial" w:eastAsia="Arial" w:hAnsi="Arial"/>
          <w:sz w:val="16"/>
          <w:szCs w:val="16"/>
          <w:u w:val="single" w:color="auto"/>
          <w:color w:val="0000FF"/>
        </w:rPr>
      </w:pPr>
      <w:hyperlink r:id="rId113">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13">
        <w:r>
          <w:rPr>
            <w:rFonts w:ascii="Arial" w:cs="Arial" w:eastAsia="Arial" w:hAnsi="Arial"/>
            <w:sz w:val="16"/>
            <w:szCs w:val="16"/>
            <w:u w:val="single" w:color="auto"/>
            <w:color w:val="0000FF"/>
          </w:rPr>
          <w:t>Form of Amended and Restated Stock Option Agreement for Non-Employee Directors (Annual Grant) under the Dell Technologies</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Inc. 2013 Stock Incentive Plan (incorporated by reference to Exhibit 10.19 to Amendment No. 2 to the Company’s Registration</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20" w:right="180" w:hanging="656"/>
        <w:spacing w:after="0" w:line="263" w:lineRule="auto"/>
        <w:tabs>
          <w:tab w:leader="none" w:pos="1600" w:val="left"/>
        </w:tabs>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14">
        <w:r>
          <w:rPr>
            <w:rFonts w:ascii="Arial" w:cs="Arial" w:eastAsia="Arial" w:hAnsi="Arial"/>
            <w:sz w:val="18"/>
            <w:szCs w:val="18"/>
            <w:u w:val="single" w:color="auto"/>
            <w:color w:val="0000FF"/>
          </w:rPr>
          <w:t>Form of Stock Option Agreement for Non-Employee Directors (Sign-On Grant) under the Dell Technologies Inc. 2013 Stock</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Incentive Plan (incorporated by reference to Exhibit 10.20 to Amendment No. 2 to the Company’s Registration Statement on Form</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S-4 filed with the Commission on October 4, 2018) (Registration No. 333-226618).</w:t>
        </w:r>
      </w:hyperlink>
    </w:p>
    <w:p>
      <w:pPr>
        <w:spacing w:after="0" w:line="22" w:lineRule="exact"/>
        <w:rPr>
          <w:rFonts w:ascii="Arial" w:cs="Arial" w:eastAsia="Arial" w:hAnsi="Arial"/>
          <w:sz w:val="18"/>
          <w:szCs w:val="18"/>
          <w:u w:val="single" w:color="auto"/>
          <w:color w:val="0000FF"/>
        </w:rPr>
      </w:pPr>
    </w:p>
    <w:p>
      <w:pPr>
        <w:ind w:left="1620" w:right="340" w:hanging="656"/>
        <w:spacing w:after="0" w:line="305" w:lineRule="auto"/>
        <w:tabs>
          <w:tab w:leader="none" w:pos="1600" w:val="left"/>
        </w:tabs>
        <w:rPr>
          <w:rFonts w:ascii="Arial" w:cs="Arial" w:eastAsia="Arial" w:hAnsi="Arial"/>
          <w:sz w:val="16"/>
          <w:szCs w:val="16"/>
          <w:u w:val="single" w:color="auto"/>
          <w:color w:val="0000FF"/>
        </w:rPr>
      </w:pPr>
      <w:hyperlink r:id="rId115">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15">
        <w:r>
          <w:rPr>
            <w:rFonts w:ascii="Arial" w:cs="Arial" w:eastAsia="Arial" w:hAnsi="Arial"/>
            <w:sz w:val="16"/>
            <w:szCs w:val="16"/>
            <w:u w:val="single" w:color="auto"/>
            <w:color w:val="0000FF"/>
          </w:rPr>
          <w:t>Form of Amended and Restated Stock Option Agreement for grants to executive officers (Rollover Option) under the Dell</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Technologies Inc. 2013 Stock Incentive Plan (incorporated by reference to Exhibit 10.21 to Amendment No. 2 to the Company’s</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040"/>
        <w:spacing w:after="0"/>
        <w:tabs>
          <w:tab w:leader="none" w:pos="1600" w:val="left"/>
        </w:tabs>
        <w:rPr>
          <w:rFonts w:ascii="Arial" w:cs="Arial" w:eastAsia="Arial" w:hAnsi="Arial"/>
          <w:sz w:val="16"/>
          <w:szCs w:val="16"/>
          <w:u w:val="single" w:color="auto"/>
          <w:color w:val="0000FF"/>
        </w:rPr>
      </w:pPr>
      <w:hyperlink r:id="rId116">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16">
        <w:r>
          <w:rPr>
            <w:rFonts w:ascii="Arial" w:cs="Arial" w:eastAsia="Arial" w:hAnsi="Arial"/>
            <w:sz w:val="16"/>
            <w:szCs w:val="16"/>
            <w:u w:val="single" w:color="auto"/>
            <w:color w:val="0000FF"/>
          </w:rPr>
          <w:t>Dell Technologies Inc. 2013 Stock Incentive Plan (as amended and restated as of July 9, 2019) (incorporated by reference to Exhibit</w:t>
        </w:r>
      </w:hyperlink>
    </w:p>
    <w:p>
      <w:pPr>
        <w:spacing w:after="0" w:line="23" w:lineRule="exact"/>
        <w:rPr>
          <w:sz w:val="20"/>
          <w:szCs w:val="20"/>
          <w:color w:val="auto"/>
        </w:rPr>
      </w:pPr>
    </w:p>
    <w:p>
      <w:pPr>
        <w:ind w:left="1620"/>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10.1 to the Company’s Current Report on Form 8-K filed with the Commission on July 11, 2019) (Commission File No. 001-37867).</w:t>
        </w:r>
      </w:hyperlink>
    </w:p>
    <w:p>
      <w:pPr>
        <w:spacing w:after="0" w:line="72" w:lineRule="exact"/>
        <w:rPr>
          <w:sz w:val="20"/>
          <w:szCs w:val="20"/>
          <w:color w:val="auto"/>
        </w:rPr>
      </w:pPr>
    </w:p>
    <w:p>
      <w:pPr>
        <w:ind w:left="1620" w:right="100" w:hanging="566"/>
        <w:spacing w:after="0" w:line="263" w:lineRule="auto"/>
        <w:tabs>
          <w:tab w:leader="none" w:pos="1600" w:val="left"/>
        </w:tabs>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117">
        <w:r>
          <w:rPr>
            <w:rFonts w:ascii="Arial" w:cs="Arial" w:eastAsia="Arial" w:hAnsi="Arial"/>
            <w:sz w:val="18"/>
            <w:szCs w:val="18"/>
            <w:u w:val="single" w:color="auto"/>
            <w:color w:val="0000FF"/>
          </w:rPr>
          <w:t>Amended and Restated Dell Technologies Inc. Compensation Program for Independent Non-Employee Directors (incorporated by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reference to Exhibit 10.45 to the Company’s Annual Report on Form 10-K for the fiscal year ended February 1, 2019) (Commission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File No. 001-37867).</w:t>
        </w:r>
      </w:hyperlink>
    </w:p>
    <w:p>
      <w:pPr>
        <w:spacing w:after="0" w:line="22" w:lineRule="exact"/>
        <w:rPr>
          <w:rFonts w:ascii="Arial" w:cs="Arial" w:eastAsia="Arial" w:hAnsi="Arial"/>
          <w:sz w:val="18"/>
          <w:szCs w:val="18"/>
          <w:u w:val="single" w:color="auto"/>
          <w:color w:val="0000FF"/>
        </w:rPr>
      </w:pPr>
    </w:p>
    <w:p>
      <w:pPr>
        <w:ind w:left="1620" w:right="220" w:hanging="566"/>
        <w:spacing w:after="0" w:line="316" w:lineRule="auto"/>
        <w:tabs>
          <w:tab w:leader="none" w:pos="1600" w:val="left"/>
        </w:tabs>
        <w:rPr>
          <w:rFonts w:ascii="Arial" w:cs="Arial" w:eastAsia="Arial" w:hAnsi="Arial"/>
          <w:sz w:val="16"/>
          <w:szCs w:val="16"/>
          <w:u w:val="single" w:color="auto"/>
          <w:color w:val="0000FF"/>
        </w:rPr>
      </w:pPr>
      <w:hyperlink r:id="rId118">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18">
        <w:r>
          <w:rPr>
            <w:rFonts w:ascii="Arial" w:cs="Arial" w:eastAsia="Arial" w:hAnsi="Arial"/>
            <w:sz w:val="16"/>
            <w:szCs w:val="16"/>
            <w:u w:val="single" w:color="auto"/>
            <w:color w:val="0000FF"/>
          </w:rPr>
          <w:t>Letter Agreement, dated as of July 1, 2018, between the Company and VMware, Inc. (incorporated by reference to Exhibit 10.2 to</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the Company’s Current Report on Form 8-K filed with the Commission on July 2, 2018) (Commission File No. 001-37867).</w:t>
        </w:r>
      </w:hyperlink>
    </w:p>
    <w:p>
      <w:pPr>
        <w:spacing w:after="0" w:line="2" w:lineRule="exact"/>
        <w:rPr>
          <w:rFonts w:ascii="Arial" w:cs="Arial" w:eastAsia="Arial" w:hAnsi="Arial"/>
          <w:sz w:val="18"/>
          <w:szCs w:val="18"/>
          <w:u w:val="single" w:color="auto"/>
          <w:color w:val="0000FF"/>
        </w:rPr>
      </w:pPr>
    </w:p>
    <w:p>
      <w:pPr>
        <w:ind w:left="1620" w:right="100" w:hanging="566"/>
        <w:spacing w:after="0" w:line="255" w:lineRule="auto"/>
        <w:tabs>
          <w:tab w:leader="none" w:pos="160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Commitment Letter, dated November 14, 2018, among Dell, Inc., Bank of America, N.A., Merrill Lynch, Pierce, Fenner &amp; Smith</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Incorporated, Barclays Bank PLC, Citigroup Global Markets Inc., Credit Suisse AG, Cayman Islands Branch, Credit Suisse Loan</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Funding LLC, Goldman Sachs Bank, USA, JPMorgan Chase Bank, N.A., Morgan Stanley Senior Funding, Inc., Deutsche Bank AG</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New York Branch, Deutsche Bank Securities Inc., Royal Bank of Canada, UBS Securities LLC and UBS AG, Stamford Branch</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(incorporated by reference to Exhibit 10.1 to the Company’s Current Report on Form 8-K/A filed with the Commission on</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November 15, 2018) (Commission File No. 001-37867).</w:t>
        </w:r>
      </w:hyperlink>
    </w:p>
    <w:p>
      <w:pPr>
        <w:spacing w:after="0" w:line="30" w:lineRule="exact"/>
        <w:rPr>
          <w:rFonts w:ascii="Arial" w:cs="Arial" w:eastAsia="Arial" w:hAnsi="Arial"/>
          <w:sz w:val="18"/>
          <w:szCs w:val="18"/>
          <w:u w:val="single" w:color="auto"/>
          <w:color w:val="0000FF"/>
        </w:rPr>
      </w:pPr>
    </w:p>
    <w:p>
      <w:pPr>
        <w:ind w:left="1620" w:right="180" w:hanging="566"/>
        <w:spacing w:after="0" w:line="316" w:lineRule="auto"/>
        <w:tabs>
          <w:tab w:leader="none" w:pos="1600" w:val="left"/>
        </w:tabs>
        <w:rPr>
          <w:rFonts w:ascii="Arial" w:cs="Arial" w:eastAsia="Arial" w:hAnsi="Arial"/>
          <w:sz w:val="16"/>
          <w:szCs w:val="16"/>
          <w:u w:val="single" w:color="auto"/>
          <w:color w:val="0000FF"/>
        </w:rPr>
      </w:pPr>
      <w:hyperlink r:id="rId120">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120">
        <w:r>
          <w:rPr>
            <w:rFonts w:ascii="Arial" w:cs="Arial" w:eastAsia="Arial" w:hAnsi="Arial"/>
            <w:sz w:val="16"/>
            <w:szCs w:val="16"/>
            <w:u w:val="single" w:color="auto"/>
            <w:color w:val="0000FF"/>
          </w:rPr>
          <w:t>Waiver, dated as of November 14, 2018, among the Company and VMware, Inc. (incorporated by reference to Exhibit 10.6 to the</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Company’s Current Report on Form 8-K/A filed with the Commission on November 15, 2018) (Commission File No. 001-37867).</w:t>
        </w:r>
      </w:hyperlink>
    </w:p>
    <w:p>
      <w:pPr>
        <w:spacing w:after="0" w:line="2" w:lineRule="exact"/>
        <w:rPr>
          <w:rFonts w:ascii="Arial" w:cs="Arial" w:eastAsia="Arial" w:hAnsi="Arial"/>
          <w:sz w:val="18"/>
          <w:szCs w:val="18"/>
          <w:u w:val="single" w:color="auto"/>
          <w:color w:val="0000FF"/>
        </w:rPr>
      </w:pPr>
    </w:p>
    <w:p>
      <w:pPr>
        <w:ind w:left="1620" w:right="460" w:hanging="566"/>
        <w:spacing w:after="0" w:line="257" w:lineRule="auto"/>
        <w:tabs>
          <w:tab w:leader="none" w:pos="1600" w:val="left"/>
        </w:tabs>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121">
        <w:r>
          <w:rPr>
            <w:rFonts w:ascii="Arial" w:cs="Arial" w:eastAsia="Arial" w:hAnsi="Arial"/>
            <w:sz w:val="18"/>
            <w:szCs w:val="18"/>
            <w:u w:val="single" w:color="auto"/>
            <w:color w:val="0000FF"/>
          </w:rPr>
          <w:t>Fourth Amendment, dated as of December 20, 2018, to the Credit Agreement among Denali Intermediate Inc., Dell Inc., Dell</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International L.L.C., EMC Corporation, Credit Suisse AG, Cayman Islands Branch, as Term Loan B Administrative Agent and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Collateral Agent, JPMorgan Chase Bank, N.A., as Term Loan A/Revolver Administrative Agent, and the lenders party thereto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(incorporated by reference to Exhibit 10.1 to the Company’s Current Report on Form 8-K filed with the Commission on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December 21, 2018) (Commission File No. 001-37867).</w:t>
        </w:r>
      </w:hyperlink>
    </w:p>
    <w:p>
      <w:pPr>
        <w:spacing w:after="0" w:line="26" w:lineRule="exact"/>
        <w:rPr>
          <w:rFonts w:ascii="Arial" w:cs="Arial" w:eastAsia="Arial" w:hAnsi="Arial"/>
          <w:sz w:val="18"/>
          <w:szCs w:val="18"/>
          <w:u w:val="single" w:color="auto"/>
          <w:color w:val="0000FF"/>
        </w:rPr>
      </w:pPr>
    </w:p>
    <w:p>
      <w:pPr>
        <w:ind w:left="1620" w:hanging="566"/>
        <w:spacing w:after="0" w:line="259" w:lineRule="auto"/>
        <w:tabs>
          <w:tab w:leader="none" w:pos="160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MD Stockholders Agreement, dated as of December 25, 2018, by and among the Company, Denali Intermediate Inc., Dell Inc., EMC</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Corporation, Denali Finance Corp., Dell International L.L.C., Michael S. Dell and the Susan Lieberman Dell Separate Property Trust</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(incorporated by reference to Exhibit 10.1 to the Company’s Current Report on Form 8-K filed with the Commission on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December 28, 2018) (Commission File No. 001-37867).</w:t>
        </w:r>
      </w:hyperlink>
    </w:p>
    <w:p>
      <w:pPr>
        <w:spacing w:after="0" w:line="25" w:lineRule="exact"/>
        <w:rPr>
          <w:rFonts w:ascii="Arial" w:cs="Arial" w:eastAsia="Arial" w:hAnsi="Arial"/>
          <w:sz w:val="18"/>
          <w:szCs w:val="18"/>
          <w:u w:val="single" w:color="auto"/>
          <w:color w:val="0000FF"/>
        </w:rPr>
      </w:pPr>
    </w:p>
    <w:p>
      <w:pPr>
        <w:ind w:left="1620" w:right="100" w:hanging="566"/>
        <w:spacing w:after="0" w:line="257" w:lineRule="auto"/>
        <w:tabs>
          <w:tab w:leader="none" w:pos="160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10.48</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SLP Stockholders Agreement, dated as of December 25, 2018, by and among the Company, Denali Intermediate Inc., Dell Inc.,</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EMC Corporation, Denali Finance Corp., Dell International L.L.C., Silver Lake Partners III, L.P., Silver Lake Technology Investors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III, L.P., Silver Lake Partners IV, L.P., Silver Lake Technology Investors IV, L.P. and SLP Denali Co-Invest, L.P. and the other</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stockholders named therein (incorporated by reference to Exhibit 10.2 to the Company’s Current Report on Form 8-K filed with the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Commission on December 28, 2018) (Commission File No. 001-37867).</w:t>
        </w:r>
      </w:hyperlink>
    </w:p>
    <w:p>
      <w:pPr>
        <w:spacing w:after="0" w:line="200" w:lineRule="exact"/>
        <w:rPr>
          <w:rFonts w:ascii="Arial" w:cs="Arial" w:eastAsia="Arial" w:hAnsi="Arial"/>
          <w:sz w:val="18"/>
          <w:szCs w:val="18"/>
          <w:u w:val="single" w:color="auto"/>
          <w:color w:val="0000FF"/>
        </w:rPr>
      </w:pPr>
    </w:p>
    <w:p>
      <w:pPr>
        <w:spacing w:after="0" w:line="23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125" w:right="3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gridSpan w:val="3"/>
          </w:tcPr>
          <w:p>
            <w:pPr>
              <w:spacing w:after="0"/>
              <w:rPr>
                <w:sz w:val="24"/>
                <w:szCs w:val="24"/>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2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49</w:t>
              </w:r>
            </w:hyperlink>
          </w:p>
        </w:tc>
        <w:tc>
          <w:tcPr>
            <w:tcW w:w="160" w:type="dxa"/>
            <w:vAlign w:val="bottom"/>
          </w:tcPr>
          <w:p>
            <w:pPr>
              <w:spacing w:after="0"/>
              <w:rPr>
                <w:sz w:val="24"/>
                <w:szCs w:val="24"/>
                <w:color w:val="auto"/>
              </w:rPr>
            </w:pPr>
          </w:p>
        </w:tc>
        <w:tc>
          <w:tcPr>
            <w:tcW w:w="9540" w:type="dxa"/>
            <w:vAlign w:val="bottom"/>
            <w:tcBorders>
              <w:bottom w:val="single" w:sz="8" w:color="0000FF"/>
            </w:tcBorders>
            <w:gridSpan w:val="31"/>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MSD Partners Stockholders Agreement, dated as of December 25, 2018, by and among the Company, Denali Intermediate Inc., Dell</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bottom w:val="single" w:sz="8" w:color="0000FF"/>
            </w:tcBorders>
            <w:gridSpan w:val="32"/>
          </w:tcPr>
          <w:p>
            <w:pPr>
              <w:spacing w:after="0" w:line="19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Inc., EMC Corporation, Denali Finance Corp., Dell International L.L.C., MSDC Denali Investors, L.P., MSDC Denali EIV, LLC and</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the other stockholders named therein (incorporated by reference to Exhibit 10.3 to the Company’s Current Report on Form 8-K filed</w:t>
              </w:r>
            </w:hyperlink>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with the Commission on December 28, 2018) (Commission File No. 001-37867).</w:t>
              </w:r>
            </w:hyperlink>
          </w:p>
        </w:tc>
        <w:tc>
          <w:tcPr>
            <w:tcW w:w="3700" w:type="dxa"/>
            <w:vAlign w:val="bottom"/>
            <w:gridSpan w:val="25"/>
          </w:tcPr>
          <w:p>
            <w:pPr>
              <w:spacing w:after="0"/>
              <w:rPr>
                <w:sz w:val="17"/>
                <w:szCs w:val="17"/>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2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50</w:t>
              </w:r>
            </w:hyperlink>
          </w:p>
        </w:tc>
        <w:tc>
          <w:tcPr>
            <w:tcW w:w="160" w:type="dxa"/>
            <w:vAlign w:val="bottom"/>
          </w:tcPr>
          <w:p>
            <w:pPr>
              <w:spacing w:after="0"/>
              <w:rPr>
                <w:sz w:val="21"/>
                <w:szCs w:val="21"/>
                <w:color w:val="auto"/>
              </w:rPr>
            </w:pPr>
          </w:p>
        </w:tc>
        <w:tc>
          <w:tcPr>
            <w:tcW w:w="9540" w:type="dxa"/>
            <w:vAlign w:val="bottom"/>
            <w:tcBorders>
              <w:bottom w:val="single" w:sz="8" w:color="0000FF"/>
            </w:tcBorders>
            <w:gridSpan w:val="31"/>
          </w:tcPr>
          <w:p>
            <w:pPr>
              <w:spacing w:after="0"/>
              <w:rPr>
                <w:rFonts w:ascii="Arial" w:cs="Arial" w:eastAsia="Arial" w:hAnsi="Arial"/>
                <w:sz w:val="18"/>
                <w:szCs w:val="18"/>
                <w:color w:val="0000FF"/>
                <w:w w:val="88"/>
              </w:rPr>
            </w:pPr>
            <w:hyperlink r:id="rId125">
              <w:r>
                <w:rPr>
                  <w:rFonts w:ascii="Arial" w:cs="Arial" w:eastAsia="Arial" w:hAnsi="Arial"/>
                  <w:sz w:val="18"/>
                  <w:szCs w:val="18"/>
                  <w:color w:val="0000FF"/>
                  <w:w w:val="88"/>
                </w:rPr>
                <w:t>Second Amended and Restated Management Stockholders Agreement, dated as of December 25, 2018, by and among the Company,</w:t>
              </w:r>
            </w:hyperlink>
          </w:p>
        </w:tc>
        <w:tc>
          <w:tcPr>
            <w:tcW w:w="2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Michael S. Dell, Susan Lieberman Dell Separate Property Trust, Silver Lake Partners III, L.P., Silver Lake Technology Investors III,</w:t>
              </w:r>
            </w:hyperlink>
          </w:p>
        </w:tc>
        <w:tc>
          <w:tcPr>
            <w:tcW w:w="4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L.P., Silver Lake Partners IV, L.P., Silver Lake Technology Investors IV, L.P., SLP Denali Co-Invest, L.P. and the Management</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Stockholders (as defined therein) (incorporated by reference to Exhibit 10.5 to the Company’s Current Report on Form 8-K filed</w:t>
              </w:r>
            </w:hyperlink>
          </w:p>
        </w:tc>
        <w:tc>
          <w:tcPr>
            <w:tcW w:w="28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with the Commission on December 28, 2018) (Commission File No. 001-37867).</w:t>
              </w:r>
            </w:hyperlink>
          </w:p>
        </w:tc>
        <w:tc>
          <w:tcPr>
            <w:tcW w:w="3700" w:type="dxa"/>
            <w:vAlign w:val="bottom"/>
            <w:gridSpan w:val="25"/>
          </w:tcPr>
          <w:p>
            <w:pPr>
              <w:spacing w:after="0"/>
              <w:rPr>
                <w:sz w:val="17"/>
                <w:szCs w:val="17"/>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51</w:t>
              </w:r>
            </w:hyperlink>
          </w:p>
        </w:tc>
        <w:tc>
          <w:tcPr>
            <w:tcW w:w="160" w:type="dxa"/>
            <w:vAlign w:val="bottom"/>
          </w:tcPr>
          <w:p>
            <w:pPr>
              <w:spacing w:after="0"/>
              <w:rPr>
                <w:sz w:val="21"/>
                <w:szCs w:val="21"/>
                <w:color w:val="auto"/>
              </w:rPr>
            </w:pPr>
          </w:p>
        </w:tc>
        <w:tc>
          <w:tcPr>
            <w:tcW w:w="9400" w:type="dxa"/>
            <w:vAlign w:val="bottom"/>
            <w:tcBorders>
              <w:bottom w:val="single" w:sz="8" w:color="0000FF"/>
            </w:tcBorders>
            <w:gridSpan w:val="26"/>
          </w:tcPr>
          <w:p>
            <w:pPr>
              <w:spacing w:after="0"/>
              <w:rPr>
                <w:rFonts w:ascii="Arial" w:cs="Arial" w:eastAsia="Arial" w:hAnsi="Arial"/>
                <w:sz w:val="18"/>
                <w:szCs w:val="18"/>
                <w:color w:val="0000FF"/>
                <w:w w:val="89"/>
              </w:rPr>
            </w:pPr>
            <w:hyperlink r:id="rId126">
              <w:r>
                <w:rPr>
                  <w:rFonts w:ascii="Arial" w:cs="Arial" w:eastAsia="Arial" w:hAnsi="Arial"/>
                  <w:sz w:val="18"/>
                  <w:szCs w:val="18"/>
                  <w:color w:val="0000FF"/>
                  <w:w w:val="89"/>
                </w:rPr>
                <w:t>Amended and Restated Class C Stockholders Agreement, dated as of December 25, 2018, by and among the Company, Michael S.</w:t>
              </w:r>
            </w:hyperlink>
          </w:p>
        </w:tc>
        <w:tc>
          <w:tcPr>
            <w:tcW w:w="160" w:type="dxa"/>
            <w:vAlign w:val="bottom"/>
            <w:gridSpan w:val="6"/>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6"/>
              </w:rPr>
            </w:pPr>
            <w:hyperlink r:id="rId126">
              <w:r>
                <w:rPr>
                  <w:rFonts w:ascii="Arial" w:cs="Arial" w:eastAsia="Arial" w:hAnsi="Arial"/>
                  <w:sz w:val="18"/>
                  <w:szCs w:val="18"/>
                  <w:color w:val="0000FF"/>
                  <w:w w:val="96"/>
                </w:rPr>
                <w:t>Dell, Susan Lieberman Dell Separate Property Trust, Silver Lake Partners III, L.P., Silver Lake Partners IV, L.P., Silver Lake</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Technology Investors III, L.P., Silver Lake Technology Investors IV, L.P., SLP Denali Co-Invest, L.P. and Venezio Investments Pte.</w:t>
              </w:r>
            </w:hyperlink>
          </w:p>
        </w:tc>
        <w:tc>
          <w:tcPr>
            <w:tcW w:w="10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Ltd. (incorporated by reference to Exhibit 10.6 to the Company’s Current Report on Form 8-K filed with the Commission on</w:t>
              </w:r>
            </w:hyperlink>
          </w:p>
        </w:tc>
        <w:tc>
          <w:tcPr>
            <w:tcW w:w="580" w:type="dxa"/>
            <w:vAlign w:val="bottom"/>
            <w:gridSpan w:val="1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December 28, 2018) (Commission File No. 001-37867).</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2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52</w:t>
              </w:r>
            </w:hyperlink>
          </w:p>
        </w:tc>
        <w:tc>
          <w:tcPr>
            <w:tcW w:w="160" w:type="dxa"/>
            <w:vAlign w:val="bottom"/>
          </w:tcPr>
          <w:p>
            <w:pPr>
              <w:spacing w:after="0"/>
              <w:rPr>
                <w:sz w:val="21"/>
                <w:szCs w:val="21"/>
                <w:color w:val="auto"/>
              </w:rPr>
            </w:pPr>
          </w:p>
        </w:tc>
        <w:tc>
          <w:tcPr>
            <w:tcW w:w="9160" w:type="dxa"/>
            <w:vAlign w:val="bottom"/>
            <w:tcBorders>
              <w:bottom w:val="single" w:sz="8" w:color="0000FF"/>
            </w:tcBorders>
            <w:gridSpan w:val="19"/>
          </w:tcPr>
          <w:p>
            <w:pPr>
              <w:spacing w:after="0"/>
              <w:rPr>
                <w:rFonts w:ascii="Arial" w:cs="Arial" w:eastAsia="Arial" w:hAnsi="Arial"/>
                <w:sz w:val="18"/>
                <w:szCs w:val="18"/>
                <w:color w:val="0000FF"/>
                <w:w w:val="88"/>
              </w:rPr>
            </w:pPr>
            <w:hyperlink r:id="rId127">
              <w:r>
                <w:rPr>
                  <w:rFonts w:ascii="Arial" w:cs="Arial" w:eastAsia="Arial" w:hAnsi="Arial"/>
                  <w:sz w:val="18"/>
                  <w:szCs w:val="18"/>
                  <w:color w:val="0000FF"/>
                  <w:w w:val="88"/>
                </w:rPr>
                <w:t>Second Amended and Restated Class A Stockholders Agreement, dated as of December 25, 2018, by and among the Company,</w:t>
              </w:r>
            </w:hyperlink>
          </w:p>
        </w:tc>
        <w:tc>
          <w:tcPr>
            <w:tcW w:w="400" w:type="dxa"/>
            <w:vAlign w:val="bottom"/>
            <w:gridSpan w:val="13"/>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Michael S. Dell, Susan Lieberman Dell Separate Property Trust, Silver Lake Partners III, L.P., Silver Lake Partners IV, L.P., Silver</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Lake Technology Investors III, L.P., Silver Lake Technology Investors IV, L.P., SLP Denali Co-Invest, L.P. and the New Class A</w:t>
              </w:r>
            </w:hyperlink>
          </w:p>
        </w:tc>
        <w:tc>
          <w:tcPr>
            <w:tcW w:w="120" w:type="dxa"/>
            <w:vAlign w:val="bottom"/>
            <w:tcBorders>
              <w:top w:val="single" w:sz="8" w:color="0000FF"/>
            </w:tcBorders>
            <w:gridSpan w:val="3"/>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Stockholders party thereto (incorporated by reference to Exhibit 10.7 to the Company’s Current Report on Form 8-K filed with the</w:t>
              </w:r>
            </w:hyperlink>
          </w:p>
        </w:tc>
        <w:tc>
          <w:tcPr>
            <w:tcW w:w="16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Commission on December 28, 2018) (Commission File No. 001-37867).</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2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53</w:t>
              </w:r>
            </w:hyperlink>
          </w:p>
        </w:tc>
        <w:tc>
          <w:tcPr>
            <w:tcW w:w="160" w:type="dxa"/>
            <w:vAlign w:val="bottom"/>
          </w:tcPr>
          <w:p>
            <w:pPr>
              <w:spacing w:after="0"/>
              <w:rPr>
                <w:sz w:val="21"/>
                <w:szCs w:val="21"/>
                <w:color w:val="auto"/>
              </w:rPr>
            </w:pPr>
          </w:p>
        </w:tc>
        <w:tc>
          <w:tcPr>
            <w:tcW w:w="8800" w:type="dxa"/>
            <w:vAlign w:val="bottom"/>
            <w:tcBorders>
              <w:bottom w:val="single" w:sz="8" w:color="0000FF"/>
            </w:tcBorders>
            <w:gridSpan w:val="13"/>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Fifth Amendment, dated as of March 13, 2019, among Denali Intermediate Inc., Dell Inc., Dell International L.L.C., EMC</w:t>
              </w:r>
            </w:hyperlink>
          </w:p>
        </w:tc>
        <w:tc>
          <w:tcPr>
            <w:tcW w:w="760" w:type="dxa"/>
            <w:vAlign w:val="bottom"/>
            <w:gridSpan w:val="19"/>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Corporation, Credit Suisse AG, Cayman Islands Branch, as Term Loan B Administrative Agent and Collateral Agent, JPMorgan</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FF"/>
            </w:tcBorders>
            <w:gridSpan w:val="21"/>
          </w:tcPr>
          <w:p>
            <w:pPr>
              <w:spacing w:after="0" w:line="19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Chase Bank, N.A., as Term Loan A/Revolver Administrative Agent, and the lenders party thereto (incorporated by reference to</w:t>
              </w:r>
            </w:hyperlink>
          </w:p>
        </w:tc>
        <w:tc>
          <w:tcPr>
            <w:tcW w:w="320" w:type="dxa"/>
            <w:vAlign w:val="bottom"/>
            <w:gridSpan w:val="11"/>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Exhibit 10.1 to the Company’s Current Report on Form 8-K filed with the Commission on March 14, 2019) (Commission File No.</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001-37867).</w:t>
              </w:r>
            </w:hyperlink>
          </w:p>
        </w:tc>
        <w:tc>
          <w:tcPr>
            <w:tcW w:w="16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3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54</w:t>
              </w:r>
            </w:hyperlink>
          </w:p>
        </w:tc>
        <w:tc>
          <w:tcPr>
            <w:tcW w:w="160" w:type="dxa"/>
            <w:vAlign w:val="bottom"/>
          </w:tcPr>
          <w:p>
            <w:pPr>
              <w:spacing w:after="0"/>
              <w:rPr>
                <w:sz w:val="21"/>
                <w:szCs w:val="21"/>
                <w:color w:val="auto"/>
              </w:rPr>
            </w:pPr>
          </w:p>
        </w:tc>
        <w:tc>
          <w:tcPr>
            <w:tcW w:w="9500" w:type="dxa"/>
            <w:vAlign w:val="bottom"/>
            <w:tcBorders>
              <w:bottom w:val="single" w:sz="8" w:color="0000FF"/>
            </w:tcBorders>
            <w:gridSpan w:val="29"/>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Form of Restricted Stock Unit Agreement under the Dell Technologies Inc. 2013 Stock Incentive Plan (incorporated by reference to</w:t>
              </w:r>
            </w:hyperlink>
          </w:p>
        </w:tc>
        <w:tc>
          <w:tcPr>
            <w:tcW w:w="60" w:type="dxa"/>
            <w:vAlign w:val="bottom"/>
            <w:gridSpan w:val="3"/>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Exhibit 10.1 to the Company’s Current Report on Form 8-K filed with the Commission on March 19, 2019) (Commission File No.</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001-37867).</w:t>
              </w:r>
            </w:hyperlink>
          </w:p>
        </w:tc>
        <w:tc>
          <w:tcPr>
            <w:tcW w:w="16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r:id="rId13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55</w:t>
              </w:r>
            </w:hyperlink>
          </w:p>
        </w:tc>
        <w:tc>
          <w:tcPr>
            <w:tcW w:w="160" w:type="dxa"/>
            <w:vAlign w:val="bottom"/>
          </w:tcPr>
          <w:p>
            <w:pPr>
              <w:spacing w:after="0"/>
              <w:rPr>
                <w:sz w:val="21"/>
                <w:szCs w:val="21"/>
                <w:color w:val="auto"/>
              </w:rPr>
            </w:pPr>
          </w:p>
        </w:tc>
        <w:tc>
          <w:tcPr>
            <w:tcW w:w="8820" w:type="dxa"/>
            <w:vAlign w:val="bottom"/>
            <w:tcBorders>
              <w:bottom w:val="single" w:sz="8" w:color="0000FF"/>
            </w:tcBorders>
            <w:gridSpan w:val="14"/>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Form of Performance-Based Restricted Stock Unit Agreement under the Dell Technologies Inc. 2013 Stock Incentive Plan</w:t>
              </w:r>
            </w:hyperlink>
          </w:p>
        </w:tc>
        <w:tc>
          <w:tcPr>
            <w:tcW w:w="740" w:type="dxa"/>
            <w:vAlign w:val="bottom"/>
            <w:gridSpan w:val="18"/>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(incorporated by reference to Exhibit 10.2 to the Company’s Current Report on Form 8-K filed with the Commission on March 19,</w:t>
              </w:r>
            </w:hyperlink>
          </w:p>
        </w:tc>
        <w:tc>
          <w:tcPr>
            <w:tcW w:w="14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2019) (Commission File No. 001-37867).</w:t>
              </w:r>
            </w:hyperlink>
          </w:p>
        </w:tc>
        <w:tc>
          <w:tcPr>
            <w:tcW w:w="6560" w:type="dxa"/>
            <w:vAlign w:val="bottom"/>
            <w:gridSpan w:val="28"/>
          </w:tcPr>
          <w:p>
            <w:pPr>
              <w:spacing w:after="0"/>
              <w:rPr>
                <w:sz w:val="17"/>
                <w:szCs w:val="17"/>
                <w:color w:val="auto"/>
              </w:rPr>
            </w:pPr>
          </w:p>
        </w:tc>
      </w:tr>
      <w:tr>
        <w:trPr>
          <w:trHeight w:val="250"/>
        </w:trPr>
        <w:tc>
          <w:tcPr>
            <w:tcW w:w="1040" w:type="dxa"/>
            <w:vAlign w:val="bottom"/>
            <w:gridSpan w:val="3"/>
          </w:tcPr>
          <w:p>
            <w:pPr>
              <w:spacing w:after="0"/>
              <w:rPr>
                <w:sz w:val="21"/>
                <w:szCs w:val="21"/>
                <w:color w:val="auto"/>
              </w:rPr>
            </w:pPr>
          </w:p>
        </w:tc>
        <w:tc>
          <w:tcPr>
            <w:tcW w:w="4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56</w:t>
            </w:r>
          </w:p>
        </w:tc>
        <w:tc>
          <w:tcPr>
            <w:tcW w:w="160" w:type="dxa"/>
            <w:vAlign w:val="bottom"/>
          </w:tcPr>
          <w:p>
            <w:pPr>
              <w:spacing w:after="0"/>
              <w:rPr>
                <w:sz w:val="21"/>
                <w:szCs w:val="21"/>
                <w:color w:val="auto"/>
              </w:rPr>
            </w:pPr>
          </w:p>
        </w:tc>
        <w:tc>
          <w:tcPr>
            <w:tcW w:w="91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Sixth Refinancing Amendment, dated as of September 19, 2019, among Denali Intermediate Inc., Dell Inc., Dell International</w:t>
            </w:r>
          </w:p>
        </w:tc>
        <w:tc>
          <w:tcPr>
            <w:tcW w:w="440" w:type="dxa"/>
            <w:vAlign w:val="bottom"/>
            <w:gridSpan w:val="14"/>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2"/>
          </w:tcPr>
          <w:p>
            <w:pPr>
              <w:spacing w:after="0" w:line="196" w:lineRule="exact"/>
              <w:rPr>
                <w:sz w:val="20"/>
                <w:szCs w:val="20"/>
                <w:color w:val="auto"/>
              </w:rPr>
            </w:pPr>
            <w:r>
              <w:rPr>
                <w:rFonts w:ascii="Arial" w:cs="Arial" w:eastAsia="Arial" w:hAnsi="Arial"/>
                <w:sz w:val="18"/>
                <w:szCs w:val="18"/>
                <w:color w:val="0000FF"/>
                <w:w w:val="92"/>
              </w:rPr>
              <w:t>L.L.C., EMC Corporation, Credit Suisse AG, Cayman Islands Branch, as Term Loan B Administrative Agent and Collateral Agent,</w:t>
            </w: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60" w:type="dxa"/>
            <w:vAlign w:val="bottom"/>
            <w:tcBorders>
              <w:top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5"/>
              </w:rPr>
              <w:t>JPMorgan Chase Bank, N.A., as Term Loan A/Revolver Administrative Agent, and the lenders party thereto (incorporated by</w:t>
            </w:r>
          </w:p>
        </w:tc>
        <w:tc>
          <w:tcPr>
            <w:tcW w:w="10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2"/>
              </w:rPr>
              <w:t>reference to Exhibit 10.1 to the Company’s Current Report on Form 8-K filed with the Commission on September 23, 2019)</w:t>
            </w:r>
          </w:p>
        </w:tc>
        <w:tc>
          <w:tcPr>
            <w:tcW w:w="540" w:type="dxa"/>
            <w:vAlign w:val="bottom"/>
            <w:gridSpan w:val="1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6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(Commission File No. 001-37867).</w:t>
            </w:r>
          </w:p>
        </w:tc>
        <w:tc>
          <w:tcPr>
            <w:tcW w:w="600" w:type="dxa"/>
            <w:vAlign w:val="bottom"/>
            <w:gridSpan w:val="17"/>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87"/>
              </w:rPr>
            </w:pPr>
            <w:hyperlink w:anchor="page219">
              <w:r>
                <w:rPr>
                  <w:rFonts w:ascii="Arial" w:cs="Arial" w:eastAsia="Arial" w:hAnsi="Arial"/>
                  <w:sz w:val="18"/>
                  <w:szCs w:val="18"/>
                  <w:color w:val="0000FF"/>
                  <w:w w:val="87"/>
                </w:rPr>
                <w:t>21.</w:t>
              </w:r>
              <w:r>
                <w:rPr>
                  <w:rFonts w:ascii="Arial" w:cs="Arial" w:eastAsia="Arial" w:hAnsi="Arial"/>
                  <w:sz w:val="18"/>
                  <w:szCs w:val="18"/>
                  <w:u w:val="single" w:color="auto"/>
                  <w:color w:val="0000FF"/>
                  <w:w w:val="87"/>
                </w:rPr>
                <w:t>1††</w:t>
              </w:r>
            </w:hyperlink>
          </w:p>
        </w:tc>
        <w:tc>
          <w:tcPr>
            <w:tcW w:w="1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Subsidiaries of Dell Technologies Inc.</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0000FF"/>
            </w:tcBorders>
            <w:gridSpan w:val="3"/>
          </w:tcPr>
          <w:p>
            <w:pPr>
              <w:jc w:val="right"/>
              <w:spacing w:after="0"/>
              <w:rPr>
                <w:rFonts w:ascii="Arial" w:cs="Arial" w:eastAsia="Arial" w:hAnsi="Arial"/>
                <w:sz w:val="18"/>
                <w:szCs w:val="18"/>
                <w:color w:val="0000FF"/>
                <w:w w:val="87"/>
              </w:rPr>
            </w:pPr>
            <w:hyperlink w:anchor="page230">
              <w:r>
                <w:rPr>
                  <w:rFonts w:ascii="Arial" w:cs="Arial" w:eastAsia="Arial" w:hAnsi="Arial"/>
                  <w:sz w:val="18"/>
                  <w:szCs w:val="18"/>
                  <w:color w:val="0000FF"/>
                  <w:w w:val="87"/>
                </w:rPr>
                <w:t>23.</w:t>
              </w:r>
              <w:r>
                <w:rPr>
                  <w:rFonts w:ascii="Arial" w:cs="Arial" w:eastAsia="Arial" w:hAnsi="Arial"/>
                  <w:sz w:val="18"/>
                  <w:szCs w:val="18"/>
                  <w:u w:val="single" w:color="auto"/>
                  <w:color w:val="0000FF"/>
                  <w:w w:val="87"/>
                </w:rPr>
                <w:t>1††</w:t>
              </w:r>
            </w:hyperlink>
          </w:p>
        </w:tc>
        <w:tc>
          <w:tcPr>
            <w:tcW w:w="160" w:type="dxa"/>
            <w:vAlign w:val="bottom"/>
          </w:tcPr>
          <w:p>
            <w:pPr>
              <w:spacing w:after="0"/>
              <w:rPr>
                <w:sz w:val="21"/>
                <w:szCs w:val="21"/>
                <w:color w:val="auto"/>
              </w:rPr>
            </w:pPr>
          </w:p>
        </w:tc>
        <w:tc>
          <w:tcPr>
            <w:tcW w:w="82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230">
              <w:r>
                <w:rPr>
                  <w:rFonts w:ascii="Arial" w:cs="Arial" w:eastAsia="Arial" w:hAnsi="Arial"/>
                  <w:sz w:val="18"/>
                  <w:szCs w:val="18"/>
                  <w:color w:val="0000FF"/>
                  <w:w w:val="90"/>
                </w:rPr>
                <w:t>Consent of PricewaterhouseCoopers LLP, independent registered public accounting firm of Dell Technologies Inc.</w:t>
              </w:r>
            </w:hyperlink>
          </w:p>
        </w:tc>
        <w:tc>
          <w:tcPr>
            <w:tcW w:w="1320" w:type="dxa"/>
            <w:vAlign w:val="bottom"/>
            <w:gridSpan w:val="22"/>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87"/>
              </w:rPr>
            </w:pPr>
            <w:hyperlink w:anchor="page231">
              <w:r>
                <w:rPr>
                  <w:rFonts w:ascii="Arial" w:cs="Arial" w:eastAsia="Arial" w:hAnsi="Arial"/>
                  <w:sz w:val="18"/>
                  <w:szCs w:val="18"/>
                  <w:color w:val="0000FF"/>
                  <w:w w:val="87"/>
                </w:rPr>
                <w:t>31.</w:t>
              </w:r>
              <w:r>
                <w:rPr>
                  <w:rFonts w:ascii="Arial" w:cs="Arial" w:eastAsia="Arial" w:hAnsi="Arial"/>
                  <w:sz w:val="18"/>
                  <w:szCs w:val="18"/>
                  <w:u w:val="single" w:color="auto"/>
                  <w:color w:val="0000FF"/>
                  <w:w w:val="87"/>
                </w:rPr>
                <w:t>1††</w:t>
              </w:r>
            </w:hyperlink>
          </w:p>
        </w:tc>
        <w:tc>
          <w:tcPr>
            <w:tcW w:w="1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FF"/>
                <w:w w:val="95"/>
              </w:rPr>
            </w:pPr>
            <w:hyperlink w:anchor="page231">
              <w:r>
                <w:rPr>
                  <w:rFonts w:ascii="Arial" w:cs="Arial" w:eastAsia="Arial" w:hAnsi="Arial"/>
                  <w:sz w:val="18"/>
                  <w:szCs w:val="18"/>
                  <w:color w:val="0000FF"/>
                  <w:w w:val="95"/>
                </w:rPr>
                <w:t>Certification of Michael S. Dell, Chairman and Chief Executive Officer, pursuant to Rule 13a-14(a) or Rule 15d-14(a) under the</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231">
              <w:r>
                <w:rPr>
                  <w:rFonts w:ascii="Arial" w:cs="Arial" w:eastAsia="Arial" w:hAnsi="Arial"/>
                  <w:sz w:val="18"/>
                  <w:szCs w:val="18"/>
                  <w:color w:val="0000FF"/>
                </w:rPr>
                <w:t>Securities Exchange Act of 1934, as adopted pursuant to Section 302 of the Sarbanes-Oxley Act of 2002.</w:t>
              </w:r>
            </w:hyperlink>
          </w:p>
        </w:tc>
        <w:tc>
          <w:tcPr>
            <w:tcW w:w="340" w:type="dxa"/>
            <w:vAlign w:val="bottom"/>
            <w:gridSpan w:val="12"/>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140" w:type="dxa"/>
            <w:vAlign w:val="bottom"/>
            <w:gridSpan w:val="8"/>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87"/>
              </w:rPr>
            </w:pPr>
            <w:hyperlink w:anchor="page232">
              <w:r>
                <w:rPr>
                  <w:rFonts w:ascii="Arial" w:cs="Arial" w:eastAsia="Arial" w:hAnsi="Arial"/>
                  <w:sz w:val="18"/>
                  <w:szCs w:val="18"/>
                  <w:color w:val="0000FF"/>
                  <w:w w:val="87"/>
                </w:rPr>
                <w:t>31.</w:t>
              </w:r>
              <w:r>
                <w:rPr>
                  <w:rFonts w:ascii="Arial" w:cs="Arial" w:eastAsia="Arial" w:hAnsi="Arial"/>
                  <w:sz w:val="18"/>
                  <w:szCs w:val="18"/>
                  <w:u w:val="single" w:color="auto"/>
                  <w:color w:val="0000FF"/>
                  <w:w w:val="87"/>
                </w:rPr>
                <w:t>2††</w:t>
              </w:r>
            </w:hyperlink>
          </w:p>
        </w:tc>
        <w:tc>
          <w:tcPr>
            <w:tcW w:w="1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FF"/>
                <w:w w:val="93"/>
              </w:rPr>
            </w:pPr>
            <w:hyperlink w:anchor="page232">
              <w:r>
                <w:rPr>
                  <w:rFonts w:ascii="Arial" w:cs="Arial" w:eastAsia="Arial" w:hAnsi="Arial"/>
                  <w:sz w:val="18"/>
                  <w:szCs w:val="18"/>
                  <w:color w:val="0000FF"/>
                  <w:w w:val="93"/>
                </w:rPr>
                <w:t>Certification of Thomas W. Sweet, Executive Vice President and Chief Financial Officer, pursuant to Rule 13a-14(a) or Rule 15d-</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87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w:anchor="page232">
              <w:r>
                <w:rPr>
                  <w:rFonts w:ascii="Arial" w:cs="Arial" w:eastAsia="Arial" w:hAnsi="Arial"/>
                  <w:sz w:val="18"/>
                  <w:szCs w:val="18"/>
                  <w:color w:val="0000FF"/>
                  <w:w w:val="89"/>
                </w:rPr>
                <w:t>14(a) under the Securities Exchange Act of 1934, as adopted pursuant to Section 302 of the Sarbanes-Oxley Act of 2002.</w:t>
              </w:r>
            </w:hyperlink>
          </w:p>
        </w:tc>
        <w:tc>
          <w:tcPr>
            <w:tcW w:w="620" w:type="dxa"/>
            <w:vAlign w:val="bottom"/>
            <w:tcBorders>
              <w:top w:val="single" w:sz="8" w:color="0000FF"/>
            </w:tcBorders>
            <w:gridSpan w:val="13"/>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250"/>
        </w:trPr>
        <w:tc>
          <w:tcPr>
            <w:tcW w:w="860" w:type="dxa"/>
            <w:vAlign w:val="bottom"/>
          </w:tcPr>
          <w:p>
            <w:pPr>
              <w:spacing w:after="0"/>
              <w:rPr>
                <w:sz w:val="21"/>
                <w:szCs w:val="21"/>
                <w:color w:val="auto"/>
              </w:rPr>
            </w:pPr>
          </w:p>
        </w:tc>
        <w:tc>
          <w:tcPr>
            <w:tcW w:w="760" w:type="dxa"/>
            <w:vAlign w:val="bottom"/>
            <w:gridSpan w:val="5"/>
          </w:tcPr>
          <w:p>
            <w:pPr>
              <w:jc w:val="right"/>
              <w:ind w:right="160"/>
              <w:spacing w:after="0"/>
              <w:rPr>
                <w:rFonts w:ascii="Arial" w:cs="Arial" w:eastAsia="Arial" w:hAnsi="Arial"/>
                <w:sz w:val="18"/>
                <w:szCs w:val="18"/>
                <w:color w:val="0000FF"/>
                <w:w w:val="89"/>
              </w:rPr>
            </w:pPr>
            <w:hyperlink w:anchor="page233">
              <w:r>
                <w:rPr>
                  <w:rFonts w:ascii="Arial" w:cs="Arial" w:eastAsia="Arial" w:hAnsi="Arial"/>
                  <w:sz w:val="18"/>
                  <w:szCs w:val="18"/>
                  <w:color w:val="0000FF"/>
                  <w:w w:val="89"/>
                </w:rPr>
                <w:t>32.</w:t>
              </w:r>
              <w:r>
                <w:rPr>
                  <w:rFonts w:ascii="Arial" w:cs="Arial" w:eastAsia="Arial" w:hAnsi="Arial"/>
                  <w:sz w:val="18"/>
                  <w:szCs w:val="18"/>
                  <w:u w:val="single" w:color="auto"/>
                  <w:color w:val="0000FF"/>
                  <w:w w:val="89"/>
                </w:rPr>
                <w:t>1†††</w:t>
              </w:r>
            </w:hyperlink>
          </w:p>
        </w:tc>
        <w:tc>
          <w:tcPr>
            <w:tcW w:w="9560" w:type="dxa"/>
            <w:vAlign w:val="bottom"/>
            <w:gridSpan w:val="32"/>
          </w:tcPr>
          <w:p>
            <w:pPr>
              <w:spacing w:after="0"/>
              <w:rPr>
                <w:rFonts w:ascii="Arial" w:cs="Arial" w:eastAsia="Arial" w:hAnsi="Arial"/>
                <w:sz w:val="18"/>
                <w:szCs w:val="18"/>
                <w:color w:val="0000FF"/>
                <w:w w:val="91"/>
              </w:rPr>
            </w:pPr>
            <w:hyperlink w:anchor="page233">
              <w:r>
                <w:rPr>
                  <w:rFonts w:ascii="Arial" w:cs="Arial" w:eastAsia="Arial" w:hAnsi="Arial"/>
                  <w:sz w:val="18"/>
                  <w:szCs w:val="18"/>
                  <w:color w:val="0000FF"/>
                  <w:w w:val="91"/>
                </w:rPr>
                <w:t>Certifications of Michael S. Dell, Chairman and Chief Executive Officer, and Thomas W. Sweet, Executive Vice President and Chief</w:t>
              </w:r>
            </w:hyperlink>
          </w:p>
        </w:tc>
      </w:tr>
      <w:tr>
        <w:trPr>
          <w:trHeight w:val="196"/>
        </w:trPr>
        <w:tc>
          <w:tcPr>
            <w:tcW w:w="8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FF"/>
            </w:tcBorders>
            <w:gridSpan w:val="32"/>
          </w:tcPr>
          <w:p>
            <w:pPr>
              <w:spacing w:after="0" w:line="196" w:lineRule="exact"/>
              <w:rPr>
                <w:rFonts w:ascii="Arial" w:cs="Arial" w:eastAsia="Arial" w:hAnsi="Arial"/>
                <w:sz w:val="18"/>
                <w:szCs w:val="18"/>
                <w:color w:val="0000FF"/>
                <w:w w:val="98"/>
              </w:rPr>
            </w:pPr>
            <w:hyperlink w:anchor="page233">
              <w:r>
                <w:rPr>
                  <w:rFonts w:ascii="Arial" w:cs="Arial" w:eastAsia="Arial" w:hAnsi="Arial"/>
                  <w:sz w:val="18"/>
                  <w:szCs w:val="18"/>
                  <w:color w:val="0000FF"/>
                  <w:w w:val="98"/>
                </w:rPr>
                <w:t>Financial Officer, pursuant to Rule 13a-14(b) or Rule 15d-14(b) under the Securities Exchange Act of 1934 and 18 U.S.C.</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233">
              <w:r>
                <w:rPr>
                  <w:rFonts w:ascii="Arial" w:cs="Arial" w:eastAsia="Arial" w:hAnsi="Arial"/>
                  <w:sz w:val="18"/>
                  <w:szCs w:val="18"/>
                  <w:color w:val="0000FF"/>
                </w:rPr>
                <w:t>Section 1350, as adopted pursuant to Section 906 of the Sarbanes-Oxley Act of 2002.</w:t>
              </w:r>
            </w:hyperlink>
          </w:p>
        </w:tc>
        <w:tc>
          <w:tcPr>
            <w:tcW w:w="780" w:type="dxa"/>
            <w:vAlign w:val="bottom"/>
            <w:gridSpan w:val="20"/>
          </w:tcPr>
          <w:p>
            <w:pPr>
              <w:spacing w:after="0"/>
              <w:rPr>
                <w:sz w:val="17"/>
                <w:szCs w:val="17"/>
                <w:color w:val="auto"/>
              </w:rPr>
            </w:pPr>
          </w:p>
        </w:tc>
      </w:tr>
      <w:tr>
        <w:trPr>
          <w:trHeight w:val="20"/>
        </w:trPr>
        <w:tc>
          <w:tcPr>
            <w:tcW w:w="1620" w:type="dxa"/>
            <w:vAlign w:val="bottom"/>
            <w:gridSpan w:val="6"/>
          </w:tcPr>
          <w:p>
            <w:pPr>
              <w:spacing w:after="0" w:line="20" w:lineRule="exact"/>
              <w:rPr>
                <w:sz w:val="1"/>
                <w:szCs w:val="1"/>
                <w:color w:val="auto"/>
              </w:rPr>
            </w:pPr>
          </w:p>
        </w:tc>
        <w:tc>
          <w:tcPr>
            <w:tcW w:w="6140" w:type="dxa"/>
            <w:vAlign w:val="bottom"/>
            <w:gridSpan w:val="8"/>
            <w:shd w:val="clear" w:color="auto" w:fill="0000FF"/>
          </w:tcPr>
          <w:p>
            <w:pPr>
              <w:spacing w:after="0" w:line="20" w:lineRule="exact"/>
              <w:rPr>
                <w:sz w:val="1"/>
                <w:szCs w:val="1"/>
                <w:color w:val="auto"/>
              </w:rPr>
            </w:pPr>
          </w:p>
        </w:tc>
        <w:tc>
          <w:tcPr>
            <w:tcW w:w="3420" w:type="dxa"/>
            <w:vAlign w:val="bottom"/>
            <w:gridSpan w:val="24"/>
          </w:tcPr>
          <w:p>
            <w:pPr>
              <w:spacing w:after="0" w:line="20" w:lineRule="exact"/>
              <w:rPr>
                <w:sz w:val="1"/>
                <w:szCs w:val="1"/>
                <w:color w:val="auto"/>
              </w:rPr>
            </w:pPr>
          </w:p>
        </w:tc>
      </w:tr>
      <w:tr>
        <w:trPr>
          <w:trHeight w:val="276"/>
        </w:trPr>
        <w:tc>
          <w:tcPr>
            <w:tcW w:w="1620" w:type="dxa"/>
            <w:vAlign w:val="bottom"/>
            <w:gridSpan w:val="6"/>
          </w:tcPr>
          <w:p>
            <w:pPr>
              <w:jc w:val="right"/>
              <w:ind w:right="160"/>
              <w:spacing w:after="0"/>
              <w:rPr>
                <w:sz w:val="20"/>
                <w:szCs w:val="20"/>
                <w:color w:val="auto"/>
              </w:rPr>
            </w:pPr>
            <w:r>
              <w:rPr>
                <w:rFonts w:ascii="Arial" w:cs="Arial" w:eastAsia="Arial" w:hAnsi="Arial"/>
                <w:sz w:val="18"/>
                <w:szCs w:val="18"/>
                <w:color w:val="auto"/>
              </w:rPr>
              <w:t>101 .INS††</w:t>
            </w:r>
          </w:p>
        </w:tc>
        <w:tc>
          <w:tcPr>
            <w:tcW w:w="9560" w:type="dxa"/>
            <w:vAlign w:val="bottom"/>
            <w:gridSpan w:val="32"/>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620" w:type="dxa"/>
            <w:vAlign w:val="bottom"/>
            <w:gridSpan w:val="6"/>
          </w:tcPr>
          <w:p>
            <w:pPr>
              <w:jc w:val="right"/>
              <w:ind w:right="160"/>
              <w:spacing w:after="0"/>
              <w:rPr>
                <w:sz w:val="20"/>
                <w:szCs w:val="20"/>
                <w:color w:val="auto"/>
              </w:rPr>
            </w:pPr>
            <w:r>
              <w:rPr>
                <w:rFonts w:ascii="Arial" w:cs="Arial" w:eastAsia="Arial" w:hAnsi="Arial"/>
                <w:sz w:val="18"/>
                <w:szCs w:val="18"/>
                <w:color w:val="auto"/>
              </w:rPr>
              <w:t>101 .SCH††</w:t>
            </w:r>
          </w:p>
        </w:tc>
        <w:tc>
          <w:tcPr>
            <w:tcW w:w="956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620" w:type="dxa"/>
            <w:vAlign w:val="bottom"/>
            <w:gridSpan w:val="6"/>
          </w:tcPr>
          <w:p>
            <w:pPr>
              <w:jc w:val="right"/>
              <w:ind w:right="160"/>
              <w:spacing w:after="0"/>
              <w:rPr>
                <w:sz w:val="20"/>
                <w:szCs w:val="20"/>
                <w:color w:val="auto"/>
              </w:rPr>
            </w:pPr>
            <w:r>
              <w:rPr>
                <w:rFonts w:ascii="Arial" w:cs="Arial" w:eastAsia="Arial" w:hAnsi="Arial"/>
                <w:sz w:val="18"/>
                <w:szCs w:val="18"/>
                <w:color w:val="auto"/>
              </w:rPr>
              <w:t>101 .CAL††</w:t>
            </w:r>
          </w:p>
        </w:tc>
        <w:tc>
          <w:tcPr>
            <w:tcW w:w="956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620" w:type="dxa"/>
            <w:vAlign w:val="bottom"/>
            <w:gridSpan w:val="6"/>
          </w:tcPr>
          <w:p>
            <w:pPr>
              <w:jc w:val="right"/>
              <w:ind w:right="160"/>
              <w:spacing w:after="0"/>
              <w:rPr>
                <w:sz w:val="20"/>
                <w:szCs w:val="20"/>
                <w:color w:val="auto"/>
              </w:rPr>
            </w:pPr>
            <w:r>
              <w:rPr>
                <w:rFonts w:ascii="Arial" w:cs="Arial" w:eastAsia="Arial" w:hAnsi="Arial"/>
                <w:sz w:val="18"/>
                <w:szCs w:val="18"/>
                <w:color w:val="auto"/>
              </w:rPr>
              <w:t>101 .DEF††</w:t>
            </w:r>
          </w:p>
        </w:tc>
        <w:tc>
          <w:tcPr>
            <w:tcW w:w="956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675"/>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6"/>
          </w:tcPr>
          <w:p>
            <w:pPr>
              <w:ind w:left="3860"/>
              <w:spacing w:after="0"/>
              <w:rPr>
                <w:sz w:val="20"/>
                <w:szCs w:val="20"/>
                <w:color w:val="auto"/>
              </w:rPr>
            </w:pPr>
            <w:r>
              <w:rPr>
                <w:rFonts w:ascii="Arial" w:cs="Arial" w:eastAsia="Arial" w:hAnsi="Arial"/>
                <w:sz w:val="18"/>
                <w:szCs w:val="18"/>
                <w:color w:val="auto"/>
              </w:rPr>
              <w:t>195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320" w:top="108" w:right="39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jc w:val="right"/>
              <w:ind w:right="26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Table of Contents</w:t>
              </w:r>
            </w:hyperlink>
          </w:p>
        </w:tc>
        <w:tc>
          <w:tcPr>
            <w:tcW w:w="5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615"/>
        </w:trPr>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101 .LAB††</w:t>
            </w:r>
          </w:p>
        </w:tc>
        <w:tc>
          <w:tcPr>
            <w:tcW w:w="508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101 .PRE††</w:t>
            </w:r>
          </w:p>
        </w:tc>
        <w:tc>
          <w:tcPr>
            <w:tcW w:w="5080" w:type="dxa"/>
            <w:vAlign w:val="bottom"/>
          </w:tcPr>
          <w:p>
            <w:pPr>
              <w:ind w:left="8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40" w:lineRule="exact"/>
        <w:rPr>
          <w:sz w:val="20"/>
          <w:szCs w:val="20"/>
          <w:color w:val="auto"/>
        </w:rPr>
      </w:pPr>
    </w:p>
    <w:p>
      <w:pPr>
        <w:ind w:left="1620" w:hanging="437"/>
        <w:spacing w:after="0" w:line="27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(included in Exhibit 101).</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3" w:lineRule="exact"/>
        <w:rPr>
          <w:sz w:val="20"/>
          <w:szCs w:val="20"/>
          <w:color w:val="auto"/>
        </w:rPr>
      </w:pPr>
    </w:p>
    <w:p>
      <w:pPr>
        <w:jc w:val="both"/>
        <w:ind w:left="1620" w:right="20" w:hanging="257"/>
        <w:spacing w:after="0" w:line="263"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601(b)(2) of Regulation S-K. Dell Technologies Inc. agrees to furnish supplementally a copy of any omitted attachment to the Securities and Exchange Commission on a confidential basis upon request.</w:t>
      </w:r>
    </w:p>
    <w:p>
      <w:pPr>
        <w:spacing w:after="0" w:line="22" w:lineRule="exact"/>
        <w:rPr>
          <w:sz w:val="20"/>
          <w:szCs w:val="20"/>
          <w:color w:val="auto"/>
        </w:rPr>
      </w:pPr>
    </w:p>
    <w:p>
      <w:pPr>
        <w:ind w:left="1620" w:hanging="347"/>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6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Management contracts or compensation plans or arrangements in which directors or executive officers participate.</w:t>
      </w:r>
    </w:p>
    <w:p>
      <w:pPr>
        <w:spacing w:after="0" w:line="63" w:lineRule="exact"/>
        <w:rPr>
          <w:sz w:val="20"/>
          <w:szCs w:val="20"/>
          <w:color w:val="auto"/>
        </w:rPr>
      </w:pPr>
    </w:p>
    <w:p>
      <w:pPr>
        <w:jc w:val="both"/>
        <w:ind w:left="1620" w:right="120" w:hanging="347"/>
        <w:spacing w:after="0" w:line="263"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Pursuant to Item 601(b)(4)(iii) of Regulation S-K, copies of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320" w:top="108" w:right="4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jc w:val="center"/>
              <w:spacing w:after="0"/>
              <w:rPr>
                <w:sz w:val="20"/>
                <w:szCs w:val="20"/>
                <w:color w:val="auto"/>
              </w:rPr>
            </w:pPr>
            <w:r>
              <w:rPr>
                <w:rFonts w:ascii="Arial" w:cs="Arial" w:eastAsia="Arial" w:hAnsi="Arial"/>
                <w:sz w:val="18"/>
                <w:szCs w:val="18"/>
                <w:color w:val="auto"/>
                <w:w w:val="97"/>
              </w:rPr>
              <w:t>/s/ MICHAEL S. DELL</w:t>
            </w:r>
          </w:p>
        </w:tc>
      </w:tr>
      <w:tr>
        <w:trPr>
          <w:trHeight w:val="27"/>
        </w:trPr>
        <w:tc>
          <w:tcPr>
            <w:tcW w:w="4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r>
      <w:tr>
        <w:trPr>
          <w:trHeight w:val="270"/>
        </w:trPr>
        <w:tc>
          <w:tcPr>
            <w:tcW w:w="420" w:type="dxa"/>
            <w:vAlign w:val="bottom"/>
          </w:tcPr>
          <w:p>
            <w:pPr>
              <w:spacing w:after="0"/>
              <w:rPr>
                <w:sz w:val="23"/>
                <w:szCs w:val="23"/>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70"/>
        </w:trPr>
        <w:tc>
          <w:tcPr>
            <w:tcW w:w="420" w:type="dxa"/>
            <w:vAlign w:val="bottom"/>
          </w:tcPr>
          <w:p>
            <w:pPr>
              <w:spacing w:after="0"/>
              <w:rPr>
                <w:sz w:val="23"/>
                <w:szCs w:val="23"/>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4"/>
              </w:rPr>
              <w:t>(Duly Authorized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27,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Signature</w:t>
            </w:r>
          </w:p>
        </w:tc>
        <w:tc>
          <w:tcPr>
            <w:tcW w:w="4200" w:type="dxa"/>
            <w:vAlign w:val="bottom"/>
          </w:tcPr>
          <w:p>
            <w:pPr>
              <w:ind w:left="3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7"/>
              </w:rPr>
              <w:t>/s/ 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462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7"/>
              </w:rPr>
              <w:t>/s/ DAVID W. DORMAN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6"/>
              </w:rPr>
              <w:t>/s/ EGON DURBAN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jc w:val="center"/>
              <w:spacing w:after="0"/>
              <w:rPr>
                <w:sz w:val="20"/>
                <w:szCs w:val="20"/>
                <w:color w:val="auto"/>
              </w:rPr>
            </w:pPr>
            <w:r>
              <w:rPr>
                <w:rFonts w:ascii="Arial" w:cs="Arial" w:eastAsia="Arial" w:hAnsi="Arial"/>
                <w:sz w:val="18"/>
                <w:szCs w:val="18"/>
                <w:color w:val="auto"/>
                <w:w w:val="90"/>
              </w:rPr>
              <w:t>Egon Durban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8"/>
              </w:rPr>
              <w:t>/s/ WILLIAM D. GREEN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jc w:val="center"/>
              <w:spacing w:after="0"/>
              <w:rPr>
                <w:sz w:val="20"/>
                <w:szCs w:val="20"/>
                <w:color w:val="auto"/>
              </w:rPr>
            </w:pPr>
            <w:r>
              <w:rPr>
                <w:rFonts w:ascii="Arial" w:cs="Arial" w:eastAsia="Arial" w:hAnsi="Arial"/>
                <w:sz w:val="18"/>
                <w:szCs w:val="18"/>
                <w:color w:val="auto"/>
                <w:w w:val="94"/>
              </w:rPr>
              <w:t>William D. Green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8"/>
              </w:rPr>
              <w:t>/s/ ELLEN J. KULLMAN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tcPr>
          <w:p>
            <w:pPr>
              <w:jc w:val="center"/>
              <w:spacing w:after="0"/>
              <w:rPr>
                <w:sz w:val="20"/>
                <w:szCs w:val="20"/>
                <w:color w:val="auto"/>
              </w:rPr>
            </w:pPr>
            <w:r>
              <w:rPr>
                <w:rFonts w:ascii="Arial" w:cs="Arial" w:eastAsia="Arial" w:hAnsi="Arial"/>
                <w:sz w:val="18"/>
                <w:szCs w:val="18"/>
                <w:color w:val="auto"/>
                <w:w w:val="94"/>
              </w:rPr>
              <w:t>Ellen J. Kullman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2"/>
              </w:rPr>
              <w:t>/s/ SIMON PATTERSON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tcPr>
          <w:p>
            <w:pPr>
              <w:jc w:val="center"/>
              <w:spacing w:after="0"/>
              <w:rPr>
                <w:sz w:val="20"/>
                <w:szCs w:val="20"/>
                <w:color w:val="auto"/>
              </w:rPr>
            </w:pPr>
            <w:r>
              <w:rPr>
                <w:rFonts w:ascii="Arial" w:cs="Arial" w:eastAsia="Arial" w:hAnsi="Arial"/>
                <w:sz w:val="18"/>
                <w:szCs w:val="18"/>
                <w:color w:val="auto"/>
                <w:w w:val="88"/>
              </w:rPr>
              <w:t>Simon Patterson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6"/>
              </w:rPr>
              <w:t>/s/ LYNN VOJVODICH</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tcPr>
          <w:p>
            <w:pPr>
              <w:jc w:val="center"/>
              <w:spacing w:after="0"/>
              <w:rPr>
                <w:sz w:val="20"/>
                <w:szCs w:val="20"/>
                <w:color w:val="auto"/>
              </w:rPr>
            </w:pPr>
            <w:r>
              <w:rPr>
                <w:rFonts w:ascii="Arial" w:cs="Arial" w:eastAsia="Arial" w:hAnsi="Arial"/>
                <w:sz w:val="18"/>
                <w:szCs w:val="18"/>
                <w:color w:val="auto"/>
                <w:w w:val="94"/>
              </w:rPr>
              <w:t>Lynn Vojvodich</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4"/>
              </w:rPr>
              <w:t>/s/ 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tcPr>
          <w:p>
            <w:pPr>
              <w:jc w:val="center"/>
              <w:spacing w:after="0"/>
              <w:rPr>
                <w:sz w:val="20"/>
                <w:szCs w:val="20"/>
                <w:color w:val="auto"/>
              </w:rPr>
            </w:pPr>
            <w:r>
              <w:rPr>
                <w:rFonts w:ascii="Arial" w:cs="Arial" w:eastAsia="Arial" w:hAnsi="Arial"/>
                <w:sz w:val="18"/>
                <w:szCs w:val="18"/>
                <w:color w:val="auto"/>
                <w:w w:val="89"/>
              </w:rPr>
              <w:t>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10"/>
        </w:trPr>
        <w:tc>
          <w:tcPr>
            <w:tcW w:w="4620" w:type="dxa"/>
            <w:vAlign w:val="bottom"/>
          </w:tcPr>
          <w:p>
            <w:pPr>
              <w:jc w:val="center"/>
              <w:spacing w:after="0"/>
              <w:rPr>
                <w:sz w:val="20"/>
                <w:szCs w:val="20"/>
                <w:color w:val="auto"/>
              </w:rPr>
            </w:pPr>
            <w:r>
              <w:rPr>
                <w:rFonts w:ascii="Arial" w:cs="Arial" w:eastAsia="Arial" w:hAnsi="Arial"/>
                <w:sz w:val="18"/>
                <w:szCs w:val="18"/>
                <w:color w:val="auto"/>
                <w:w w:val="96"/>
              </w:rPr>
              <w:t>/s/ MAYA MCREYNOLDS</w:t>
            </w:r>
          </w:p>
        </w:tc>
        <w:tc>
          <w:tcPr>
            <w:tcW w:w="4200" w:type="dxa"/>
            <w:vAlign w:val="bottom"/>
          </w:tcPr>
          <w:p>
            <w:pPr>
              <w:ind w:left="360"/>
              <w:spacing w:after="0"/>
              <w:rPr>
                <w:sz w:val="20"/>
                <w:szCs w:val="20"/>
                <w:color w:val="auto"/>
              </w:rPr>
            </w:pPr>
            <w:r>
              <w:rPr>
                <w:rFonts w:ascii="Arial" w:cs="Arial" w:eastAsia="Arial" w:hAnsi="Arial"/>
                <w:sz w:val="18"/>
                <w:szCs w:val="18"/>
                <w:color w:val="auto"/>
              </w:rPr>
              <w:t>Senior Vice President, Corporate Finance and</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36"/>
        </w:trPr>
        <w:tc>
          <w:tcPr>
            <w:tcW w:w="4620" w:type="dxa"/>
            <w:vAlign w:val="bottom"/>
          </w:tcPr>
          <w:p>
            <w:pPr>
              <w:jc w:val="center"/>
              <w:spacing w:after="0"/>
              <w:rPr>
                <w:sz w:val="20"/>
                <w:szCs w:val="20"/>
                <w:color w:val="auto"/>
              </w:rPr>
            </w:pPr>
            <w:r>
              <w:rPr>
                <w:rFonts w:ascii="Arial" w:cs="Arial" w:eastAsia="Arial" w:hAnsi="Arial"/>
                <w:sz w:val="18"/>
                <w:szCs w:val="18"/>
                <w:color w:val="auto"/>
                <w:w w:val="93"/>
              </w:rPr>
              <w:t>Maya McReynolds</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88"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180"/>
          </w:cols>
          <w:pgMar w:left="320" w:top="125" w:right="399" w:bottom="88"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4.40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DELL TECHNOLOGIES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1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REGISTRATION RIGHTS AGREEMENT</w:t>
      </w:r>
    </w:p>
    <w:p>
      <w:pPr>
        <w:spacing w:after="0" w:line="200" w:lineRule="exact"/>
        <w:rPr>
          <w:sz w:val="20"/>
          <w:szCs w:val="20"/>
          <w:color w:val="auto"/>
        </w:rPr>
      </w:pPr>
    </w:p>
    <w:p>
      <w:pPr>
        <w:ind w:right="400" w:firstLine="1296"/>
        <w:spacing w:after="0" w:line="246" w:lineRule="auto"/>
        <w:rPr>
          <w:sz w:val="20"/>
          <w:szCs w:val="20"/>
          <w:color w:val="auto"/>
        </w:rPr>
      </w:pPr>
      <w:r>
        <w:rPr>
          <w:rFonts w:ascii="Arial" w:cs="Arial" w:eastAsia="Arial" w:hAnsi="Arial"/>
          <w:sz w:val="20"/>
          <w:szCs w:val="20"/>
          <w:color w:val="auto"/>
        </w:rPr>
        <w:t>THIS AMENDMENT NO. 1 TO THE SECOND AMENDED AND RESTATED REGISTRATION RIGHTS AGREEMENT, dated as of May 27, 2019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by and among Dell Technologies Inc. (the “</w:t>
      </w:r>
      <w:r>
        <w:rPr>
          <w:rFonts w:ascii="Arial" w:cs="Arial" w:eastAsia="Arial" w:hAnsi="Arial"/>
          <w:sz w:val="20"/>
          <w:szCs w:val="20"/>
          <w:u w:val="single" w:color="auto"/>
          <w:color w:val="auto"/>
        </w:rPr>
        <w:t>Company</w:t>
      </w:r>
      <w:r>
        <w:rPr>
          <w:rFonts w:ascii="Arial" w:cs="Arial" w:eastAsia="Arial" w:hAnsi="Arial"/>
          <w:sz w:val="20"/>
          <w:szCs w:val="20"/>
          <w:color w:val="auto"/>
        </w:rPr>
        <w:t>”), a Delaware corporation, and each of the following (hereinafter severally referred to as a “</w:t>
      </w:r>
      <w:r>
        <w:rPr>
          <w:rFonts w:ascii="Arial" w:cs="Arial" w:eastAsia="Arial" w:hAnsi="Arial"/>
          <w:sz w:val="20"/>
          <w:szCs w:val="20"/>
          <w:u w:val="single" w:color="auto"/>
          <w:color w:val="auto"/>
        </w:rPr>
        <w:t>Stockholder</w:t>
      </w:r>
      <w:r>
        <w:rPr>
          <w:rFonts w:ascii="Arial" w:cs="Arial" w:eastAsia="Arial" w:hAnsi="Arial"/>
          <w:sz w:val="20"/>
          <w:szCs w:val="20"/>
          <w:color w:val="auto"/>
        </w:rPr>
        <w:t>” and collectively referred to as the “</w:t>
      </w:r>
      <w:r>
        <w:rPr>
          <w:rFonts w:ascii="Arial" w:cs="Arial" w:eastAsia="Arial" w:hAnsi="Arial"/>
          <w:sz w:val="20"/>
          <w:szCs w:val="20"/>
          <w:u w:val="single" w:color="auto"/>
          <w:color w:val="auto"/>
        </w:rPr>
        <w:t>Stockholders</w:t>
      </w:r>
      <w:r>
        <w:rPr>
          <w:rFonts w:ascii="Arial" w:cs="Arial" w:eastAsia="Arial" w:hAnsi="Arial"/>
          <w:sz w:val="20"/>
          <w:szCs w:val="20"/>
          <w:color w:val="auto"/>
        </w:rPr>
        <w:t>”):</w:t>
      </w:r>
    </w:p>
    <w:p>
      <w:pPr>
        <w:spacing w:after="0" w:line="202" w:lineRule="exact"/>
        <w:rPr>
          <w:sz w:val="20"/>
          <w:szCs w:val="20"/>
          <w:color w:val="auto"/>
        </w:rPr>
      </w:pPr>
    </w:p>
    <w:p>
      <w:pPr>
        <w:ind w:left="1960" w:hanging="656"/>
        <w:spacing w:after="0"/>
        <w:tabs>
          <w:tab w:leader="none" w:pos="1960" w:val="left"/>
        </w:tabs>
        <w:numPr>
          <w:ilvl w:val="0"/>
          <w:numId w:val="68"/>
        </w:numPr>
        <w:rPr>
          <w:rFonts w:ascii="Arial" w:cs="Arial" w:eastAsia="Arial" w:hAnsi="Arial"/>
          <w:sz w:val="22"/>
          <w:szCs w:val="22"/>
          <w:color w:val="auto"/>
        </w:rPr>
      </w:pPr>
      <w:r>
        <w:rPr>
          <w:rFonts w:ascii="Arial" w:cs="Arial" w:eastAsia="Arial" w:hAnsi="Arial"/>
          <w:sz w:val="20"/>
          <w:szCs w:val="20"/>
          <w:color w:val="auto"/>
        </w:rPr>
        <w:t>Michael S. Dell and Susan Lieberman Dell Separate Property Trust (collectively, the “</w:t>
      </w:r>
      <w:r>
        <w:rPr>
          <w:rFonts w:ascii="Arial" w:cs="Arial" w:eastAsia="Arial" w:hAnsi="Arial"/>
          <w:sz w:val="20"/>
          <w:szCs w:val="20"/>
          <w:u w:val="single" w:color="auto"/>
          <w:color w:val="auto"/>
        </w:rPr>
        <w:t>MD Stockholders</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left="1960" w:right="420" w:hanging="656"/>
        <w:spacing w:after="0" w:line="264" w:lineRule="auto"/>
        <w:tabs>
          <w:tab w:leader="none" w:pos="1960" w:val="left"/>
        </w:tabs>
        <w:numPr>
          <w:ilvl w:val="0"/>
          <w:numId w:val="68"/>
        </w:numPr>
        <w:rPr>
          <w:rFonts w:ascii="Arial" w:cs="Arial" w:eastAsia="Arial" w:hAnsi="Arial"/>
          <w:sz w:val="22"/>
          <w:szCs w:val="22"/>
          <w:color w:val="auto"/>
        </w:rPr>
      </w:pPr>
      <w:r>
        <w:rPr>
          <w:rFonts w:ascii="Arial" w:cs="Arial" w:eastAsia="Arial" w:hAnsi="Arial"/>
          <w:sz w:val="20"/>
          <w:szCs w:val="20"/>
          <w:color w:val="auto"/>
        </w:rPr>
        <w:t>MSDC Denali Investors, L.P., a Delaware limited partnership, and MSDC Denali EIV, LLC, a Delaware limited liability company (collectively, the “</w:t>
      </w:r>
      <w:r>
        <w:rPr>
          <w:rFonts w:ascii="Arial" w:cs="Arial" w:eastAsia="Arial" w:hAnsi="Arial"/>
          <w:sz w:val="20"/>
          <w:szCs w:val="20"/>
          <w:u w:val="single" w:color="auto"/>
          <w:color w:val="auto"/>
        </w:rPr>
        <w:t>MSD Partners Stockholders</w:t>
      </w:r>
      <w:r>
        <w:rPr>
          <w:rFonts w:ascii="Arial" w:cs="Arial" w:eastAsia="Arial" w:hAnsi="Arial"/>
          <w:sz w:val="20"/>
          <w:szCs w:val="20"/>
          <w:color w:val="auto"/>
        </w:rPr>
        <w:t>”);</w:t>
      </w:r>
    </w:p>
    <w:p>
      <w:pPr>
        <w:spacing w:after="0" w:line="184" w:lineRule="exact"/>
        <w:rPr>
          <w:rFonts w:ascii="Arial" w:cs="Arial" w:eastAsia="Arial" w:hAnsi="Arial"/>
          <w:sz w:val="22"/>
          <w:szCs w:val="22"/>
          <w:color w:val="auto"/>
        </w:rPr>
      </w:pPr>
    </w:p>
    <w:p>
      <w:pPr>
        <w:ind w:left="1960" w:right="80" w:hanging="656"/>
        <w:spacing w:after="0" w:line="282"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SL SPV-2, L.P., a Delaware limited partnership, Silver Lake Partners IV, L.P., a Delaware limited partnership, Silver Lake Technology Investors IV, L.P., a Delaware limited partnership, Silver Lake Partners V DE (AIV), L.P., a Delaware limited partnership, Silver Lake Technology Investors V, L.P., a Delaware limited partnership, and SLP Denali Co-Invest, L.P., a Delaware limited partnership (collectively, the “</w:t>
      </w:r>
      <w:r>
        <w:rPr>
          <w:rFonts w:ascii="Arial" w:cs="Arial" w:eastAsia="Arial" w:hAnsi="Arial"/>
          <w:sz w:val="18"/>
          <w:szCs w:val="18"/>
          <w:u w:val="single" w:color="auto"/>
          <w:color w:val="auto"/>
        </w:rPr>
        <w:t>SLP Stockholders</w:t>
      </w:r>
      <w:r>
        <w:rPr>
          <w:rFonts w:ascii="Arial" w:cs="Arial" w:eastAsia="Arial" w:hAnsi="Arial"/>
          <w:sz w:val="18"/>
          <w:szCs w:val="18"/>
          <w:color w:val="auto"/>
        </w:rPr>
        <w:t>”); and</w:t>
      </w:r>
    </w:p>
    <w:p>
      <w:pPr>
        <w:spacing w:after="0" w:line="172" w:lineRule="exact"/>
        <w:rPr>
          <w:rFonts w:ascii="Arial" w:cs="Arial" w:eastAsia="Arial" w:hAnsi="Arial"/>
          <w:sz w:val="18"/>
          <w:szCs w:val="18"/>
          <w:color w:val="auto"/>
        </w:rPr>
      </w:pPr>
    </w:p>
    <w:p>
      <w:pPr>
        <w:ind w:left="1960" w:hanging="656"/>
        <w:spacing w:after="0"/>
        <w:tabs>
          <w:tab w:leader="none" w:pos="1960" w:val="left"/>
        </w:tabs>
        <w:numPr>
          <w:ilvl w:val="0"/>
          <w:numId w:val="68"/>
        </w:numPr>
        <w:rPr>
          <w:rFonts w:ascii="Arial" w:cs="Arial" w:eastAsia="Arial" w:hAnsi="Arial"/>
          <w:sz w:val="22"/>
          <w:szCs w:val="22"/>
          <w:color w:val="auto"/>
        </w:rPr>
      </w:pPr>
      <w:r>
        <w:rPr>
          <w:rFonts w:ascii="Arial" w:cs="Arial" w:eastAsia="Arial" w:hAnsi="Arial"/>
          <w:sz w:val="20"/>
          <w:szCs w:val="20"/>
          <w:color w:val="auto"/>
        </w:rPr>
        <w:t>Venezio Investments Pte. Ltd., a Singapore corporation (the “</w:t>
      </w:r>
      <w:r>
        <w:rPr>
          <w:rFonts w:ascii="Arial" w:cs="Arial" w:eastAsia="Arial" w:hAnsi="Arial"/>
          <w:sz w:val="20"/>
          <w:szCs w:val="20"/>
          <w:u w:val="single" w:color="auto"/>
          <w:color w:val="auto"/>
        </w:rPr>
        <w:t>Temasek Stockholder</w:t>
      </w:r>
      <w:r>
        <w:rPr>
          <w:rFonts w:ascii="Arial" w:cs="Arial" w:eastAsia="Arial" w:hAnsi="Arial"/>
          <w:sz w:val="20"/>
          <w:szCs w:val="20"/>
          <w:color w:val="auto"/>
        </w:rPr>
        <w:t>”).</w:t>
      </w:r>
    </w:p>
    <w:p>
      <w:pPr>
        <w:spacing w:after="0" w:line="209" w:lineRule="exact"/>
        <w:rPr>
          <w:sz w:val="20"/>
          <w:szCs w:val="20"/>
          <w:color w:val="auto"/>
        </w:rPr>
      </w:pPr>
    </w:p>
    <w:p>
      <w:pPr>
        <w:ind w:right="440" w:firstLine="1296"/>
        <w:spacing w:after="0" w:line="282" w:lineRule="auto"/>
        <w:rPr>
          <w:sz w:val="20"/>
          <w:szCs w:val="20"/>
          <w:color w:val="auto"/>
        </w:rPr>
      </w:pPr>
      <w:r>
        <w:rPr>
          <w:rFonts w:ascii="Arial" w:cs="Arial" w:eastAsia="Arial" w:hAnsi="Arial"/>
          <w:sz w:val="18"/>
          <w:szCs w:val="18"/>
          <w:color w:val="auto"/>
        </w:rPr>
        <w:t>Capitalized terms used but not defined in this Amendment shall have the meanings ascribed to such terms in the Second Amended and Restated Registration Rights Agreement, dated as of December 25, 2018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by and between the Company and the Stockholders referred to therein. Capitalized terms defined in this Amendment shall have the meanings ascribed to them herein for purposes of this Amendment and the Registration Rights Agreement.</w:t>
      </w:r>
    </w:p>
    <w:p>
      <w:pPr>
        <w:spacing w:after="0" w:line="161"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the Registration Rights Agreement, the Company is required to use its reasonable best efforts to file a Shelf Registration Statement for a public offering of all Registrable Securities (or such lesser amount agreed in accordance with the terms and conditions of the Registration Rights Agreement) no later than the first day on which such filing can be made with the SEC following the 150th day after the consummation of the Merger (such date, the “</w:t>
      </w:r>
      <w:r>
        <w:rPr>
          <w:rFonts w:ascii="Arial" w:cs="Arial" w:eastAsia="Arial" w:hAnsi="Arial"/>
          <w:sz w:val="18"/>
          <w:szCs w:val="18"/>
          <w:u w:val="single" w:color="auto"/>
          <w:color w:val="auto"/>
        </w:rPr>
        <w:t>Shelf Registration Filing Deadline</w:t>
      </w:r>
      <w:r>
        <w:rPr>
          <w:rFonts w:ascii="Arial" w:cs="Arial" w:eastAsia="Arial" w:hAnsi="Arial"/>
          <w:sz w:val="18"/>
          <w:szCs w:val="18"/>
          <w:color w:val="auto"/>
        </w:rPr>
        <w:t>”);</w:t>
      </w:r>
    </w:p>
    <w:p>
      <w:pPr>
        <w:spacing w:after="0" w:line="161" w:lineRule="exact"/>
        <w:rPr>
          <w:sz w:val="20"/>
          <w:szCs w:val="20"/>
          <w:color w:val="auto"/>
        </w:rPr>
      </w:pPr>
    </w:p>
    <w:p>
      <w:pPr>
        <w:ind w:right="520" w:firstLine="1296"/>
        <w:spacing w:after="0" w:line="260" w:lineRule="auto"/>
        <w:rPr>
          <w:sz w:val="20"/>
          <w:szCs w:val="20"/>
          <w:color w:val="auto"/>
        </w:rPr>
      </w:pPr>
      <w:r>
        <w:rPr>
          <w:rFonts w:ascii="Arial" w:cs="Arial" w:eastAsia="Arial" w:hAnsi="Arial"/>
          <w:sz w:val="20"/>
          <w:szCs w:val="20"/>
          <w:color w:val="auto"/>
        </w:rPr>
        <w:t xml:space="preserve">WHEREAS, the Company and the Stockholders wish to amend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the Registration Rights Agreement to extend the Shelf Registration Filing Deadline;</w:t>
      </w:r>
    </w:p>
    <w:p>
      <w:pPr>
        <w:spacing w:after="0" w:line="177" w:lineRule="exact"/>
        <w:rPr>
          <w:sz w:val="20"/>
          <w:szCs w:val="20"/>
          <w:color w:val="auto"/>
        </w:rPr>
      </w:pPr>
    </w:p>
    <w:p>
      <w:pPr>
        <w:ind w:right="840" w:firstLine="1296"/>
        <w:spacing w:after="0" w:line="260" w:lineRule="auto"/>
        <w:rPr>
          <w:sz w:val="20"/>
          <w:szCs w:val="20"/>
          <w:color w:val="auto"/>
        </w:rPr>
      </w:pPr>
      <w:r>
        <w:rPr>
          <w:rFonts w:ascii="Arial" w:cs="Arial" w:eastAsia="Arial" w:hAnsi="Arial"/>
          <w:sz w:val="20"/>
          <w:szCs w:val="20"/>
          <w:color w:val="auto"/>
        </w:rPr>
        <w:t xml:space="preserve">WHEREAS, any amendment, modification, supplement or waiver of or to any provision of the Registration Rights Agreement shall be effected in accordance with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thereof;</w:t>
      </w:r>
    </w:p>
    <w:p>
      <w:pPr>
        <w:spacing w:after="0" w:line="177" w:lineRule="exact"/>
        <w:rPr>
          <w:sz w:val="20"/>
          <w:szCs w:val="20"/>
          <w:color w:val="auto"/>
        </w:rPr>
      </w:pPr>
    </w:p>
    <w:p>
      <w:pPr>
        <w:ind w:right="300" w:firstLine="1296"/>
        <w:spacing w:after="0" w:line="385" w:lineRule="auto"/>
        <w:rPr>
          <w:sz w:val="20"/>
          <w:szCs w:val="20"/>
          <w:color w:val="auto"/>
        </w:rPr>
      </w:pPr>
      <w:r>
        <w:rPr>
          <w:rFonts w:ascii="Arial" w:cs="Arial" w:eastAsia="Arial" w:hAnsi="Arial"/>
          <w:sz w:val="16"/>
          <w:szCs w:val="16"/>
          <w:color w:val="auto"/>
        </w:rPr>
        <w:t xml:space="preserve">WHEREAS, each of the undersigned Stockholders, on behalf of such Stockholder and such Stockholder’s designated transferees or successors, wishes to consent to the amendment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the Registration Rights Agreement provided for herein;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05" w:right="339" w:bottom="1440" w:gutter="0" w:footer="0" w:header="0"/>
        </w:sectPr>
      </w:pPr>
    </w:p>
    <w:bookmarkStart w:id="198" w:name="page199"/>
    <w:bookmarkEnd w:id="198"/>
    <w:p>
      <w:pPr>
        <w:ind w:right="600" w:firstLine="1296"/>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is hereby acknowledged, the undersigned parties agree as follows:</w:t>
      </w:r>
    </w:p>
    <w:p>
      <w:pPr>
        <w:spacing w:after="0" w:line="177" w:lineRule="exact"/>
        <w:rPr>
          <w:sz w:val="20"/>
          <w:szCs w:val="20"/>
          <w:color w:val="auto"/>
        </w:rPr>
      </w:pPr>
    </w:p>
    <w:p>
      <w:pPr>
        <w:ind w:right="100" w:firstLine="1304"/>
        <w:spacing w:after="0" w:line="246" w:lineRule="auto"/>
        <w:tabs>
          <w:tab w:leader="none" w:pos="209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Amendment of Section 2.1(a)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the Registration Rights Agreement is hereby amended by deleting the first sentence thereof in its entirety and replacing such deleted first sentence with the following:</w:t>
      </w:r>
    </w:p>
    <w:p>
      <w:pPr>
        <w:spacing w:after="0" w:line="177" w:lineRule="exact"/>
        <w:rPr>
          <w:sz w:val="20"/>
          <w:szCs w:val="20"/>
          <w:color w:val="auto"/>
        </w:rPr>
      </w:pPr>
    </w:p>
    <w:p>
      <w:pPr>
        <w:ind w:left="1300"/>
        <w:spacing w:after="0" w:line="271" w:lineRule="auto"/>
        <w:rPr>
          <w:sz w:val="20"/>
          <w:szCs w:val="20"/>
          <w:color w:val="auto"/>
        </w:rPr>
      </w:pPr>
      <w:r>
        <w:rPr>
          <w:rFonts w:ascii="Arial" w:cs="Arial" w:eastAsia="Arial" w:hAnsi="Arial"/>
          <w:sz w:val="18"/>
          <w:szCs w:val="18"/>
          <w:color w:val="auto"/>
        </w:rPr>
        <w:t>Following the Merger, the Company shall use reasonable best efforts to (i) file a Shelf Registration Statement for a public offering of all Registrable Securities (or such lesser amount as the Sponsor Stockholders holding Registrable Securities agree, provided, that (x) all Registrable Securities of the Management Holders must be registered under such Shelf Registration Statement, (y) all Registrable Securities held by the Temasek Holders must be registered under such Shelf Registration Statement, and (z) upon the request of any such Sponsor Stockholder, the Company shall increase the number of Registrable Securities registered under such Shelf Registration Statement by the amount requested by such Sponsor Stockholder (or, in the event that no Shelf Registration Statement is effective at the time of such request, shall file and cause to become effective a Shelf Registration Statement covering such number of Registrable Securities), and this parenthetical shall apply to successive requests by Sponsor Stockholders holding Registrable Securities) pursuant to Rule 415 promulgated under the Securities Act no later than the first day on which such filing can be made with the SEC on or after April 15, 2020 and (ii) cause such Shelf Registration Statement to become effective as soon as possible thereafter.</w:t>
      </w:r>
    </w:p>
    <w:p>
      <w:pPr>
        <w:spacing w:after="0" w:line="170" w:lineRule="exact"/>
        <w:rPr>
          <w:sz w:val="20"/>
          <w:szCs w:val="20"/>
          <w:color w:val="auto"/>
        </w:rPr>
      </w:pPr>
    </w:p>
    <w:p>
      <w:pPr>
        <w:ind w:right="60" w:firstLine="1304"/>
        <w:spacing w:after="0" w:line="263" w:lineRule="auto"/>
        <w:tabs>
          <w:tab w:leader="none" w:pos="209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expressly provided by this Amendment, the Registration Rights Agreement is and shall continue to be in full force and effect and is hereby in all respects ratified and reaffirmed. Except as expressly set forth in this Amendment, no other terms and conditions of the Registration Rights Agreement are hereby amended, modified, supplemented or waived. Upon the effectiveness of this Amendment, each reference in the Registration Rights Agreement to “this Agreement,” “hereunder,” “hereof,” “herein” or words of similar import shall mean and be a reference to the Registration Rights Agreement as amended by this Amendment.</w:t>
      </w:r>
    </w:p>
    <w:p>
      <w:pPr>
        <w:spacing w:after="0" w:line="161" w:lineRule="exact"/>
        <w:rPr>
          <w:rFonts w:ascii="Arial" w:cs="Arial" w:eastAsia="Arial" w:hAnsi="Arial"/>
          <w:sz w:val="18"/>
          <w:szCs w:val="18"/>
          <w:color w:val="auto"/>
        </w:rPr>
      </w:pPr>
    </w:p>
    <w:p>
      <w:pPr>
        <w:ind w:right="120" w:firstLine="1304"/>
        <w:spacing w:after="0" w:line="246" w:lineRule="auto"/>
        <w:tabs>
          <w:tab w:leader="none" w:pos="20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and all claims or causes of action (whether in tort, contract or otherwise) that may be based upon, arise out of or relate to this Amendment or the negotiation, execution, interpretation or performance of this Amendment (including any claim or cause of action based upon, arising out of or related to any representation or warranty made in or in connection with this Amendment) shall be governed by and construed in accordance with the laws of the State of Delaware, regardless of the laws that might otherwise govern under applicable rules or principles of conflicts of laws.</w:t>
      </w:r>
    </w:p>
    <w:p>
      <w:pPr>
        <w:spacing w:after="0" w:line="176" w:lineRule="exact"/>
        <w:rPr>
          <w:rFonts w:ascii="Arial" w:cs="Arial" w:eastAsia="Arial" w:hAnsi="Arial"/>
          <w:sz w:val="19"/>
          <w:szCs w:val="19"/>
          <w:color w:val="auto"/>
        </w:rPr>
      </w:pPr>
    </w:p>
    <w:p>
      <w:pPr>
        <w:ind w:right="460" w:firstLine="1304"/>
        <w:spacing w:after="0" w:line="237" w:lineRule="auto"/>
        <w:tabs>
          <w:tab w:leader="none" w:pos="209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(which delivery may be via facsimile transmission or e-mail if in .pdf format), each of which shall be deemed an original, but all of which together shall constitute a single instrument.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39" w:right="33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IN WITNESS WHEREOF, the undersigned have executed and delivered this Amendment effective as of the date set forth above.</w:t>
      </w:r>
    </w:p>
    <w:p>
      <w:pPr>
        <w:sectPr>
          <w:pgSz w:w="11900" w:h="16838" w:orient="portrait"/>
          <w:cols w:equalWidth="0" w:num="1">
            <w:col w:w="10220"/>
          </w:cols>
          <w:pgMar w:left="980" w:top="339" w:right="699" w:bottom="1440" w:gutter="0" w:footer="0" w:header="0"/>
        </w:sectPr>
      </w:pPr>
    </w:p>
    <w:p>
      <w:pPr>
        <w:spacing w:after="0" w:line="269"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CORPORATION:</w:t>
      </w:r>
    </w:p>
    <w:p>
      <w:pPr>
        <w:spacing w:after="0" w:line="23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0"/>
          <w:szCs w:val="20"/>
          <w:color w:val="auto"/>
        </w:rPr>
        <w:t>By:</w:t>
        <w:tab/>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-14605</wp:posOffset>
            </wp:positionV>
            <wp:extent cx="1448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tab/>
        <w:t>Robert L. Potts</w:t>
      </w:r>
    </w:p>
    <w:p>
      <w:pPr>
        <w:jc w:val="both"/>
        <w:ind w:left="5580"/>
        <w:spacing w:after="0"/>
        <w:tabs>
          <w:tab w:leader="none" w:pos="6220" w:val="left"/>
        </w:tabs>
        <w:rPr>
          <w:sz w:val="20"/>
          <w:szCs w:val="20"/>
          <w:color w:val="auto"/>
        </w:rPr>
      </w:pPr>
      <w:r>
        <w:rPr>
          <w:rFonts w:ascii="Arial" w:cs="Arial" w:eastAsia="Arial" w:hAnsi="Arial"/>
          <w:sz w:val="20"/>
          <w:szCs w:val="20"/>
          <w:color w:val="auto"/>
        </w:rPr>
        <w:t>Title:</w:t>
        <w:tab/>
        <w:t>Senior Vice President and Assistant Secretary</w:t>
      </w:r>
    </w:p>
    <w:p>
      <w:pPr>
        <w:spacing w:after="0" w:line="20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980" w:top="339" w:right="699" w:bottom="1440" w:gutter="0" w:footer="0" w:header="0"/>
          <w:type w:val="continuous"/>
        </w:sectPr>
      </w:pPr>
    </w:p>
    <w:bookmarkStart w:id="200" w:name="page201"/>
    <w:bookmarkEnd w:id="200"/>
    <w:p>
      <w:pPr>
        <w:jc w:val="center"/>
        <w:ind w:right="99"/>
        <w:spacing w:after="0"/>
        <w:rPr>
          <w:sz w:val="20"/>
          <w:szCs w:val="20"/>
          <w:color w:val="auto"/>
        </w:rPr>
      </w:pPr>
      <w:r>
        <w:rPr>
          <w:rFonts w:ascii="Arial" w:cs="Arial" w:eastAsia="Arial" w:hAnsi="Arial"/>
          <w:sz w:val="20"/>
          <w:szCs w:val="20"/>
          <w:b w:val="1"/>
          <w:bCs w:val="1"/>
          <w:color w:val="auto"/>
        </w:rPr>
        <w:t>MD STOCKHOLDER / MD HOLDER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-14605</wp:posOffset>
            </wp:positionV>
            <wp:extent cx="1318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0"/>
          <w:szCs w:val="20"/>
          <w:color w:val="auto"/>
        </w:rPr>
        <w:t>Michael S. Dell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019"/>
          </w:cols>
          <w:pgMar w:left="1440" w:top="562" w:right="1440" w:bottom="1440" w:gutter="0" w:footer="0" w:header="0"/>
        </w:sectPr>
      </w:pPr>
    </w:p>
    <w:bookmarkStart w:id="201" w:name="page202"/>
    <w:bookmarkEnd w:id="201"/>
    <w:p>
      <w:pPr>
        <w:ind w:left="2780"/>
        <w:spacing w:after="0"/>
        <w:rPr>
          <w:sz w:val="20"/>
          <w:szCs w:val="20"/>
          <w:color w:val="auto"/>
        </w:rPr>
      </w:pPr>
      <w:r>
        <w:rPr>
          <w:rFonts w:ascii="Arial" w:cs="Arial" w:eastAsia="Arial" w:hAnsi="Arial"/>
          <w:sz w:val="20"/>
          <w:szCs w:val="20"/>
          <w:b w:val="1"/>
          <w:bCs w:val="1"/>
          <w:color w:val="auto"/>
        </w:rPr>
        <w:t>MD STOCKHOLDER / MD HOLDER:</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SUSAN LIEBERMAN DELL SEPARATE PROPERTY TRUST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Marc R. Lisker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573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4">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tab/>
        <w:t>Marc R. Lisker</w:t>
      </w:r>
    </w:p>
    <w:p>
      <w:pPr>
        <w:ind w:left="4080"/>
        <w:spacing w:after="0"/>
        <w:tabs>
          <w:tab w:leader="none" w:pos="4680" w:val="left"/>
        </w:tabs>
        <w:rPr>
          <w:sz w:val="20"/>
          <w:szCs w:val="20"/>
          <w:color w:val="auto"/>
        </w:rPr>
      </w:pPr>
      <w:r>
        <w:rPr>
          <w:rFonts w:ascii="Arial" w:cs="Arial" w:eastAsia="Arial" w:hAnsi="Arial"/>
          <w:sz w:val="20"/>
          <w:szCs w:val="20"/>
          <w:color w:val="auto"/>
        </w:rPr>
        <w:t>Title:</w:t>
        <w:tab/>
        <w:t>President of Trustee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019"/>
          </w:cols>
          <w:pgMar w:left="1440" w:top="589" w:right="1440" w:bottom="1440" w:gutter="0" w:footer="0" w:header="0"/>
        </w:sectPr>
      </w:pPr>
    </w:p>
    <w:bookmarkStart w:id="202" w:name="page203"/>
    <w:bookmarkEnd w:id="202"/>
    <w:p>
      <w:pPr>
        <w:ind w:left="2780"/>
        <w:spacing w:after="0"/>
        <w:rPr>
          <w:sz w:val="20"/>
          <w:szCs w:val="20"/>
          <w:color w:val="auto"/>
        </w:rPr>
      </w:pPr>
      <w:r>
        <w:rPr>
          <w:rFonts w:ascii="Arial" w:cs="Arial" w:eastAsia="Arial" w:hAnsi="Arial"/>
          <w:sz w:val="19"/>
          <w:szCs w:val="19"/>
          <w:b w:val="1"/>
          <w:bCs w:val="1"/>
          <w:color w:val="auto"/>
        </w:rPr>
        <w:t>MSD PARTNERS STOCKHOLDERS / MSD PARTNERS HOLDERS:</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MSDC DENALI INVESTORS,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MSDC Denali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Marc R. Lisker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573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5">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tab/>
        <w:t>Marc R. Lisker</w:t>
      </w:r>
    </w:p>
    <w:p>
      <w:pPr>
        <w:ind w:left="4080"/>
        <w:spacing w:after="0"/>
        <w:tabs>
          <w:tab w:leader="none" w:pos="4680" w:val="left"/>
        </w:tabs>
        <w:rPr>
          <w:sz w:val="20"/>
          <w:szCs w:val="20"/>
          <w:color w:val="auto"/>
        </w:rPr>
      </w:pPr>
      <w:r>
        <w:rPr>
          <w:rFonts w:ascii="Arial" w:cs="Arial" w:eastAsia="Arial" w:hAnsi="Arial"/>
          <w:sz w:val="20"/>
          <w:szCs w:val="20"/>
          <w:color w:val="auto"/>
        </w:rPr>
        <w:t>Title:</w:t>
        <w:tab/>
        <w:t>Manager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562" w:right="1440" w:bottom="1440" w:gutter="0" w:footer="0" w:header="0"/>
        </w:sectPr>
      </w:pPr>
    </w:p>
    <w:bookmarkStart w:id="203" w:name="page204"/>
    <w:bookmarkEnd w:id="203"/>
    <w:p>
      <w:pPr>
        <w:ind w:left="2780"/>
        <w:spacing w:after="0"/>
        <w:rPr>
          <w:sz w:val="20"/>
          <w:szCs w:val="20"/>
          <w:color w:val="auto"/>
        </w:rPr>
      </w:pPr>
      <w:r>
        <w:rPr>
          <w:rFonts w:ascii="Arial" w:cs="Arial" w:eastAsia="Arial" w:hAnsi="Arial"/>
          <w:sz w:val="19"/>
          <w:szCs w:val="19"/>
          <w:b w:val="1"/>
          <w:bCs w:val="1"/>
          <w:color w:val="auto"/>
        </w:rPr>
        <w:t>MSD PARTNERS STOCKHOLDERS / MSD PARTNERS HOLDERS:</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MSDC DENALI EIV, LLC</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MSDC Denali (GP),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Marc R. Lisker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573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6">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tab/>
        <w:t>Marc R. Lisker</w:t>
      </w:r>
    </w:p>
    <w:p>
      <w:pPr>
        <w:ind w:left="4080"/>
        <w:spacing w:after="0"/>
        <w:tabs>
          <w:tab w:leader="none" w:pos="4680" w:val="left"/>
        </w:tabs>
        <w:rPr>
          <w:sz w:val="20"/>
          <w:szCs w:val="20"/>
          <w:color w:val="auto"/>
        </w:rPr>
      </w:pPr>
      <w:r>
        <w:rPr>
          <w:rFonts w:ascii="Arial" w:cs="Arial" w:eastAsia="Arial" w:hAnsi="Arial"/>
          <w:sz w:val="20"/>
          <w:szCs w:val="20"/>
          <w:color w:val="auto"/>
        </w:rPr>
        <w:t>Title:</w:t>
        <w:tab/>
        <w:t>Manager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562" w:right="1440" w:bottom="1440" w:gutter="0" w:footer="0" w:header="0"/>
        </w:sectPr>
      </w:pPr>
    </w:p>
    <w:bookmarkStart w:id="204" w:name="page205"/>
    <w:bookmarkEnd w:id="204"/>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SL SPV-2,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SPV-2, L.P.,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SLTA SPV-2 (GP), L.L.C., its General Partner</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Silver Lake Group, L.L.C., its Managing Member</w:t>
      </w:r>
    </w:p>
    <w:p>
      <w:pPr>
        <w:spacing w:after="0" w:line="200" w:lineRule="exact"/>
        <w:rPr>
          <w:sz w:val="20"/>
          <w:szCs w:val="20"/>
          <w:color w:val="auto"/>
        </w:rPr>
      </w:pPr>
    </w:p>
    <w:p>
      <w:pPr>
        <w:spacing w:after="0" w:line="28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7">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562" w:right="1440" w:bottom="1440" w:gutter="0" w:footer="0" w:header="0"/>
        </w:sectPr>
      </w:pPr>
    </w:p>
    <w:bookmarkStart w:id="205" w:name="page206"/>
    <w:bookmarkEnd w:id="205"/>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PARTNERS 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IV,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IV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8">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562" w:right="1440" w:bottom="1440" w:gutter="0" w:footer="0" w:header="0"/>
        </w:sectPr>
      </w:pPr>
    </w:p>
    <w:bookmarkStart w:id="206" w:name="page207"/>
    <w:bookmarkEnd w:id="206"/>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TECHNOLOGY INVESTORS 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IV,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IV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9">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562" w:right="1440" w:bottom="1440" w:gutter="0" w:footer="0" w:header="0"/>
        </w:sectPr>
      </w:pPr>
    </w:p>
    <w:bookmarkStart w:id="207" w:name="page208"/>
    <w:bookmarkEnd w:id="207"/>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PARTNERS V DE (AIV),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0">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562" w:right="1440" w:bottom="1440" w:gutter="0" w:footer="0" w:header="0"/>
        </w:sectPr>
      </w:pPr>
    </w:p>
    <w:bookmarkStart w:id="208" w:name="page209"/>
    <w:bookmarkEnd w:id="208"/>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TECHNOLOGY INVESTORS 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1">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562" w:right="1440" w:bottom="1440" w:gutter="0" w:footer="0" w:header="0"/>
        </w:sectPr>
      </w:pPr>
    </w:p>
    <w:bookmarkStart w:id="209" w:name="page210"/>
    <w:bookmarkEnd w:id="209"/>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SLP DENALI CO-INVEST,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SLP Denali Co-Invest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Silver Lake Technology Associates III, L.P., its Managing Member</w:t>
      </w:r>
    </w:p>
    <w:p>
      <w:pPr>
        <w:spacing w:after="0" w:line="25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III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62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2">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562" w:right="1440" w:bottom="1440" w:gutter="0" w:footer="0" w:header="0"/>
        </w:sectPr>
      </w:pPr>
    </w:p>
    <w:bookmarkStart w:id="210" w:name="page211"/>
    <w:bookmarkEnd w:id="210"/>
    <w:p>
      <w:pPr>
        <w:ind w:left="4720"/>
        <w:spacing w:after="0"/>
        <w:rPr>
          <w:sz w:val="20"/>
          <w:szCs w:val="20"/>
          <w:color w:val="auto"/>
        </w:rPr>
      </w:pPr>
      <w:r>
        <w:rPr>
          <w:rFonts w:ascii="Arial" w:cs="Arial" w:eastAsia="Arial" w:hAnsi="Arial"/>
          <w:sz w:val="20"/>
          <w:szCs w:val="20"/>
          <w:b w:val="1"/>
          <w:bCs w:val="1"/>
          <w:color w:val="auto"/>
        </w:rPr>
        <w:t>TEMASEK STOCKHOLDER / TEMASEK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VENEZIO INVESTMENTS PTE. LTD.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Rohit Sipahimalani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178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tab/>
        <w:t>Rohit Sipahimalani</w:t>
      </w:r>
    </w:p>
    <w:p>
      <w:pPr>
        <w:ind w:left="4080"/>
        <w:spacing w:after="0"/>
        <w:tabs>
          <w:tab w:leader="none" w:pos="4720" w:val="left"/>
        </w:tabs>
        <w:rPr>
          <w:sz w:val="20"/>
          <w:szCs w:val="20"/>
          <w:color w:val="auto"/>
        </w:rPr>
      </w:pPr>
      <w:r>
        <w:rPr>
          <w:rFonts w:ascii="Arial" w:cs="Arial" w:eastAsia="Arial" w:hAnsi="Arial"/>
          <w:sz w:val="20"/>
          <w:szCs w:val="20"/>
          <w:color w:val="auto"/>
        </w:rPr>
        <w:t>Title:</w:t>
        <w:tab/>
        <w:t>Joint Head – Investment Group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420"/>
          </w:cols>
          <w:pgMar w:left="1440" w:top="562" w:right="10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4.41</w:t>
      </w:r>
    </w:p>
    <w:p>
      <w:pPr>
        <w:spacing w:after="0" w:line="189"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Registered Pursuant to Section 12 of the</w:t>
      </w:r>
    </w:p>
    <w:p>
      <w:pPr>
        <w:ind w:left="4280"/>
        <w:spacing w:after="0"/>
        <w:rPr>
          <w:sz w:val="20"/>
          <w:szCs w:val="20"/>
          <w:color w:val="auto"/>
        </w:rPr>
      </w:pPr>
      <w:r>
        <w:rPr>
          <w:rFonts w:ascii="Arial" w:cs="Arial" w:eastAsia="Arial" w:hAnsi="Arial"/>
          <w:sz w:val="20"/>
          <w:szCs w:val="20"/>
          <w:b w:val="1"/>
          <w:bCs w:val="1"/>
          <w:color w:val="auto"/>
        </w:rPr>
        <w:t>Securities Exchange Act of 1934</w:t>
      </w:r>
    </w:p>
    <w:p>
      <w:pPr>
        <w:spacing w:after="0" w:line="173" w:lineRule="exact"/>
        <w:rPr>
          <w:sz w:val="20"/>
          <w:szCs w:val="20"/>
          <w:color w:val="auto"/>
        </w:rPr>
      </w:pPr>
    </w:p>
    <w:p>
      <w:pPr>
        <w:ind w:right="100" w:firstLine="405"/>
        <w:spacing w:after="0" w:line="260" w:lineRule="auto"/>
        <w:rPr>
          <w:sz w:val="20"/>
          <w:szCs w:val="20"/>
          <w:color w:val="auto"/>
        </w:rPr>
      </w:pPr>
      <w:r>
        <w:rPr>
          <w:rFonts w:ascii="Arial" w:cs="Arial" w:eastAsia="Arial" w:hAnsi="Arial"/>
          <w:sz w:val="20"/>
          <w:szCs w:val="20"/>
          <w:color w:val="auto"/>
        </w:rPr>
        <w:t>Dell Technologies Inc. (the “Company”) has registered one class of securities under Section 12 of the Securities Exchange Act of 1934, consisting of its Class C common stock, par value $0.01 per share (the “Class C Common Stock”).</w:t>
      </w:r>
    </w:p>
    <w:p>
      <w:pPr>
        <w:spacing w:after="0" w:line="150" w:lineRule="exact"/>
        <w:rPr>
          <w:sz w:val="20"/>
          <w:szCs w:val="20"/>
          <w:color w:val="auto"/>
        </w:rPr>
      </w:pPr>
    </w:p>
    <w:p>
      <w:pPr>
        <w:ind w:right="60" w:firstLine="405"/>
        <w:spacing w:after="0" w:line="276" w:lineRule="auto"/>
        <w:rPr>
          <w:sz w:val="20"/>
          <w:szCs w:val="20"/>
          <w:color w:val="auto"/>
        </w:rPr>
      </w:pPr>
      <w:r>
        <w:rPr>
          <w:rFonts w:ascii="Arial" w:cs="Arial" w:eastAsia="Arial" w:hAnsi="Arial"/>
          <w:sz w:val="18"/>
          <w:szCs w:val="18"/>
          <w:color w:val="auto"/>
        </w:rPr>
        <w:t>The following description of the Class C Common Stock and the other series of the Company’s common stock is a summary and does not purport to be complete. The description is subject to and qualified in its entirety by reference to the Company's Fifth Amended and Restated Certificate of Incorporation (the “Company certificate”) and the Company’s Second Amended and Restated Bylaws (the “Company bylaws”), each of which is incorporated by reference as an exhibit to the Annual Report on Form 10-K of which this Exhibit 4.41 is a part, as well as the relevant provisions of the General Corporation Law of the State of Delaware (the “DGCL”). For complete information, you should refer to the texts of the Company certificate, the Company bylaws and the relevant provisions of the DGCL.</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195" w:lineRule="exact"/>
        <w:rPr>
          <w:sz w:val="20"/>
          <w:szCs w:val="20"/>
          <w:color w:val="auto"/>
        </w:rPr>
      </w:pPr>
    </w:p>
    <w:p>
      <w:pPr>
        <w:ind w:right="280" w:firstLine="445"/>
        <w:spacing w:after="0" w:line="260" w:lineRule="auto"/>
        <w:rPr>
          <w:sz w:val="20"/>
          <w:szCs w:val="20"/>
          <w:color w:val="auto"/>
        </w:rPr>
      </w:pPr>
      <w:r>
        <w:rPr>
          <w:rFonts w:ascii="Arial" w:cs="Arial" w:eastAsia="Arial" w:hAnsi="Arial"/>
          <w:sz w:val="20"/>
          <w:szCs w:val="20"/>
          <w:color w:val="auto"/>
        </w:rPr>
        <w:t>The Company’s authorized capital stock consists of 9,143,025,308 shares of common stock, par value $0.01 per share (the “common stock”), and 1,000,000 shares of preferred stock, par value $0.01 per share (the “preferred stock”).</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Company certificate authorizes 7,900,000,000 shares of Class C 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Company certificate authorizes the following additional series of common stock:</w:t>
      </w:r>
    </w:p>
    <w:p>
      <w:pPr>
        <w:spacing w:after="0" w:line="18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600,000,000 shares of Class A common stock (the “Class A Common Stock”);</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200,000,000 shares of Class B common stock (the “Class B Common Stock”);</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100,000,000 shares of Class D common stock (the “Class D Common Stock”); and</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343,025,308 shares of Class V common stock (the “Class V Common Stock”).</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0"/>
          <w:szCs w:val="20"/>
          <w:color w:val="auto"/>
        </w:rPr>
        <w:t>Under the Company certificate, the Company may not issue any shares of the Class V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20"/>
          <w:szCs w:val="20"/>
          <w:b w:val="1"/>
          <w:bCs w:val="1"/>
          <w:i w:val="1"/>
          <w:iCs w:val="1"/>
          <w:color w:val="auto"/>
        </w:rPr>
        <w:t>Voting Rights</w:t>
      </w:r>
    </w:p>
    <w:p>
      <w:pPr>
        <w:spacing w:after="0" w:line="189" w:lineRule="exact"/>
        <w:rPr>
          <w:sz w:val="20"/>
          <w:szCs w:val="20"/>
          <w:color w:val="auto"/>
        </w:rPr>
      </w:pPr>
    </w:p>
    <w:p>
      <w:pPr>
        <w:ind w:firstLine="445"/>
        <w:spacing w:after="0" w:line="260" w:lineRule="auto"/>
        <w:rPr>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Subject to the terms of the Company certificate, each holder of record of the Class C Common Stock is entitled to one vote per</w:t>
      </w:r>
      <w:r>
        <w:rPr>
          <w:rFonts w:ascii="Arial" w:cs="Arial" w:eastAsia="Arial" w:hAnsi="Arial"/>
          <w:sz w:val="20"/>
          <w:szCs w:val="20"/>
          <w:i w:val="1"/>
          <w:iCs w:val="1"/>
          <w:color w:val="auto"/>
        </w:rPr>
        <w:t xml:space="preserve"> </w:t>
      </w:r>
      <w:r>
        <w:rPr>
          <w:rFonts w:ascii="Arial" w:cs="Arial" w:eastAsia="Arial" w:hAnsi="Arial"/>
          <w:sz w:val="20"/>
          <w:szCs w:val="20"/>
          <w:color w:val="auto"/>
        </w:rPr>
        <w:t>share.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Further, subject to the terms of the Company certificate:</w:t>
      </w:r>
    </w:p>
    <w:p>
      <w:pPr>
        <w:spacing w:after="0" w:line="189"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holder of record of the Class A Common Stock is entitled to 10 votes per share;</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holder of record of the Class B Common Stock is entitled to 10 votes per share; and</w:t>
      </w:r>
    </w:p>
    <w:p>
      <w:pPr>
        <w:sectPr>
          <w:pgSz w:w="11900" w:h="16838" w:orient="portrait"/>
          <w:cols w:equalWidth="0" w:num="1">
            <w:col w:w="11240"/>
          </w:cols>
          <w:pgMar w:left="320" w:top="333" w:right="339" w:bottom="1440" w:gutter="0" w:footer="0" w:header="0"/>
        </w:sectPr>
      </w:pPr>
    </w:p>
    <w:bookmarkStart w:id="212" w:name="page213"/>
    <w:bookmarkEnd w:id="212"/>
    <w:p>
      <w:pPr>
        <w:ind w:left="660" w:right="720" w:hanging="328"/>
        <w:spacing w:after="0" w:line="260"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each holder of record of the Class D Common Stock is not entitled to vote on any matter except to the extent required by the provisions of Delaware law, in which case such holder is entitled to one vote per share.</w:t>
      </w:r>
    </w:p>
    <w:p>
      <w:pPr>
        <w:spacing w:after="0" w:line="150" w:lineRule="exact"/>
        <w:rPr>
          <w:sz w:val="20"/>
          <w:szCs w:val="20"/>
          <w:color w:val="auto"/>
        </w:rPr>
      </w:pPr>
    </w:p>
    <w:p>
      <w:pPr>
        <w:ind w:firstLine="445"/>
        <w:spacing w:after="0" w:line="273" w:lineRule="auto"/>
        <w:rPr>
          <w:sz w:val="20"/>
          <w:szCs w:val="20"/>
          <w:color w:val="auto"/>
        </w:rPr>
      </w:pPr>
      <w:r>
        <w:rPr>
          <w:rFonts w:ascii="Arial" w:cs="Arial" w:eastAsia="Arial" w:hAnsi="Arial"/>
          <w:sz w:val="18"/>
          <w:szCs w:val="18"/>
          <w:color w:val="auto"/>
        </w:rPr>
        <w:t>The holders of shares of all series of common stock outstanding vote as one class with respect to the election of all Group I Directors of the Company’s Board of Directors (the “Board of Directors”) and, beginning with the 2020 annual meeting of stockholders of the Company and annually thereafter, the holders of Class C Common Stock vote separately as a series with respect to the election of the director designated as the “Group IV Director” to the Board of Directors. Except as may otherwise be provided in the Company certificate, or as may otherwise be required by Delaware law, with respect to all other matters to be voted on by stockholders of the Company, the holders of shares of all series of common stock outstanding vote as one class. Delaware law provides that the holders of any series of common stock vote as a separate class upon any proposed amendment to the Company certificate that would alter or change the powers, preferences or special rights of that series of common stock so as to affect them adversely if all series of common stock are not so affected.</w:t>
      </w:r>
    </w:p>
    <w:p>
      <w:pPr>
        <w:spacing w:after="0" w:line="141" w:lineRule="exact"/>
        <w:rPr>
          <w:sz w:val="20"/>
          <w:szCs w:val="20"/>
          <w:color w:val="auto"/>
        </w:rPr>
      </w:pPr>
    </w:p>
    <w:p>
      <w:pPr>
        <w:jc w:val="both"/>
        <w:ind w:right="40" w:firstLine="445"/>
        <w:spacing w:after="0" w:line="246" w:lineRule="auto"/>
        <w:rPr>
          <w:sz w:val="20"/>
          <w:szCs w:val="20"/>
          <w:color w:val="auto"/>
        </w:rPr>
      </w:pPr>
      <w:r>
        <w:rPr>
          <w:rFonts w:ascii="Arial" w:cs="Arial" w:eastAsia="Arial" w:hAnsi="Arial"/>
          <w:sz w:val="20"/>
          <w:szCs w:val="20"/>
          <w:i w:val="1"/>
          <w:iCs w:val="1"/>
          <w:color w:val="auto"/>
        </w:rPr>
        <w:t xml:space="preserve">Certain Amendments to the Company Certificate. </w:t>
      </w:r>
      <w:r>
        <w:rPr>
          <w:rFonts w:ascii="Arial" w:cs="Arial" w:eastAsia="Arial" w:hAnsi="Arial"/>
          <w:sz w:val="20"/>
          <w:szCs w:val="20"/>
          <w:color w:val="auto"/>
        </w:rPr>
        <w:t>The affirmative vote of the holders of a majority of the outstanding Class C Common</w:t>
      </w:r>
      <w:r>
        <w:rPr>
          <w:rFonts w:ascii="Arial" w:cs="Arial" w:eastAsia="Arial" w:hAnsi="Arial"/>
          <w:sz w:val="20"/>
          <w:szCs w:val="20"/>
          <w:i w:val="1"/>
          <w:iCs w:val="1"/>
          <w:color w:val="auto"/>
        </w:rPr>
        <w:t xml:space="preserve"> </w:t>
      </w:r>
      <w:r>
        <w:rPr>
          <w:rFonts w:ascii="Arial" w:cs="Arial" w:eastAsia="Arial" w:hAnsi="Arial"/>
          <w:sz w:val="20"/>
          <w:szCs w:val="20"/>
          <w:color w:val="auto"/>
        </w:rPr>
        <w:t>Stock is required for any amendment, alteration or repeal (including by merger, consolidation or otherwise by operation of law) of paragraph (b)(4) of Article VI of the Company certificate (relating to the Group IV Director) that would have a material adverse effect on the powers or special rights of the Class C Common Stock pursuant to that paragraph.</w:t>
      </w:r>
    </w:p>
    <w:p>
      <w:pPr>
        <w:spacing w:after="0" w:line="164" w:lineRule="exact"/>
        <w:rPr>
          <w:sz w:val="20"/>
          <w:szCs w:val="20"/>
          <w:color w:val="auto"/>
        </w:rPr>
      </w:pPr>
    </w:p>
    <w:p>
      <w:pPr>
        <w:ind w:firstLine="445"/>
        <w:spacing w:after="0" w:line="260" w:lineRule="auto"/>
        <w:rPr>
          <w:sz w:val="20"/>
          <w:szCs w:val="20"/>
          <w:color w:val="auto"/>
        </w:rPr>
      </w:pPr>
      <w:r>
        <w:rPr>
          <w:rFonts w:ascii="Arial" w:cs="Arial" w:eastAsia="Arial" w:hAnsi="Arial"/>
          <w:sz w:val="20"/>
          <w:szCs w:val="20"/>
          <w:color w:val="auto"/>
        </w:rPr>
        <w:t>The affirmative vote of each of (1) the holders of a majority of the outstanding Class A Common Stock and (2) the holders of a majority of the outstanding Class B Common Stock is required for:</w:t>
      </w:r>
    </w:p>
    <w:p>
      <w:pPr>
        <w:spacing w:after="0" w:line="177" w:lineRule="exact"/>
        <w:rPr>
          <w:sz w:val="20"/>
          <w:szCs w:val="20"/>
          <w:color w:val="auto"/>
        </w:rPr>
      </w:pPr>
    </w:p>
    <w:p>
      <w:pPr>
        <w:ind w:left="660" w:right="80" w:hanging="328"/>
        <w:spacing w:after="0" w:line="292"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amendment, alteration or repeal (including by merger, consolidation or otherwise by operation of law) of Article V or Article VI of the Company certificate (which relate, among other matters, to the authorized capital stock, liquidation, voting and conversion rights, and the size and structure of the Board of Directors); and</w:t>
      </w:r>
    </w:p>
    <w:p>
      <w:pPr>
        <w:spacing w:after="0" w:line="159" w:lineRule="exact"/>
        <w:rPr>
          <w:rFonts w:ascii="Arial" w:cs="Arial" w:eastAsia="Arial" w:hAnsi="Arial"/>
          <w:sz w:val="20"/>
          <w:szCs w:val="20"/>
          <w:color w:val="auto"/>
        </w:rPr>
      </w:pPr>
    </w:p>
    <w:p>
      <w:pPr>
        <w:ind w:left="660" w:hanging="328"/>
        <w:spacing w:after="0" w:line="325"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so long as Michael Dell and Susan Lieberman Dell Separate Property Trust (the “MD stockholders”) or certain investment funds affiliated with Silver Lake Partners (the “SLP stockholders”) own any common stock, any amendment, alteration or repeal (including by merger, consolidation or otherwise by operation of law) of Article X, Article VI or paragraph (b) of Article XII of the Company certificate (which relate, among other matters, to indemnification of directors and officers, the size and structure of the Board of Directors and the required vote for any amendments to the provisions of the Company certificate set forth above).</w:t>
      </w:r>
    </w:p>
    <w:p>
      <w:pPr>
        <w:spacing w:after="0" w:line="111" w:lineRule="exact"/>
        <w:rPr>
          <w:sz w:val="20"/>
          <w:szCs w:val="20"/>
          <w:color w:val="auto"/>
        </w:rPr>
      </w:pPr>
    </w:p>
    <w:p>
      <w:pPr>
        <w:ind w:right="40" w:firstLine="445"/>
        <w:spacing w:after="0" w:line="243" w:lineRule="auto"/>
        <w:rPr>
          <w:sz w:val="20"/>
          <w:szCs w:val="20"/>
          <w:color w:val="auto"/>
        </w:rPr>
      </w:pPr>
      <w:r>
        <w:rPr>
          <w:rFonts w:ascii="Arial" w:cs="Arial" w:eastAsia="Arial" w:hAnsi="Arial"/>
          <w:sz w:val="20"/>
          <w:szCs w:val="20"/>
          <w:i w:val="1"/>
          <w:iCs w:val="1"/>
          <w:color w:val="auto"/>
        </w:rPr>
        <w:t xml:space="preserve">Quorum for Stockholder Meeting; Required Vote. </w:t>
      </w:r>
      <w:r>
        <w:rPr>
          <w:rFonts w:ascii="Arial" w:cs="Arial" w:eastAsia="Arial" w:hAnsi="Arial"/>
          <w:sz w:val="20"/>
          <w:szCs w:val="20"/>
          <w:color w:val="auto"/>
        </w:rPr>
        <w:t>Under the Company bylaws, unless otherwise required by applicable law,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certificate or the rules of any stock exchange on which the Company’s securities may be listed, the holders of record of a majority of the voting power of the issued and outstanding shares of capital stock of the Company entitled to vote at the meeting, present in person or represented by proxy, constitute a quorum for the transaction of business at all meetings of the Company’s stockholders. Notwithstanding the foregoing, where a separate vote by a class or series or classes or series is required, a majority in voting power of the outstanding shares of that class or series or classes or series, present in person or represented by proxy, constitutes a quorum entitled to take action with respect to the vote on that matter.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339" w:right="359" w:bottom="1440" w:gutter="0" w:footer="0" w:header="0"/>
        </w:sectPr>
      </w:pPr>
    </w:p>
    <w:bookmarkStart w:id="213" w:name="page214"/>
    <w:bookmarkEnd w:id="213"/>
    <w:p>
      <w:pPr>
        <w:ind w:right="80" w:firstLine="445"/>
        <w:spacing w:after="0" w:line="274" w:lineRule="auto"/>
        <w:rPr>
          <w:sz w:val="20"/>
          <w:szCs w:val="20"/>
          <w:color w:val="auto"/>
        </w:rPr>
      </w:pPr>
      <w:r>
        <w:rPr>
          <w:rFonts w:ascii="Arial" w:cs="Arial" w:eastAsia="Arial" w:hAnsi="Arial"/>
          <w:sz w:val="18"/>
          <w:szCs w:val="18"/>
          <w:color w:val="auto"/>
        </w:rPr>
        <w:t>Under the Company bylaws, assuming a quorum is present or represented by proxy at a meeting of the Company’s stockholders, all elections of directors are determined by a plurality of the votes cast in respect of the shares present in person or represented by proxy at the meeting and entitled to vote on the election of directors. At meetings of the Company’s stockholders, assuming a quorum is present or represented by proxy at the meeting, all matters other than the election of directors will be decided by the vote of the holders of a majority of the voting power of the shares of the Company’s capital stock present in person or represented by proxy and entitled to vote on the subject matter, unless the question is one upon which, by express provision of applicable law, the rules of any stock exchange applicable to the Company, the Company certificate or the Company bylaws, a different vote is required, in which case that express provision will govern.</w:t>
      </w:r>
    </w:p>
    <w:p>
      <w:pPr>
        <w:spacing w:after="0" w:line="141" w:lineRule="exact"/>
        <w:rPr>
          <w:sz w:val="20"/>
          <w:szCs w:val="20"/>
          <w:color w:val="auto"/>
        </w:rPr>
      </w:pPr>
    </w:p>
    <w:p>
      <w:pPr>
        <w:ind w:right="20" w:firstLine="405"/>
        <w:spacing w:after="0" w:line="243" w:lineRule="auto"/>
        <w:rPr>
          <w:sz w:val="20"/>
          <w:szCs w:val="20"/>
          <w:color w:val="auto"/>
        </w:rPr>
      </w:pPr>
      <w:r>
        <w:rPr>
          <w:rFonts w:ascii="Arial" w:cs="Arial" w:eastAsia="Arial" w:hAnsi="Arial"/>
          <w:sz w:val="20"/>
          <w:szCs w:val="20"/>
          <w:i w:val="1"/>
          <w:iCs w:val="1"/>
          <w:color w:val="auto"/>
        </w:rPr>
        <w:t xml:space="preserve">Election and Removal of Group IV Director. </w:t>
      </w:r>
      <w:r>
        <w:rPr>
          <w:rFonts w:ascii="Arial" w:cs="Arial" w:eastAsia="Arial" w:hAnsi="Arial"/>
          <w:sz w:val="20"/>
          <w:szCs w:val="20"/>
          <w:color w:val="auto"/>
        </w:rPr>
        <w:t>Beginning with the 2020 annual meeting of stockholders of the Company and annually</w:t>
      </w:r>
      <w:r>
        <w:rPr>
          <w:rFonts w:ascii="Arial" w:cs="Arial" w:eastAsia="Arial" w:hAnsi="Arial"/>
          <w:sz w:val="20"/>
          <w:szCs w:val="20"/>
          <w:i w:val="1"/>
          <w:iCs w:val="1"/>
          <w:color w:val="auto"/>
        </w:rPr>
        <w:t xml:space="preserve"> </w:t>
      </w:r>
      <w:r>
        <w:rPr>
          <w:rFonts w:ascii="Arial" w:cs="Arial" w:eastAsia="Arial" w:hAnsi="Arial"/>
          <w:sz w:val="20"/>
          <w:szCs w:val="20"/>
          <w:color w:val="auto"/>
        </w:rPr>
        <w:t>thereafter, the holders of Class C Common Stock will have the right, voting separately as a series, to elect one Group IV Director. In connection with each such annual meeting of the stockholders, the Board of Directors will be required to nominate one nominee as the Group IV Director, who will be elected as described above. In the case of any vacancy occurring with respect to the Group IV Director, the vacancy may be filled by the affirmative vote of a majority of the Board of Directors until the next annual meeting of stockholders or until the Group IV Director’s earlier removal. The holders of Class C Common Stock, voting separately as a series, have the right to remove the Group IV Director with or without cause at any time.</w:t>
      </w:r>
    </w:p>
    <w:p>
      <w:pPr>
        <w:spacing w:after="0" w:line="166" w:lineRule="exact"/>
        <w:rPr>
          <w:sz w:val="20"/>
          <w:szCs w:val="20"/>
          <w:color w:val="auto"/>
        </w:rPr>
      </w:pPr>
    </w:p>
    <w:p>
      <w:pPr>
        <w:ind w:firstLine="445"/>
        <w:spacing w:after="0" w:line="272" w:lineRule="auto"/>
        <w:rPr>
          <w:sz w:val="20"/>
          <w:szCs w:val="20"/>
          <w:color w:val="auto"/>
        </w:rPr>
      </w:pPr>
      <w:r>
        <w:rPr>
          <w:rFonts w:ascii="Arial" w:cs="Arial" w:eastAsia="Arial" w:hAnsi="Arial"/>
          <w:sz w:val="18"/>
          <w:szCs w:val="18"/>
          <w:i w:val="1"/>
          <w:iCs w:val="1"/>
          <w:color w:val="auto"/>
        </w:rPr>
        <w:t xml:space="preserve">Control by MD Stockholders; Nomination Rights of MD Stockholders and SLP Stockholders. </w:t>
      </w:r>
      <w:r>
        <w:rPr>
          <w:rFonts w:ascii="Arial" w:cs="Arial" w:eastAsia="Arial" w:hAnsi="Arial"/>
          <w:sz w:val="18"/>
          <w:szCs w:val="18"/>
          <w:color w:val="auto"/>
        </w:rPr>
        <w:t>The MD stockholders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any matter submitted to the vote of all of the outstanding shares of the common stock voting together as a single class by reason of their beneficial ownership of shares of Class A Common Stock representing a majority of the voting power of the common stock. As a result, the MD stockholders are able to control actions to be taken by the Company, including actions related to the election of directors of the Company and its subsidiaries (including VMware, Inc. and its subsidiaries), amendments to the Company’s organizational documents, and the approval of significant corporate transactions, including mergers and sales of substantially all of the Company’s assets. In addition, so long as the MD stockholders and the SLP stockholders continue collectively to own common stock representing a significant amount of the combined voting power of the Company’s outstanding common stock, even if such amount is, individually or in the aggregate, less than 50%, such stockholders will continue to be able to strongly influence the Company’s decisions.</w:t>
      </w:r>
    </w:p>
    <w:p>
      <w:pPr>
        <w:spacing w:after="0" w:line="143" w:lineRule="exact"/>
        <w:rPr>
          <w:sz w:val="20"/>
          <w:szCs w:val="20"/>
          <w:color w:val="auto"/>
        </w:rPr>
      </w:pPr>
    </w:p>
    <w:p>
      <w:pPr>
        <w:ind w:right="20" w:firstLine="445"/>
        <w:spacing w:after="0" w:line="243" w:lineRule="auto"/>
        <w:rPr>
          <w:sz w:val="20"/>
          <w:szCs w:val="20"/>
          <w:color w:val="auto"/>
        </w:rPr>
      </w:pPr>
      <w:r>
        <w:rPr>
          <w:rFonts w:ascii="Arial" w:cs="Arial" w:eastAsia="Arial" w:hAnsi="Arial"/>
          <w:sz w:val="20"/>
          <w:szCs w:val="20"/>
          <w:color w:val="auto"/>
        </w:rPr>
        <w:t>In addition, the MD stockholders and the SLP stockholders, respectively, have the right to nominate a number of individuals for election as Group I Directors equal to the percentage of the total voting power for the regular election of directors beneficially owned by the MD stockholders or by the SLP stockholders multiplied by the number of directors then on the Board of Directors who are not members of the audit committee of the Board of Directors,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Conversion Rights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holders of the Class C Common Stock do not have conversion rights.</w:t>
      </w:r>
    </w:p>
    <w:p>
      <w:pPr>
        <w:spacing w:after="0" w:line="189" w:lineRule="exact"/>
        <w:rPr>
          <w:sz w:val="20"/>
          <w:szCs w:val="20"/>
          <w:color w:val="auto"/>
        </w:rPr>
      </w:pPr>
    </w:p>
    <w:p>
      <w:pPr>
        <w:ind w:right="200" w:firstLine="445"/>
        <w:spacing w:after="0" w:line="260" w:lineRule="auto"/>
        <w:rPr>
          <w:sz w:val="20"/>
          <w:szCs w:val="20"/>
          <w:color w:val="auto"/>
        </w:rPr>
      </w:pPr>
      <w:r>
        <w:rPr>
          <w:rFonts w:ascii="Arial" w:cs="Arial" w:eastAsia="Arial" w:hAnsi="Arial"/>
          <w:sz w:val="20"/>
          <w:szCs w:val="20"/>
          <w:color w:val="auto"/>
        </w:rPr>
        <w:t>At any time and from time to time, any holder of Class A Common Stock, Class B Common Stock or Class D Common Stock has the right by written election to the Company to convert all or any of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39" w:right="339" w:bottom="1440" w:gutter="0" w:footer="0" w:header="0"/>
        </w:sectPr>
      </w:pPr>
    </w:p>
    <w:bookmarkStart w:id="214" w:name="page215"/>
    <w:bookmarkEnd w:id="214"/>
    <w:p>
      <w:pPr>
        <w:ind w:right="80"/>
        <w:spacing w:after="0" w:line="291" w:lineRule="auto"/>
        <w:rPr>
          <w:sz w:val="20"/>
          <w:szCs w:val="20"/>
          <w:color w:val="auto"/>
        </w:rPr>
      </w:pPr>
      <w:r>
        <w:rPr>
          <w:rFonts w:ascii="Arial" w:cs="Arial" w:eastAsia="Arial" w:hAnsi="Arial"/>
          <w:sz w:val="18"/>
          <w:szCs w:val="18"/>
          <w:color w:val="auto"/>
        </w:rPr>
        <w:t>shares of that series, as applicable, held by the holder into shares of Class C Common Stock on a one-to-one basis, subject, in the case of any holder of Class D Common Stock, to any legal requirements applicable to the holder (including any applicable requirements under the U.S. Hart-Scott-Rodino Antitrust Improvements Act of 1976, as amended, and any other applicable antitrust laws).</w:t>
      </w:r>
    </w:p>
    <w:p>
      <w:pPr>
        <w:spacing w:after="0" w:line="125" w:lineRule="exact"/>
        <w:rPr>
          <w:sz w:val="20"/>
          <w:szCs w:val="20"/>
          <w:color w:val="auto"/>
        </w:rPr>
      </w:pPr>
    </w:p>
    <w:p>
      <w:pPr>
        <w:ind w:firstLine="445"/>
        <w:spacing w:after="0" w:line="256" w:lineRule="auto"/>
        <w:rPr>
          <w:sz w:val="20"/>
          <w:szCs w:val="20"/>
          <w:color w:val="auto"/>
        </w:rPr>
      </w:pPr>
      <w:r>
        <w:rPr>
          <w:rFonts w:ascii="Arial" w:cs="Arial" w:eastAsia="Arial" w:hAnsi="Arial"/>
          <w:sz w:val="19"/>
          <w:szCs w:val="19"/>
          <w:color w:val="auto"/>
        </w:rPr>
        <w:t>Upon any transfer of shares of Class A Common Stock or Class B Common Stock to any person, those shares will automatically be converted into shares of Class C Common Stock on a one-for-one basis, except (1) in a transfer to certain affiliated or related persons permitted under the Company certificate, (2) in the case of the Class A Common Stock, in a transfer in accordance with certain change of control transactions described in the Company certificate or (3) in the case of the Class B Common Stock, in connection with the transfer, at substantially the same time, to any person or group of affiliated persons of an aggregate number of shares of common stock held by the transferor and its permitted transferees greater than 50% of the outstanding shares of common stock owned by the SLP stockholders immediately following the closing of the transaction consummated on September 7, 2016 pursuant to which a wholly owned subsidiary of the Company merged with and into EMC Corporation (as adjusted for any stock split, stock dividend, reverse stock split or similar event occurring after that date).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Liquidation, Dissolution and Winding Up</w:t>
      </w:r>
    </w:p>
    <w:p>
      <w:pPr>
        <w:spacing w:after="0" w:line="189" w:lineRule="exact"/>
        <w:rPr>
          <w:sz w:val="20"/>
          <w:szCs w:val="20"/>
          <w:color w:val="auto"/>
        </w:rPr>
      </w:pPr>
    </w:p>
    <w:p>
      <w:pPr>
        <w:ind w:right="20" w:firstLine="445"/>
        <w:spacing w:after="0" w:line="244" w:lineRule="auto"/>
        <w:rPr>
          <w:sz w:val="20"/>
          <w:szCs w:val="20"/>
          <w:color w:val="auto"/>
        </w:rPr>
      </w:pPr>
      <w:r>
        <w:rPr>
          <w:rFonts w:ascii="Arial" w:cs="Arial" w:eastAsia="Arial" w:hAnsi="Arial"/>
          <w:sz w:val="20"/>
          <w:szCs w:val="20"/>
          <w:color w:val="auto"/>
        </w:rPr>
        <w:t>In the event of a liquidation, dissolution or winding-up of the Company, whether voluntary or involuntary, after payment or provision for payment of the debts and liabilities of the Company and payment or provision for payment of any preferential amount due to the holders of any other class or series of stock as to payments upon dissolution of the Company, the holders of shares of the Class C Common Stock and the other series of common stock will be entitled to receive their proportionate interests in the assets of the Company remaining for distribution to holders of stock.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Dividends and Other Distributions</w:t>
      </w:r>
    </w:p>
    <w:p>
      <w:pPr>
        <w:spacing w:after="0" w:line="189" w:lineRule="exact"/>
        <w:rPr>
          <w:sz w:val="20"/>
          <w:szCs w:val="20"/>
          <w:color w:val="auto"/>
        </w:rPr>
      </w:pPr>
    </w:p>
    <w:p>
      <w:pPr>
        <w:ind w:right="20" w:firstLine="405"/>
        <w:spacing w:after="0" w:line="272"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certificate does not provide for mandatory dividends. The Board of Directors has the authority and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declare and pay (or to refrain from declaring and paying) dividends on the Company’s common stock. Subject to the rights of any series of preferred stock outstanding at any time, the holders of Class C Common Stock and the other series of common stock will be entitled to share equally, on a per share basis, in dividends and other distributions of cash, property or shares of stock of the Company that may be declared by the Board of Directors from time to time with respect to the Company’s common stock out of the assets or funds of the Company legally available therefor. Notwithstanding the foregoing, in the event that any dividend is paid in the form of shares of the Company’s common stock or securities convertible, exchangeable or exercisable for shares of the Company’s common stock, holders of each series of the Company’s outstanding common stock would receive shares of that series of common stock or securities convertible, exchangeable or exercisable for shares of that series of common stock, as the case may be.</w:t>
      </w:r>
    </w:p>
    <w:p>
      <w:pPr>
        <w:spacing w:after="0" w:line="143" w:lineRule="exact"/>
        <w:rPr>
          <w:sz w:val="20"/>
          <w:szCs w:val="20"/>
          <w:color w:val="auto"/>
        </w:rPr>
      </w:pPr>
    </w:p>
    <w:p>
      <w:pPr>
        <w:ind w:right="80" w:firstLine="405"/>
        <w:spacing w:after="0" w:line="274" w:lineRule="auto"/>
        <w:rPr>
          <w:sz w:val="20"/>
          <w:szCs w:val="20"/>
          <w:color w:val="auto"/>
        </w:rPr>
      </w:pPr>
      <w:r>
        <w:rPr>
          <w:rFonts w:ascii="Arial" w:cs="Arial" w:eastAsia="Arial" w:hAnsi="Arial"/>
          <w:sz w:val="18"/>
          <w:szCs w:val="18"/>
          <w:i w:val="1"/>
          <w:iCs w:val="1"/>
          <w:color w:val="auto"/>
        </w:rPr>
        <w:t xml:space="preserve">Rights in Connection with Certain Transactions. </w:t>
      </w:r>
      <w:r>
        <w:rPr>
          <w:rFonts w:ascii="Arial" w:cs="Arial" w:eastAsia="Arial" w:hAnsi="Arial"/>
          <w:sz w:val="18"/>
          <w:szCs w:val="18"/>
          <w:color w:val="auto"/>
        </w:rPr>
        <w:t>Under the Company certificate, in the event of (1) a merger, consolidation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requiring the approval of the holders of the Company’s capital stock entitled to vote thereon, or (2) any tender or exchange offer with respect to any shares of common stock (x) by any third party in accordance with an agreement to which the Company is a party or (y) by the Company, each holder of common stock will have the right to receive, or the right to elect to receive, the same amount and form of consideration, if any, on a per share basis, as each other holder of common stock. Notwithstanding the foregoing, the holders of Class C Common Stock and the holders of Class D Common Stock may receive non-voting securities or capital stock, or securities or capital stock with differing voting rights or preferences than the holders of Class A Common Stock and/or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39" w:right="339" w:bottom="1440" w:gutter="0" w:footer="0" w:header="0"/>
        </w:sectPr>
      </w:pPr>
    </w:p>
    <w:bookmarkStart w:id="215" w:name="page216"/>
    <w:bookmarkEnd w:id="215"/>
    <w:p>
      <w:pPr>
        <w:ind w:right="200"/>
        <w:spacing w:after="0" w:line="260" w:lineRule="auto"/>
        <w:rPr>
          <w:sz w:val="20"/>
          <w:szCs w:val="20"/>
          <w:color w:val="auto"/>
        </w:rPr>
      </w:pPr>
      <w:r>
        <w:rPr>
          <w:rFonts w:ascii="Arial" w:cs="Arial" w:eastAsia="Arial" w:hAnsi="Arial"/>
          <w:sz w:val="20"/>
          <w:szCs w:val="20"/>
          <w:color w:val="auto"/>
        </w:rPr>
        <w:t>the holders of Class B Common Stock in connection with a merger, consolidation, other business combination, or tender or exchange offer involving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Preemptive or Other Rights</w:t>
      </w:r>
    </w:p>
    <w:p>
      <w:pPr>
        <w:spacing w:after="0" w:line="189" w:lineRule="exact"/>
        <w:rPr>
          <w:sz w:val="20"/>
          <w:szCs w:val="20"/>
          <w:color w:val="auto"/>
        </w:rPr>
      </w:pPr>
    </w:p>
    <w:p>
      <w:pPr>
        <w:ind w:right="860" w:firstLine="405"/>
        <w:spacing w:after="0" w:line="260" w:lineRule="auto"/>
        <w:rPr>
          <w:sz w:val="20"/>
          <w:szCs w:val="20"/>
          <w:color w:val="auto"/>
        </w:rPr>
      </w:pPr>
      <w:r>
        <w:rPr>
          <w:rFonts w:ascii="Arial" w:cs="Arial" w:eastAsia="Arial" w:hAnsi="Arial"/>
          <w:sz w:val="20"/>
          <w:szCs w:val="20"/>
          <w:color w:val="auto"/>
        </w:rPr>
        <w:t>Holders of the Class C Common Stock and the other series of common stock do not have any preemptive, cumulative voting, subscription, redemption or sinking fund rights.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Assessability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shares of Class C Common Stock and the other series of common stock currently outstanding are fully paid and non-assessable.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95" w:lineRule="exact"/>
        <w:rPr>
          <w:sz w:val="20"/>
          <w:szCs w:val="20"/>
          <w:color w:val="auto"/>
        </w:rPr>
      </w:pPr>
    </w:p>
    <w:p>
      <w:pPr>
        <w:ind w:right="40" w:firstLine="405"/>
        <w:spacing w:after="0" w:line="257" w:lineRule="auto"/>
        <w:rPr>
          <w:sz w:val="20"/>
          <w:szCs w:val="20"/>
          <w:color w:val="auto"/>
        </w:rPr>
      </w:pPr>
      <w:r>
        <w:rPr>
          <w:rFonts w:ascii="Arial" w:cs="Arial" w:eastAsia="Arial" w:hAnsi="Arial"/>
          <w:sz w:val="19"/>
          <w:szCs w:val="19"/>
          <w:color w:val="auto"/>
        </w:rPr>
        <w:t>Subject to obtaining any required stockholder votes or consents provided for in the Company certificate or in any resolutions of the Board of Directors providing for the creation of any series of preferred stock, the Board of Directors is expressly vested with the authority to adopt resolutions providing for the issue of authorized but unissued shares of preferred stock, which shares may be issued from time to time in one or more series in the amounts and for the consideration as may be determined by the Board of Directors. The powers, voting powers, designations, preferences, and relative, participating, optional or other rights, if any, of each series of preferred stock and the qualifications, limitations or restrictions, if any, of those preferences and/or rights, will be those as may be stated and expressed in resolutions adopted by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Opportunity Provisions under Company Certificate</w:t>
      </w:r>
    </w:p>
    <w:p>
      <w:pPr>
        <w:spacing w:after="0" w:line="195" w:lineRule="exact"/>
        <w:rPr>
          <w:sz w:val="20"/>
          <w:szCs w:val="20"/>
          <w:color w:val="auto"/>
        </w:rPr>
      </w:pPr>
    </w:p>
    <w:p>
      <w:pPr>
        <w:ind w:firstLine="445"/>
        <w:spacing w:after="0" w:line="255" w:lineRule="auto"/>
        <w:rPr>
          <w:sz w:val="20"/>
          <w:szCs w:val="20"/>
          <w:color w:val="auto"/>
        </w:rPr>
      </w:pPr>
      <w:r>
        <w:rPr>
          <w:rFonts w:ascii="Arial" w:cs="Arial" w:eastAsia="Arial" w:hAnsi="Arial"/>
          <w:sz w:val="19"/>
          <w:szCs w:val="19"/>
          <w:color w:val="auto"/>
        </w:rPr>
        <w:t>Under the DGCL, a corporation may renounce, in its certificate of incorporation or by action of its board of directors, any interest or expectancy of the corporation in, or in being offered an opportunity to participate in, specified business opportunities or specified classes or categories of business opportunities that are presented to the corporation or one or more of its officers, directors or stockholders. The Company certificate generally provides that the Company, to the fullest extent permitted by law, renounces any interest or expectancy to participate in any business or investments of any Covered Person (as defined below) as currently conducted or as may be conducted in the future, and waives any claim against a Covered Person and is required to indemnify a Covered Person against any claim that the Covered Person is liable to the Company, its subsidiaries or their respective stockholders for breach of any fiduciary duty solely by reason of that person’s participation in any such business or investment. The Company certificate provides that the Company further renounces any interest or expectancy in any potential transaction or matter of which the Covered Person acquires knowledge, except for any corporate opportunity that is expressly offered to a Covered Person in writing solely in the Cover Person’s capacity as an officer or director of the Company or its subsidiaries. For purposes of these provisions, “Covered Person” means (1) any director or officer of the Company or any of its subsidiaries who is also a director, officer, employee, managing director or other affiliate of Silver Lake Partners, and (2) Silver Lake Partners and the SLP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 Provision</w:t>
      </w:r>
    </w:p>
    <w:p>
      <w:pPr>
        <w:spacing w:after="0" w:line="181" w:lineRule="exact"/>
        <w:rPr>
          <w:sz w:val="20"/>
          <w:szCs w:val="20"/>
          <w:color w:val="auto"/>
        </w:rPr>
      </w:pPr>
    </w:p>
    <w:p>
      <w:pPr>
        <w:ind w:right="40" w:firstLine="324"/>
        <w:spacing w:after="0" w:line="250" w:lineRule="auto"/>
        <w:rPr>
          <w:sz w:val="20"/>
          <w:szCs w:val="20"/>
          <w:color w:val="auto"/>
        </w:rPr>
      </w:pPr>
      <w:r>
        <w:rPr>
          <w:rFonts w:ascii="Arial" w:cs="Arial" w:eastAsia="Arial" w:hAnsi="Arial"/>
          <w:sz w:val="20"/>
          <w:szCs w:val="20"/>
          <w:color w:val="auto"/>
        </w:rPr>
        <w:t>Under the Company certificate, unless the Company consents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339" w:right="399" w:bottom="1440" w:gutter="0" w:footer="0" w:header="0"/>
        </w:sectPr>
      </w:pPr>
    </w:p>
    <w:bookmarkStart w:id="216" w:name="page217"/>
    <w:bookmarkEnd w:id="216"/>
    <w:p>
      <w:pPr>
        <w:ind w:left="660" w:hanging="328"/>
        <w:spacing w:after="0"/>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derivative action or proceeding brought on behalf of the Company;</w:t>
      </w:r>
    </w:p>
    <w:p>
      <w:pPr>
        <w:spacing w:after="0" w:line="188" w:lineRule="exact"/>
        <w:rPr>
          <w:rFonts w:ascii="Arial" w:cs="Arial" w:eastAsia="Arial" w:hAnsi="Arial"/>
          <w:sz w:val="20"/>
          <w:szCs w:val="20"/>
          <w:color w:val="auto"/>
        </w:rPr>
      </w:pPr>
    </w:p>
    <w:p>
      <w:pPr>
        <w:ind w:left="660" w:right="540" w:hanging="328"/>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action asserting a claim of breach of a fiduciary duty owed by any director or officer or stockholder of the Company to the Company or the Company’s stockholders;</w:t>
      </w:r>
    </w:p>
    <w:p>
      <w:pPr>
        <w:spacing w:after="0" w:line="149" w:lineRule="exact"/>
        <w:rPr>
          <w:rFonts w:ascii="Arial" w:cs="Arial" w:eastAsia="Arial" w:hAnsi="Arial"/>
          <w:sz w:val="20"/>
          <w:szCs w:val="20"/>
          <w:color w:val="auto"/>
        </w:rPr>
      </w:pPr>
    </w:p>
    <w:p>
      <w:pPr>
        <w:ind w:left="660" w:right="280" w:hanging="328"/>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action asserting a claim against the Company or any director or officer or stockholder of the Company arising pursuant to any provision of the DGCL or of the Company certificate or Company bylaws; or</w:t>
      </w:r>
    </w:p>
    <w:p>
      <w:pPr>
        <w:spacing w:after="0" w:line="149" w:lineRule="exact"/>
        <w:rPr>
          <w:rFonts w:ascii="Arial" w:cs="Arial" w:eastAsia="Arial" w:hAnsi="Arial"/>
          <w:sz w:val="20"/>
          <w:szCs w:val="20"/>
          <w:color w:val="auto"/>
        </w:rPr>
      </w:pPr>
    </w:p>
    <w:p>
      <w:pPr>
        <w:ind w:left="660" w:right="160" w:hanging="328"/>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action asserting a claim against the Company or any director or officer or stockholder of the Company governed by the internal affairs doctrine.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Company Certificate, Company Bylaws and Delaware Law</w:t>
      </w:r>
    </w:p>
    <w:p>
      <w:pPr>
        <w:spacing w:after="0" w:line="195" w:lineRule="exact"/>
        <w:rPr>
          <w:sz w:val="20"/>
          <w:szCs w:val="20"/>
          <w:color w:val="auto"/>
        </w:rPr>
      </w:pPr>
    </w:p>
    <w:p>
      <w:pPr>
        <w:ind w:right="60" w:firstLine="405"/>
        <w:spacing w:after="0" w:line="260" w:lineRule="auto"/>
        <w:rPr>
          <w:sz w:val="20"/>
          <w:szCs w:val="20"/>
          <w:color w:val="auto"/>
        </w:rPr>
      </w:pPr>
      <w:r>
        <w:rPr>
          <w:rFonts w:ascii="Arial" w:cs="Arial" w:eastAsia="Arial" w:hAnsi="Arial"/>
          <w:sz w:val="20"/>
          <w:szCs w:val="20"/>
          <w:color w:val="auto"/>
        </w:rPr>
        <w:t>The Company certificate and the Company bylaws contain provisions that could have the effect of discouraging, delaying or preventing a change in control of the Company that a stockholder may consider favorable. These provisions include:</w:t>
      </w:r>
    </w:p>
    <w:p>
      <w:pPr>
        <w:spacing w:after="0" w:line="136"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limitations on who may call special meetings of stockholders;</w:t>
      </w:r>
    </w:p>
    <w:p>
      <w:pPr>
        <w:spacing w:after="0" w:line="175" w:lineRule="exact"/>
        <w:rPr>
          <w:rFonts w:ascii="Arial" w:cs="Arial" w:eastAsia="Arial" w:hAnsi="Arial"/>
          <w:sz w:val="20"/>
          <w:szCs w:val="20"/>
          <w:color w:val="auto"/>
        </w:rPr>
      </w:pPr>
    </w:p>
    <w:p>
      <w:pPr>
        <w:ind w:left="660" w:right="760" w:hanging="328"/>
        <w:spacing w:after="0" w:line="26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advance notice requirements for nominations of candidates for election to the Board of Directors and for proposals for other business;</w:t>
      </w:r>
    </w:p>
    <w:p>
      <w:pPr>
        <w:spacing w:after="0" w:line="136" w:lineRule="exact"/>
        <w:rPr>
          <w:rFonts w:ascii="Arial" w:cs="Arial" w:eastAsia="Arial" w:hAnsi="Arial"/>
          <w:sz w:val="20"/>
          <w:szCs w:val="20"/>
          <w:color w:val="auto"/>
        </w:rPr>
      </w:pPr>
    </w:p>
    <w:p>
      <w:pPr>
        <w:ind w:left="660" w:right="80" w:hanging="328"/>
        <w:spacing w:after="0" w:line="246"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authorization of 1,000,000 shares of “blank check” preferred stock, which could be issued by the Board of Directors without approval of the holders of the common stock to persons friendly to the Company’s management, thereby protecting the continuity of the Company’s management, or which could be used to dilute the stock ownership of persons seeking to obtain control of the Company;</w:t>
      </w:r>
    </w:p>
    <w:p>
      <w:pPr>
        <w:spacing w:after="0" w:line="150"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requirement that any stockholder written consent be signed by holders of a majority of the Company’s common stock beneficially owned by the MD stockholders and holders of a majority of the Company’s common stock beneficially owned by the SLP stockholders; and</w:t>
      </w:r>
    </w:p>
    <w:p>
      <w:pPr>
        <w:spacing w:after="0" w:line="145" w:lineRule="exact"/>
        <w:rPr>
          <w:rFonts w:ascii="Arial" w:cs="Arial" w:eastAsia="Arial" w:hAnsi="Arial"/>
          <w:sz w:val="20"/>
          <w:szCs w:val="20"/>
          <w:color w:val="auto"/>
        </w:rPr>
      </w:pPr>
    </w:p>
    <w:p>
      <w:pPr>
        <w:jc w:val="both"/>
        <w:ind w:left="660" w:right="160" w:hanging="328"/>
        <w:spacing w:after="0" w:line="263"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requirement described above that (1) the holders of the Class A Common Stock, voting separately as a series, (2) the holders of the Class B Common Stock, voting separately as a series, and (3) the MD stockholders and SLP stockholders, in each case, so long as they own any common stock, approve amendments to certain provisions of the Company certificate, including provisions related to authorized capital stock and the size and structure of the Board of Directors.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Further, as a Delaware corporation, the Company is subject to provisions of Delaware law that may deter a takeover attempt that its stockholders may find beneficial. These anti-takeover provisions and other provisions under Delaware law could discourage, delay, or prevent a transaction involving a change in control of the Company, including actions that its stockholders may deem advantageous, or negatively affect the trading price of its common stock, including the Class C Common Stock. These provisions also could discourage proxy contests and make it more difficult for the Company’s stockholders to elect directors of their choosing and to cause the Company to take other corporate actions that may be supported by its stockholders.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339" w:right="35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b w:val="1"/>
          <w:bCs w:val="1"/>
          <w:color w:val="auto"/>
        </w:rPr>
        <w:t>Listing</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9"/>
          <w:szCs w:val="19"/>
          <w:color w:val="auto"/>
        </w:rPr>
        <w:t>The Class C Common Stock is traded on the New York Stock Exchange under the trading symbol “DELL.” The Class A Common Stock and Class B Common Stock are not listed on any securities exchange or traded in any public market.</w:t>
      </w:r>
    </w:p>
    <w:p>
      <w:pPr>
        <w:spacing w:after="0" w:line="350"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0"/>
          </w:cols>
          <w:pgMar w:left="320" w:top="333" w:right="8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ind w:left="2880"/>
              <w:spacing w:after="0"/>
              <w:rPr>
                <w:sz w:val="20"/>
                <w:szCs w:val="20"/>
                <w:color w:val="auto"/>
              </w:rPr>
            </w:pPr>
            <w:r>
              <w:rPr>
                <w:rFonts w:ascii="Arial" w:cs="Arial" w:eastAsia="Arial" w:hAnsi="Arial"/>
                <w:sz w:val="18"/>
                <w:szCs w:val="18"/>
                <w:b w:val="1"/>
                <w:bCs w:val="1"/>
                <w:color w:val="auto"/>
              </w:rPr>
              <w:t>Dell Technologies Inc. Subsidiary List</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3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Country</w:t>
            </w:r>
          </w:p>
        </w:tc>
      </w:tr>
      <w:tr>
        <w:trPr>
          <w:trHeight w:val="48"/>
        </w:trPr>
        <w:tc>
          <w:tcPr>
            <w:tcW w:w="20" w:type="dxa"/>
            <w:vAlign w:val="bottom"/>
            <w:tcBorders>
              <w:bottom w:val="single" w:sz="8" w:color="ACACAC"/>
            </w:tcBorders>
          </w:tcPr>
          <w:p>
            <w:pPr>
              <w:spacing w:after="0"/>
              <w:rPr>
                <w:sz w:val="4"/>
                <w:szCs w:val="4"/>
                <w:color w:val="auto"/>
              </w:rPr>
            </w:pPr>
          </w:p>
        </w:tc>
        <w:tc>
          <w:tcPr>
            <w:tcW w:w="1240" w:type="dxa"/>
            <w:vAlign w:val="bottom"/>
            <w:tcBorders>
              <w:top w:val="single" w:sz="8" w:color="auto"/>
              <w:bottom w:val="single" w:sz="8" w:color="ACACAC"/>
            </w:tcBorders>
          </w:tcPr>
          <w:p>
            <w:pPr>
              <w:spacing w:after="0"/>
              <w:rPr>
                <w:sz w:val="4"/>
                <w:szCs w:val="4"/>
                <w:color w:val="auto"/>
              </w:rPr>
            </w:pPr>
          </w:p>
        </w:tc>
        <w:tc>
          <w:tcPr>
            <w:tcW w:w="6620" w:type="dxa"/>
            <w:vAlign w:val="bottom"/>
            <w:tcBorders>
              <w:bottom w:val="single" w:sz="8" w:color="ACACAC"/>
            </w:tcBorders>
          </w:tcPr>
          <w:p>
            <w:pPr>
              <w:spacing w:after="0"/>
              <w:rPr>
                <w:sz w:val="4"/>
                <w:szCs w:val="4"/>
                <w:color w:val="auto"/>
              </w:rPr>
            </w:pPr>
          </w:p>
        </w:tc>
        <w:tc>
          <w:tcPr>
            <w:tcW w:w="1120" w:type="dxa"/>
            <w:vAlign w:val="bottom"/>
            <w:tcBorders>
              <w:bottom w:val="single" w:sz="8" w:color="ACACAC"/>
            </w:tcBorders>
          </w:tcPr>
          <w:p>
            <w:pPr>
              <w:spacing w:after="0"/>
              <w:rPr>
                <w:sz w:val="4"/>
                <w:szCs w:val="4"/>
                <w:color w:val="auto"/>
              </w:rPr>
            </w:pPr>
          </w:p>
        </w:tc>
        <w:tc>
          <w:tcPr>
            <w:tcW w:w="660" w:type="dxa"/>
            <w:vAlign w:val="bottom"/>
            <w:tcBorders>
              <w:top w:val="single" w:sz="8" w:color="auto"/>
              <w:bottom w:val="single" w:sz="8" w:color="ACACAC"/>
            </w:tcBorders>
          </w:tcPr>
          <w:p>
            <w:pPr>
              <w:spacing w:after="0"/>
              <w:rPr>
                <w:sz w:val="4"/>
                <w:szCs w:val="4"/>
                <w:color w:val="auto"/>
              </w:rPr>
            </w:pPr>
          </w:p>
        </w:tc>
        <w:tc>
          <w:tcPr>
            <w:tcW w:w="1520" w:type="dxa"/>
            <w:vAlign w:val="bottom"/>
            <w:tcBorders>
              <w:bottom w:val="single" w:sz="8" w:color="ACACAC"/>
            </w:tcBorders>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3401 Hillview LLC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900 West Park Drive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A.W.S. Holding, LLC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AetherPal (INDIA) Private Limited</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97"/>
              </w:rPr>
              <w:t>India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AetherPal Inc.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AirWatch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Arkinnet Software Private Limited</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97"/>
              </w:rPr>
              <w:t>India</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ASAP Software Express Inc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Boomi LE UK Limited</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5"/>
              </w:rPr>
              <w:t>United Kingdom</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Boomi, Inc.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Bracknell Boulevard (Block C) LLC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Bracknell Boulevard (Block D)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Bracknell Boulevard Management Company Limited</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5"/>
              </w:rPr>
              <w:t>United Kingdom</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Branch of Dell (Free Zone Company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1"/>
              </w:rPr>
              <w:t>Saudi Arabia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CloudHealth Technologies (Singapore) Pte. Ltd.</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Singapore</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CloudHealth Technologies Australia Pty. Ltd.</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4"/>
              </w:rPr>
              <w:t>Australia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CloudHealth Technologies France SARL</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France</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CloudHealth Technologies Germany GmbH</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89"/>
              </w:rPr>
              <w:t>Germany</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CloudHealth Technologies UK Ltd.</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5"/>
              </w:rPr>
              <w:t>United Kingdom</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CloudHealth Technologies,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Conchango Limited</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5"/>
              </w:rPr>
              <w:t>United Kingdom</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Credant Technologies International, Inc.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Credant Technologies, Inc.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Data Domain International III LLC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Data Domain LLC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Data General International Inc.</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DCC Executive Security Inc.</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United States</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(Chengdu) Company Limited</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(China) Company Limited - Beijing Branch</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Beijing Information Technology Branch Office</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(China) Company Limited - Dalian Branch</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Guangzhou Branch</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7"/>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(China) Company Limited - Hang Zhou Liaison Office</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Nanjing Liaison Office</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6"/>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(China) Company Limited - Shanghai Branch</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Shen Zhen Liaison Office</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6"/>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(China) Company Limited - Shenzhen Branch</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Xiamen Branch</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6"/>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(PS) Limited</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90"/>
              </w:rPr>
              <w:t>Ireland</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(Switzerland) GmbH</w:t>
            </w:r>
          </w:p>
        </w:tc>
        <w:tc>
          <w:tcPr>
            <w:tcW w:w="33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2"/>
              </w:rPr>
              <w:t>Switzerland</w:t>
            </w:r>
          </w:p>
        </w:tc>
      </w:tr>
      <w:tr>
        <w:trPr>
          <w:trHeight w:val="236"/>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(Xiamen) Company Limited</w:t>
            </w:r>
          </w:p>
        </w:tc>
        <w:tc>
          <w:tcPr>
            <w:tcW w:w="1120" w:type="dxa"/>
            <w:vAlign w:val="bottom"/>
            <w:tcBorders>
              <w:top w:val="single" w:sz="8" w:color="ACACAC"/>
            </w:tcBorders>
          </w:tcPr>
          <w:p>
            <w:pPr>
              <w:spacing w:after="0"/>
              <w:rPr>
                <w:sz w:val="20"/>
                <w:szCs w:val="20"/>
                <w:color w:val="auto"/>
              </w:rPr>
            </w:pPr>
          </w:p>
        </w:tc>
        <w:tc>
          <w:tcPr>
            <w:tcW w:w="2180" w:type="dxa"/>
            <w:vAlign w:val="bottom"/>
            <w:tcBorders>
              <w:top w:val="single" w:sz="8" w:color="ACACAC"/>
            </w:tcBorders>
            <w:gridSpan w:val="2"/>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(Xiamen) Company Limited - Dalian Branch</w:t>
            </w: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China</w:t>
            </w:r>
          </w:p>
        </w:tc>
      </w:tr>
      <w:tr>
        <w:trPr>
          <w:trHeight w:val="236"/>
        </w:trPr>
        <w:tc>
          <w:tcPr>
            <w:tcW w:w="20" w:type="dxa"/>
            <w:vAlign w:val="bottom"/>
            <w:tcBorders>
              <w:top w:val="single" w:sz="8" w:color="ACACAC"/>
            </w:tcBorders>
          </w:tcPr>
          <w:p>
            <w:pPr>
              <w:spacing w:after="0"/>
              <w:rPr>
                <w:sz w:val="20"/>
                <w:szCs w:val="20"/>
                <w:color w:val="auto"/>
              </w:rPr>
            </w:pPr>
          </w:p>
        </w:tc>
        <w:tc>
          <w:tcPr>
            <w:tcW w:w="786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rPr>
              <w:t>Dell A/S</w:t>
            </w:r>
          </w:p>
        </w:tc>
        <w:tc>
          <w:tcPr>
            <w:tcW w:w="3300" w:type="dxa"/>
            <w:vAlign w:val="bottom"/>
            <w:tcBorders>
              <w:top w:val="single" w:sz="8" w:color="ACACAC"/>
            </w:tcBorders>
            <w:gridSpan w:val="3"/>
          </w:tcPr>
          <w:p>
            <w:pPr>
              <w:jc w:val="center"/>
              <w:ind w:right="400"/>
              <w:spacing w:after="0"/>
              <w:rPr>
                <w:sz w:val="20"/>
                <w:szCs w:val="20"/>
                <w:color w:val="auto"/>
              </w:rPr>
            </w:pPr>
            <w:r>
              <w:rPr>
                <w:rFonts w:ascii="Arial" w:cs="Arial" w:eastAsia="Arial" w:hAnsi="Arial"/>
                <w:sz w:val="18"/>
                <w:szCs w:val="18"/>
                <w:color w:val="auto"/>
                <w:w w:val="90"/>
              </w:rPr>
              <w:t>Denmark</w:t>
            </w:r>
          </w:p>
        </w:tc>
      </w:tr>
      <w:tr>
        <w:trPr>
          <w:trHeight w:val="27"/>
        </w:trPr>
        <w:tc>
          <w:tcPr>
            <w:tcW w:w="2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6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1520" w:type="dxa"/>
            <w:vAlign w:val="bottom"/>
            <w:tcBorders>
              <w:bottom w:val="single" w:sz="8" w:color="ACACAC"/>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AB</w:t>
            </w:r>
          </w:p>
        </w:tc>
        <w:tc>
          <w:tcPr>
            <w:tcW w:w="1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520"/>
              <w:spacing w:after="0"/>
              <w:rPr>
                <w:sz w:val="20"/>
                <w:szCs w:val="20"/>
                <w:color w:val="auto"/>
              </w:rPr>
            </w:pPr>
            <w:r>
              <w:rPr>
                <w:rFonts w:ascii="Arial" w:cs="Arial" w:eastAsia="Arial" w:hAnsi="Arial"/>
                <w:sz w:val="18"/>
                <w:szCs w:val="18"/>
                <w:color w:val="auto"/>
                <w:w w:val="89"/>
              </w:rPr>
              <w:t>Sweden</w:t>
            </w:r>
          </w:p>
        </w:tc>
      </w:tr>
      <w:tr>
        <w:trPr>
          <w:trHeight w:val="20"/>
        </w:trPr>
        <w:tc>
          <w:tcPr>
            <w:tcW w:w="20" w:type="dxa"/>
            <w:vAlign w:val="bottom"/>
            <w:shd w:val="clear" w:color="auto" w:fill="ACACAC"/>
          </w:tcPr>
          <w:p>
            <w:pPr>
              <w:spacing w:after="0" w:line="20" w:lineRule="exact"/>
              <w:rPr>
                <w:sz w:val="1"/>
                <w:szCs w:val="1"/>
                <w:color w:val="auto"/>
              </w:rPr>
            </w:pPr>
          </w:p>
        </w:tc>
        <w:tc>
          <w:tcPr>
            <w:tcW w:w="1240" w:type="dxa"/>
            <w:vAlign w:val="bottom"/>
            <w:shd w:val="clear" w:color="auto" w:fill="ACACAC"/>
          </w:tcPr>
          <w:p>
            <w:pPr>
              <w:spacing w:after="0" w:line="20" w:lineRule="exact"/>
              <w:rPr>
                <w:sz w:val="1"/>
                <w:szCs w:val="1"/>
                <w:color w:val="auto"/>
              </w:rPr>
            </w:pPr>
          </w:p>
        </w:tc>
        <w:tc>
          <w:tcPr>
            <w:tcW w:w="6620" w:type="dxa"/>
            <w:vAlign w:val="bottom"/>
            <w:shd w:val="clear" w:color="auto" w:fill="ACACAC"/>
          </w:tcPr>
          <w:p>
            <w:pPr>
              <w:spacing w:after="0" w:line="20" w:lineRule="exact"/>
              <w:rPr>
                <w:sz w:val="1"/>
                <w:szCs w:val="1"/>
                <w:color w:val="auto"/>
              </w:rPr>
            </w:pPr>
          </w:p>
        </w:tc>
        <w:tc>
          <w:tcPr>
            <w:tcW w:w="1120" w:type="dxa"/>
            <w:vAlign w:val="bottom"/>
            <w:shd w:val="clear" w:color="auto" w:fill="ACACAC"/>
          </w:tcPr>
          <w:p>
            <w:pPr>
              <w:spacing w:after="0" w:line="20" w:lineRule="exact"/>
              <w:rPr>
                <w:sz w:val="1"/>
                <w:szCs w:val="1"/>
                <w:color w:val="auto"/>
              </w:rPr>
            </w:pPr>
          </w:p>
        </w:tc>
        <w:tc>
          <w:tcPr>
            <w:tcW w:w="660" w:type="dxa"/>
            <w:vAlign w:val="bottom"/>
            <w:shd w:val="clear" w:color="auto" w:fill="ACACAC"/>
          </w:tcPr>
          <w:p>
            <w:pPr>
              <w:spacing w:after="0" w:line="20" w:lineRule="exact"/>
              <w:rPr>
                <w:sz w:val="1"/>
                <w:szCs w:val="1"/>
                <w:color w:val="auto"/>
              </w:rPr>
            </w:pPr>
          </w:p>
        </w:tc>
        <w:tc>
          <w:tcPr>
            <w:tcW w:w="1520" w:type="dxa"/>
            <w:vAlign w:val="bottom"/>
            <w:shd w:val="clear" w:color="auto" w:fill="ACACAC"/>
          </w:tcPr>
          <w:p>
            <w:pPr>
              <w:spacing w:after="0" w:line="20" w:lineRule="exact"/>
              <w:rPr>
                <w:sz w:val="1"/>
                <w:szCs w:val="1"/>
                <w:color w:val="auto"/>
              </w:rPr>
            </w:pPr>
          </w:p>
        </w:tc>
      </w:tr>
    </w:tbl>
    <w:p>
      <w:pPr>
        <w:sectPr>
          <w:pgSz w:w="11900" w:h="16838" w:orient="portrait"/>
          <w:cols w:equalWidth="0" w:num="1">
            <w:col w:w="11200"/>
          </w:cols>
          <w:pgMar w:left="360" w:top="553" w:right="339" w:bottom="1440"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Dell America Latina Corp, Argentina Branch</w:t>
            </w:r>
          </w:p>
        </w:tc>
        <w:tc>
          <w:tcPr>
            <w:tcW w:w="4000" w:type="dxa"/>
            <w:vAlign w:val="bottom"/>
          </w:tcPr>
          <w:p>
            <w:pPr>
              <w:jc w:val="center"/>
              <w:ind w:left="210"/>
              <w:spacing w:after="0"/>
              <w:rPr>
                <w:sz w:val="20"/>
                <w:szCs w:val="20"/>
                <w:color w:val="auto"/>
              </w:rPr>
            </w:pPr>
            <w:r>
              <w:rPr>
                <w:rFonts w:ascii="Arial" w:cs="Arial" w:eastAsia="Arial" w:hAnsi="Arial"/>
                <w:sz w:val="18"/>
                <w:szCs w:val="18"/>
                <w:color w:val="auto"/>
                <w:w w:val="90"/>
              </w:rPr>
              <w:t>Argentina</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America Latina Corp.</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AS</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4"/>
              </w:rPr>
              <w:t>Norway</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Asia Holdings Pte. Ltd.</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Singapore</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Asia Pacific Sdn. Bhd.</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2"/>
              </w:rPr>
              <w:t>Malaysia</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Asset Revolving Trust-B</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Asset Syndication L.L.C.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Australia Holding Pty Ltd</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4"/>
              </w:rPr>
              <w:t>Australia</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Australia Pty Limited</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4"/>
              </w:rPr>
              <w:t>Australia</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B.V.</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Netherlands</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B.V., Taiwan Branch</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2"/>
              </w:rPr>
              <w:t>Taiwan</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Bank International Designated Activity Company</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Ireland</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Bank International Designated Activity Company, Sucursal en España</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1"/>
              </w:rPr>
              <w:t>Spain</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Canada Inc.</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5"/>
              </w:rPr>
              <w:t>Canada</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Colombia Inc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Colombia Inc - Colombia Branch</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2"/>
              </w:rPr>
              <w:t>Colombia</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Computadores do Brasil - Curitiba Branch</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Hortolandia/SP Branch (A)</w:t>
            </w:r>
          </w:p>
        </w:tc>
        <w:tc>
          <w:tcPr>
            <w:tcW w:w="40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Computadores do Brasil - Hortolandia/SP Branch (B)</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Porto Alegre Branch</w:t>
            </w:r>
          </w:p>
        </w:tc>
        <w:tc>
          <w:tcPr>
            <w:tcW w:w="40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Computadores do Brasil - Sao Paulo Branch (Avenida Prestes Maia)</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Sao Paulo Branch (Rua James Joule)</w:t>
            </w:r>
          </w:p>
        </w:tc>
        <w:tc>
          <w:tcPr>
            <w:tcW w:w="40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Computadores do Brasil - Sao Paulo Branch (Rua Verbo Divino)</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Ltda.</w:t>
            </w:r>
          </w:p>
        </w:tc>
        <w:tc>
          <w:tcPr>
            <w:tcW w:w="40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7"/>
              </w:rPr>
              <w:t>Brazil</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Computer (Pty) Limited</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5"/>
              </w:rPr>
              <w:t>South Africa</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 spol. s r.o.</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Czech Republic</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Computer De Chile Ltda.</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2"/>
              </w:rPr>
              <w:t>Chile</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EEIG</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Computer Holdings L.P.</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SA</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Spain</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Computer Services de Mexico S.A. de C.V.</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4"/>
              </w:rPr>
              <w:t>Mexico</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Conduit Funding-B L.L.C.</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Conduit Funding-C L.L.C.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Corporation (Thailand) Co., Ltd.</w:t>
            </w:r>
          </w:p>
        </w:tc>
        <w:tc>
          <w:tcPr>
            <w:tcW w:w="40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2"/>
              </w:rPr>
              <w:t>Thailand</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Corporation Limited</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Costa Rica SA</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Costa Rica</w:t>
            </w:r>
          </w:p>
        </w:tc>
      </w:tr>
      <w:tr>
        <w:trPr>
          <w:trHeight w:val="237"/>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Depositor L.L.C.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DFS Corporation</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DFS Group Holdings L.L.C.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DFS Holdings Kft</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Hungary</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DFS Holdings LLC</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0"/>
              </w:rPr>
              <w:t>United States</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Direct</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Ireland</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El Salvador, Limitada</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3"/>
              </w:rPr>
              <w:t>El Salvador</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Emerging Markets (EMEA) Limited</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87"/>
              </w:rPr>
              <w:t>Jordan</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2"/>
              </w:rPr>
              <w:t>Tunisia</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Emerging Markets (EMEA) Limited - Egypt Representative Office</w:t>
            </w:r>
          </w:p>
        </w:tc>
        <w:tc>
          <w:tcPr>
            <w:tcW w:w="4000" w:type="dxa"/>
            <w:vAlign w:val="bottom"/>
            <w:tcBorders>
              <w:top w:val="single" w:sz="8" w:color="ACACAC"/>
            </w:tcBorders>
          </w:tcPr>
          <w:p>
            <w:pPr>
              <w:jc w:val="center"/>
              <w:ind w:left="210"/>
              <w:spacing w:after="0"/>
              <w:rPr>
                <w:sz w:val="20"/>
                <w:szCs w:val="20"/>
                <w:color w:val="auto"/>
              </w:rPr>
            </w:pPr>
            <w:r>
              <w:rPr>
                <w:rFonts w:ascii="Arial" w:cs="Arial" w:eastAsia="Arial" w:hAnsi="Arial"/>
                <w:sz w:val="18"/>
                <w:szCs w:val="18"/>
                <w:color w:val="auto"/>
                <w:w w:val="91"/>
              </w:rPr>
              <w:t>Egypt</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 Representative Office</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Lebanon</w:t>
            </w:r>
          </w:p>
        </w:tc>
      </w:tr>
      <w:tr>
        <w:trPr>
          <w:trHeight w:val="236"/>
        </w:trPr>
        <w:tc>
          <w:tcPr>
            <w:tcW w:w="71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Emerging Markets (EMEA) Limited (Kazakhstan Representative Office)</w:t>
            </w:r>
          </w:p>
        </w:tc>
        <w:tc>
          <w:tcPr>
            <w:tcW w:w="4000" w:type="dxa"/>
            <w:vAlign w:val="bottom"/>
            <w:tcBorders>
              <w:top w:val="single" w:sz="8" w:color="ACACAC"/>
            </w:tcBorders>
          </w:tcPr>
          <w:p>
            <w:pPr>
              <w:jc w:val="center"/>
              <w:ind w:left="230"/>
              <w:spacing w:after="0"/>
              <w:rPr>
                <w:sz w:val="20"/>
                <w:szCs w:val="20"/>
                <w:color w:val="auto"/>
              </w:rPr>
            </w:pPr>
            <w:r>
              <w:rPr>
                <w:rFonts w:ascii="Arial" w:cs="Arial" w:eastAsia="Arial" w:hAnsi="Arial"/>
                <w:sz w:val="18"/>
                <w:szCs w:val="18"/>
                <w:color w:val="auto"/>
                <w:w w:val="89"/>
              </w:rPr>
              <w:t>Kazakhstan</w:t>
            </w:r>
          </w:p>
        </w:tc>
      </w:tr>
      <w:tr>
        <w:trPr>
          <w:trHeight w:val="27"/>
        </w:trPr>
        <w:tc>
          <w:tcPr>
            <w:tcW w:w="718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(Kenya Branch)</w:t>
            </w:r>
          </w:p>
        </w:tc>
        <w:tc>
          <w:tcPr>
            <w:tcW w:w="40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Kenya</w:t>
            </w:r>
          </w:p>
        </w:tc>
      </w:tr>
      <w:tr>
        <w:trPr>
          <w:trHeight w:val="20"/>
        </w:trPr>
        <w:tc>
          <w:tcPr>
            <w:tcW w:w="7180" w:type="dxa"/>
            <w:vAlign w:val="bottom"/>
            <w:shd w:val="clear" w:color="auto" w:fill="ACACAC"/>
          </w:tcPr>
          <w:p>
            <w:pPr>
              <w:spacing w:after="0" w:line="20" w:lineRule="exact"/>
              <w:rPr>
                <w:sz w:val="1"/>
                <w:szCs w:val="1"/>
                <w:color w:val="auto"/>
              </w:rPr>
            </w:pPr>
          </w:p>
        </w:tc>
        <w:tc>
          <w:tcPr>
            <w:tcW w:w="400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733" w:right="359" w:bottom="1440" w:gutter="0" w:footer="0" w:header="0"/>
        </w:sectPr>
      </w:pPr>
    </w:p>
    <w:bookmarkStart w:id="220" w:name="page221"/>
    <w:bookmarkEnd w:id="2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Dell Emerging Markets (EMEA) Limited (Uganda Representative Office)</w:t>
            </w:r>
          </w:p>
        </w:tc>
        <w:tc>
          <w:tcPr>
            <w:tcW w:w="3900" w:type="dxa"/>
            <w:vAlign w:val="bottom"/>
          </w:tcPr>
          <w:p>
            <w:pPr>
              <w:jc w:val="center"/>
              <w:ind w:left="130"/>
              <w:spacing w:after="0"/>
              <w:rPr>
                <w:sz w:val="20"/>
                <w:szCs w:val="20"/>
                <w:color w:val="auto"/>
              </w:rPr>
            </w:pPr>
            <w:r>
              <w:rPr>
                <w:rFonts w:ascii="Arial" w:cs="Arial" w:eastAsia="Arial" w:hAnsi="Arial"/>
                <w:sz w:val="18"/>
                <w:szCs w:val="18"/>
                <w:color w:val="auto"/>
                <w:w w:val="88"/>
              </w:rPr>
              <w:t>Uganda</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External Company (Ghana)</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5"/>
              </w:rPr>
              <w:t>Ghana</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Emerging Markets (EMEA) Limited Trade Representative Office (Bulgaria)</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3"/>
              </w:rPr>
              <w:t>Bulgaria</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za usluge, Podružnica Zagreb</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2"/>
              </w:rPr>
              <w:t>Croatia</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Finance Trust 2014-1</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2015-1</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Finance Trust 2015-2</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2016-1</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Finance Trust 2017-1</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2017-2</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Finance Trust 2018-1</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2018-2</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Finance Trust 2019-1</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Funding LP</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Equipment GP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Federal Systems Corporation</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Federal Systems GP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Federal Systems L.P.</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Federal Systems LP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Financial Services Canada Limited</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5"/>
              </w:rPr>
              <w:t>Canada</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Financial Services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Financial Services Pty Ltd</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4"/>
              </w:rPr>
              <w:t>Australia</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Financial Services Pty Ltd</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2"/>
              </w:rPr>
              <w:t>New Zealand</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Funding L.L.C.</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FZ-LLC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FZ-LLC - Abu Dhabi Branch</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2"/>
              </w:rPr>
              <w:t>United Arab Emirates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FZ-LLC - BAHRAIN BRANCH</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3"/>
              </w:rPr>
              <w:t>Bahrain</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FZ-LLC - Dubai Branch</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2"/>
              </w:rPr>
              <w:t>United Arab Emirates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FZ-LLC - Qatar Branch</w:t>
            </w:r>
          </w:p>
        </w:tc>
        <w:tc>
          <w:tcPr>
            <w:tcW w:w="3900" w:type="dxa"/>
            <w:vAlign w:val="bottom"/>
            <w:tcBorders>
              <w:top w:val="single" w:sz="8" w:color="ACACAC"/>
            </w:tcBorders>
          </w:tcPr>
          <w:p>
            <w:pPr>
              <w:jc w:val="center"/>
              <w:ind w:left="130"/>
              <w:spacing w:after="0"/>
              <w:rPr>
                <w:sz w:val="20"/>
                <w:szCs w:val="20"/>
                <w:color w:val="auto"/>
              </w:rPr>
            </w:pPr>
            <w:r>
              <w:rPr>
                <w:rFonts w:ascii="Arial" w:cs="Arial" w:eastAsia="Arial" w:hAnsi="Arial"/>
                <w:sz w:val="18"/>
                <w:szCs w:val="18"/>
                <w:color w:val="auto"/>
                <w:w w:val="88"/>
              </w:rPr>
              <w:t>Qatar</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Gesellschaft m.b.H</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6"/>
              </w:rPr>
              <w:t>Austria</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B.V.</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88"/>
              </w:rPr>
              <w:t>Netherlands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 Bangladesh Liaison Office</w:t>
            </w:r>
          </w:p>
        </w:tc>
        <w:tc>
          <w:tcPr>
            <w:tcW w:w="39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8"/>
              </w:rPr>
              <w:t>Bangladesh</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B.V. - Pakistan Liaison Office</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89"/>
              </w:rPr>
              <w:t>Pakistan</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 Philippines Representative Office</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4"/>
              </w:rPr>
              <w:t>Philippines</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B.V. - Sri Lanka Liaison / Representative Office</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2"/>
              </w:rPr>
              <w:t>Sri Lanka</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(Singapore Branch)</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Singapore</w:t>
            </w:r>
          </w:p>
        </w:tc>
      </w:tr>
      <w:tr>
        <w:trPr>
          <w:trHeight w:val="237"/>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Business Center Sdn. Bhd.</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2"/>
              </w:rPr>
              <w:t>Malaysia</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III B.V.</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Netherlands</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Holdings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VII LLC</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Holdings X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XII L.L.C.</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Global Holdings XIV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XV L.L.C.</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United States</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GmbH</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89"/>
              </w:rPr>
              <w:t>Germany</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GmbH - Munich Branch</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Germany</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Guatemala, Ltda.</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88"/>
              </w:rPr>
              <w:t>Guatemala</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Hong Kong Limited</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5"/>
              </w:rPr>
              <w:t>Hong Kong</w:t>
            </w:r>
          </w:p>
        </w:tc>
      </w:tr>
      <w:tr>
        <w:trPr>
          <w:trHeight w:val="236"/>
        </w:trPr>
        <w:tc>
          <w:tcPr>
            <w:tcW w:w="72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Hungary Technology Solutions Trade LLC</w:t>
            </w:r>
          </w:p>
        </w:tc>
        <w:tc>
          <w:tcPr>
            <w:tcW w:w="3900" w:type="dxa"/>
            <w:vAlign w:val="bottom"/>
            <w:tcBorders>
              <w:top w:val="single" w:sz="8" w:color="ACACAC"/>
            </w:tcBorders>
          </w:tcPr>
          <w:p>
            <w:pPr>
              <w:jc w:val="center"/>
              <w:ind w:left="110"/>
              <w:spacing w:after="0"/>
              <w:rPr>
                <w:sz w:val="20"/>
                <w:szCs w:val="20"/>
                <w:color w:val="auto"/>
              </w:rPr>
            </w:pPr>
            <w:r>
              <w:rPr>
                <w:rFonts w:ascii="Arial" w:cs="Arial" w:eastAsia="Arial" w:hAnsi="Arial"/>
                <w:sz w:val="18"/>
                <w:szCs w:val="18"/>
                <w:color w:val="auto"/>
                <w:w w:val="91"/>
              </w:rPr>
              <w:t>Hungary</w:t>
            </w:r>
          </w:p>
        </w:tc>
      </w:tr>
      <w:tr>
        <w:trPr>
          <w:trHeight w:val="27"/>
        </w:trPr>
        <w:tc>
          <w:tcPr>
            <w:tcW w:w="728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III - Comercio de Computadores, Unipessoal Lda</w:t>
            </w:r>
          </w:p>
        </w:tc>
        <w:tc>
          <w:tcPr>
            <w:tcW w:w="39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2"/>
              </w:rPr>
              <w:t>Portugal</w:t>
            </w:r>
          </w:p>
        </w:tc>
      </w:tr>
      <w:tr>
        <w:trPr>
          <w:trHeight w:val="20"/>
        </w:trPr>
        <w:tc>
          <w:tcPr>
            <w:tcW w:w="7280" w:type="dxa"/>
            <w:vAlign w:val="bottom"/>
            <w:shd w:val="clear" w:color="auto" w:fill="ACACAC"/>
          </w:tcPr>
          <w:p>
            <w:pPr>
              <w:spacing w:after="0" w:line="20" w:lineRule="exact"/>
              <w:rPr>
                <w:sz w:val="1"/>
                <w:szCs w:val="1"/>
                <w:color w:val="auto"/>
              </w:rPr>
            </w:pPr>
          </w:p>
        </w:tc>
        <w:tc>
          <w:tcPr>
            <w:tcW w:w="390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733" w:right="359" w:bottom="1440" w:gutter="0" w:footer="0" w:header="0"/>
        </w:sectPr>
      </w:pPr>
    </w:p>
    <w:bookmarkStart w:id="221" w:name="page222"/>
    <w:bookmarkEnd w:id="2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Dell Inc.</w:t>
            </w:r>
          </w:p>
        </w:tc>
        <w:tc>
          <w:tcPr>
            <w:tcW w:w="4200" w:type="dxa"/>
            <w:vAlign w:val="bottom"/>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Information Technology (Kunshan) Company Limited</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China</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International Holdings IX B.V.</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Netherlands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Holdings Kft</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Hungary</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International Holdings Limited</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5"/>
              </w:rPr>
              <w:t>United Kingdom</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Holdings SAS</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France</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International Holdings VIII B.V.</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Netherlands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Inc. (Korea)</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3"/>
              </w:rPr>
              <w:t>Korea, Republic of</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International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Services India Private Limited</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India</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International Services Philippines, Inc.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4"/>
              </w:rPr>
              <w:t>Philippines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Japan Inc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5"/>
              </w:rPr>
              <w:t>Japan</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Latinoamerica, S. de R.L.</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6"/>
              </w:rPr>
              <w:t>Panama</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Leasing Mexico S. de RL de C.V.</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4"/>
              </w:rPr>
              <w:t>Mexico</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Leasing Mexico Services S. de. R.L. de C.V.</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4"/>
              </w:rPr>
              <w:t>Mexico</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LLC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Marketing Corporation</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Marketing GP L.L.C.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Marketing L.P.</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Marketing LP L.L.C.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Mexico S.A. de C.V.</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4"/>
              </w:rPr>
              <w:t>Mexico</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Morocco SAS</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Morocco</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New Zealand Limited</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2"/>
              </w:rPr>
              <w:t>New Zealand</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NV</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Belgium</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Panama S de RL</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6"/>
              </w:rPr>
              <w:t>Panama</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Peru S.A.C.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Peru</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Procurement (Xiamen) Company Limited</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9"/>
              </w:rPr>
              <w:t>China</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Procurement (Xiamen) Company Limited - Shanghai Branch</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China</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Procurement (Xiamen) Company Limited - Shenzhen Branch</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9"/>
              </w:rPr>
              <w:t>China</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Procurement (Xiamen) Company Limited - Shenzhen Liaison Office</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China</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Product and Process Innovation Services Corp.</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Ireland</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Products (Poland) Sp.z.o.o.</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9"/>
              </w:rPr>
              <w:t>Poland</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 Corporation</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Products GP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 L.P.</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7"/>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Products LP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Protective Services Inc.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Puerto Rico Corp.</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1"/>
              </w:rPr>
              <w:t>Puerto Rico</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Receivables Corporation</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Receivables GP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Receivables L.P.</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Receivables LP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Revolver Company L.P.</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Revolver Funding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Revolver GP L.L.C.</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Revolving Transferor L.L.C.</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United States</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S.à r.l</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3"/>
              </w:rPr>
              <w:t>Luxembourg</w:t>
            </w:r>
          </w:p>
        </w:tc>
      </w:tr>
      <w:tr>
        <w:trPr>
          <w:trHeight w:val="236"/>
        </w:trPr>
        <w:tc>
          <w:tcPr>
            <w:tcW w:w="69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S.p.A.</w:t>
            </w:r>
          </w:p>
        </w:tc>
        <w:tc>
          <w:tcPr>
            <w:tcW w:w="420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rPr>
              <w:t>Italy</w:t>
            </w:r>
          </w:p>
        </w:tc>
      </w:tr>
      <w:tr>
        <w:trPr>
          <w:trHeight w:val="27"/>
        </w:trPr>
        <w:tc>
          <w:tcPr>
            <w:tcW w:w="6980" w:type="dxa"/>
            <w:vAlign w:val="bottom"/>
            <w:tcBorders>
              <w:bottom w:val="single" w:sz="8" w:color="ACACAC"/>
            </w:tcBorders>
          </w:tcPr>
          <w:p>
            <w:pPr>
              <w:spacing w:after="0"/>
              <w:rPr>
                <w:sz w:val="2"/>
                <w:szCs w:val="2"/>
                <w:color w:val="auto"/>
              </w:rPr>
            </w:pPr>
          </w:p>
        </w:tc>
        <w:tc>
          <w:tcPr>
            <w:tcW w:w="4200" w:type="dxa"/>
            <w:vAlign w:val="bottom"/>
            <w:tcBorders>
              <w:bottom w:val="single" w:sz="8" w:color="ACACAC"/>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s.r.o.</w:t>
            </w:r>
          </w:p>
        </w:tc>
        <w:tc>
          <w:tcPr>
            <w:tcW w:w="42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Slovakia</w:t>
            </w:r>
          </w:p>
        </w:tc>
      </w:tr>
      <w:tr>
        <w:trPr>
          <w:trHeight w:val="20"/>
        </w:trPr>
        <w:tc>
          <w:tcPr>
            <w:tcW w:w="6980" w:type="dxa"/>
            <w:vAlign w:val="bottom"/>
            <w:shd w:val="clear" w:color="auto" w:fill="ACACAC"/>
          </w:tcPr>
          <w:p>
            <w:pPr>
              <w:spacing w:after="0" w:line="20" w:lineRule="exact"/>
              <w:rPr>
                <w:sz w:val="1"/>
                <w:szCs w:val="1"/>
                <w:color w:val="auto"/>
              </w:rPr>
            </w:pPr>
          </w:p>
        </w:tc>
        <w:tc>
          <w:tcPr>
            <w:tcW w:w="420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733" w:right="359" w:bottom="1440" w:gutter="0" w:footer="0" w:header="0"/>
        </w:sectPr>
      </w:pPr>
    </w:p>
    <w:bookmarkStart w:id="222" w:name="page223"/>
    <w:bookmarkEnd w:id="2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Dell SA</w:t>
            </w: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SA</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Sales Malaysia Sdn. Bhd.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Malaysia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SAS</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Morocco</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Services (China) Company Limited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Services (China) Company Limited - Beijing Consulting Branch</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Services (China) Company Limited - Shanghai Branch</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Services GmbH</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Singapore Pte. Ltd.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Sp. z o.o.</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Systems (UK) Limited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Systems Applications Solutions, Inc.</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Systems TSI (Hungary) Likviditásmenedzsment Korlátolt Felelısségő Társaság</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1"/>
              </w:rPr>
              <w:t>Hungary</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Taiwan B.V.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Taiwan B.V., Taiwan Branch</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Taiwan</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Technologies Inc.</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Technology &amp; Solutions Israel Ltd</w:t>
            </w:r>
          </w:p>
        </w:tc>
        <w:tc>
          <w:tcPr>
            <w:tcW w:w="3780" w:type="dxa"/>
            <w:vAlign w:val="bottom"/>
            <w:tcBorders>
              <w:top w:val="single" w:sz="8" w:color="ACACAC"/>
            </w:tcBorders>
          </w:tcPr>
          <w:p>
            <w:pPr>
              <w:jc w:val="center"/>
              <w:ind w:left="10"/>
              <w:spacing w:after="0"/>
              <w:rPr>
                <w:sz w:val="20"/>
                <w:szCs w:val="20"/>
                <w:color w:val="auto"/>
              </w:rPr>
            </w:pPr>
            <w:r>
              <w:rPr>
                <w:rFonts w:ascii="Arial" w:cs="Arial" w:eastAsia="Arial" w:hAnsi="Arial"/>
                <w:sz w:val="18"/>
                <w:szCs w:val="18"/>
                <w:color w:val="auto"/>
                <w:w w:val="90"/>
              </w:rPr>
              <w:t>Israel</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Technology &amp; Solutions LLC</w:t>
            </w:r>
          </w:p>
        </w:tc>
        <w:tc>
          <w:tcPr>
            <w:tcW w:w="3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Qatar</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Technology &amp; Solutions Nigeria Limited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Nigeria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Technology Products And Services SA</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Greece</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Technology S.R.L.</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1"/>
              </w:rPr>
              <w:t>Romania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Teknoloji Limited Sirketi</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Teknoloji Limited Sirketi - Ankara Branch</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Turkey</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Trading (Kunshan) Company Limited</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USA Corporation</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USA GP L.L.C.</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USA L.P.</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USA LP LLC</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Vendor Finance Facility 2017 L.L.C.</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World Trade Corporation</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World Trade GP L.L.C.</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World Trade L.P.</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Dell World Trade LP L.L.C.</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Denali Finance Corp.</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Denali Intermediate Inc.</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DFS B.V.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7"/>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DIH VII C.V.</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DIH VIII C.V.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DIH X C.V.</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DIH XI C.V.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ECM Software Group Limited</w:t>
            </w:r>
          </w:p>
        </w:tc>
        <w:tc>
          <w:tcPr>
            <w:tcW w:w="3780" w:type="dxa"/>
            <w:vAlign w:val="bottom"/>
            <w:tcBorders>
              <w:top w:val="single" w:sz="8" w:color="ACACAC"/>
            </w:tcBorders>
          </w:tcPr>
          <w:p>
            <w:pPr>
              <w:jc w:val="center"/>
              <w:ind w:left="10"/>
              <w:spacing w:after="0"/>
              <w:rPr>
                <w:sz w:val="20"/>
                <w:szCs w:val="20"/>
                <w:color w:val="auto"/>
              </w:rPr>
            </w:pPr>
            <w:r>
              <w:rPr>
                <w:rFonts w:ascii="Arial" w:cs="Arial" w:eastAsia="Arial" w:hAnsi="Arial"/>
                <w:sz w:val="18"/>
                <w:szCs w:val="18"/>
                <w:color w:val="auto"/>
                <w:w w:val="91"/>
              </w:rPr>
              <w:t>Cyprus</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(Benelux) B.V.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Australia Pty Limited</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Australia</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Brasil Serviços De Ti LTDA.</w:t>
            </w:r>
          </w:p>
        </w:tc>
        <w:tc>
          <w:tcPr>
            <w:tcW w:w="3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Brazil</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Brasil Serviços De Ti LTDA. - Rio de Janeiro/RJ Branch</w:t>
            </w:r>
          </w:p>
        </w:tc>
        <w:tc>
          <w:tcPr>
            <w:tcW w:w="3780" w:type="dxa"/>
            <w:vAlign w:val="bottom"/>
            <w:tcBorders>
              <w:top w:val="single" w:sz="8" w:color="ACACAC"/>
            </w:tcBorders>
          </w:tcPr>
          <w:p>
            <w:pPr>
              <w:jc w:val="center"/>
              <w:ind w:left="10"/>
              <w:spacing w:after="0"/>
              <w:rPr>
                <w:sz w:val="20"/>
                <w:szCs w:val="20"/>
                <w:color w:val="auto"/>
              </w:rPr>
            </w:pPr>
            <w:r>
              <w:rPr>
                <w:rFonts w:ascii="Arial" w:cs="Arial" w:eastAsia="Arial" w:hAnsi="Arial"/>
                <w:sz w:val="18"/>
                <w:szCs w:val="18"/>
                <w:color w:val="auto"/>
                <w:w w:val="97"/>
              </w:rPr>
              <w:t>Brazil</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Brasil Serviços De Ti LTDA. - Sau Paulo/SP Branch</w:t>
            </w:r>
          </w:p>
        </w:tc>
        <w:tc>
          <w:tcPr>
            <w:tcW w:w="3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Brazil</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Chile S.A.</w:t>
            </w:r>
          </w:p>
        </w:tc>
        <w:tc>
          <w:tcPr>
            <w:tcW w:w="37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Chile</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Storage Systems (Sales &amp; Services) Ltd.</w:t>
            </w:r>
          </w:p>
        </w:tc>
        <w:tc>
          <w:tcPr>
            <w:tcW w:w="3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Israel</w:t>
            </w:r>
          </w:p>
        </w:tc>
      </w:tr>
      <w:tr>
        <w:trPr>
          <w:trHeight w:val="236"/>
        </w:trPr>
        <w:tc>
          <w:tcPr>
            <w:tcW w:w="74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w:t>
            </w:r>
          </w:p>
        </w:tc>
        <w:tc>
          <w:tcPr>
            <w:tcW w:w="3780" w:type="dxa"/>
            <w:vAlign w:val="bottom"/>
            <w:tcBorders>
              <w:top w:val="single" w:sz="8" w:color="ACACAC"/>
            </w:tcBorders>
          </w:tcPr>
          <w:p>
            <w:pPr>
              <w:jc w:val="center"/>
              <w:ind w:left="10"/>
              <w:spacing w:after="0"/>
              <w:rPr>
                <w:sz w:val="20"/>
                <w:szCs w:val="20"/>
                <w:color w:val="auto"/>
              </w:rPr>
            </w:pPr>
            <w:r>
              <w:rPr>
                <w:rFonts w:ascii="Arial" w:cs="Arial" w:eastAsia="Arial" w:hAnsi="Arial"/>
                <w:sz w:val="18"/>
                <w:szCs w:val="18"/>
                <w:color w:val="auto"/>
                <w:w w:val="88"/>
              </w:rPr>
              <w:t>Qatar</w:t>
            </w:r>
          </w:p>
        </w:tc>
      </w:tr>
      <w:tr>
        <w:trPr>
          <w:trHeight w:val="27"/>
        </w:trPr>
        <w:tc>
          <w:tcPr>
            <w:tcW w:w="7400" w:type="dxa"/>
            <w:vAlign w:val="bottom"/>
            <w:tcBorders>
              <w:bottom w:val="single" w:sz="8" w:color="ACACAC"/>
            </w:tcBorders>
          </w:tcPr>
          <w:p>
            <w:pPr>
              <w:spacing w:after="0"/>
              <w:rPr>
                <w:sz w:val="2"/>
                <w:szCs w:val="2"/>
                <w:color w:val="auto"/>
              </w:rPr>
            </w:pPr>
          </w:p>
        </w:tc>
        <w:tc>
          <w:tcPr>
            <w:tcW w:w="3780" w:type="dxa"/>
            <w:vAlign w:val="bottom"/>
            <w:tcBorders>
              <w:bottom w:val="single" w:sz="8" w:color="ACACAC"/>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(Benelux) B.V.</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0"/>
        </w:trPr>
        <w:tc>
          <w:tcPr>
            <w:tcW w:w="7400" w:type="dxa"/>
            <w:vAlign w:val="bottom"/>
            <w:shd w:val="clear" w:color="auto" w:fill="ACACAC"/>
          </w:tcPr>
          <w:p>
            <w:pPr>
              <w:spacing w:after="0" w:line="20" w:lineRule="exact"/>
              <w:rPr>
                <w:sz w:val="1"/>
                <w:szCs w:val="1"/>
                <w:color w:val="auto"/>
              </w:rPr>
            </w:pPr>
          </w:p>
        </w:tc>
        <w:tc>
          <w:tcPr>
            <w:tcW w:w="378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733" w:right="359" w:bottom="1440" w:gutter="0" w:footer="0" w:header="0"/>
        </w:sectPr>
      </w:pPr>
    </w:p>
    <w:bookmarkStart w:id="223" w:name="page224"/>
    <w:bookmarkEnd w:id="2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EMC Computer Systems (China) Co., Ltd.</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Changsha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Chengdu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Chongqing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Fuzhou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Guangzhou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Hangzhou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Hefei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Jinan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Kunming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Nanjing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Nanning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Qingdao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Shanghai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Shenyang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Shenzhen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Shenzhen Futian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Urumqi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Wuhan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Xian Branch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(China) Co., Ltd. - Zhengzhou Branch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(FE) Limited</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Hong Kong</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(FE) Limited, Macau Representative Office</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Macao</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(FE) Limited, Taiwan Branch</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Taiwan</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(Malaysia) Sdn. Bhd.</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Malaysia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(S A) (Pty) Ltd</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South Africa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(South Asia) Pte. Ltd.</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(South Asia) Pte. Ltd. - Bangladesh Liaison Office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Bangladesh</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(South Asia) Pte. Ltd. (Myanmar Branch)</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Myanmar</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(U.K.) Limited</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AG</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Argentina S.A.</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Argentina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6"/>
              </w:rPr>
              <w:t>Austria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(“Rep Office in Egypt”)</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Egypt</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 Abu Dhabi</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 Representative Office Skopje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Macedonia</w:t>
            </w:r>
          </w:p>
        </w:tc>
      </w:tr>
      <w:tr>
        <w:trPr>
          <w:trHeight w:val="237"/>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("Ghana External Company")</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5"/>
              </w:rPr>
              <w:t>Ghana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("Rep Office in Bahrain")</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Bahrain</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("Rep Office in Jordan")</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7"/>
              </w:rPr>
              <w:t>Jordan</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("Saudi Arabia" branch)</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Saudi Arabia</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(“Branch in Kenya”)</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Kenya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atstovybė ("Representative Office in Lithuania")</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Lithuania</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Eesti filiaal</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Estonia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organizacna zlozka</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Slovakia</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Austria GmbH, podruznica Ljubljana</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Slovenia</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Bilgisayar Sistemleri Ticaret A.S.</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Brasil Ltda.</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Brasil Ltda. – Barueri Branch (Alameda Rio Negro 161)</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6"/>
        </w:trPr>
        <w:tc>
          <w:tcPr>
            <w:tcW w:w="750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Brasil Ltda. – Barueri Branch (Tamboré 1180)</w:t>
            </w:r>
          </w:p>
        </w:tc>
        <w:tc>
          <w:tcPr>
            <w:tcW w:w="368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500" w:type="dxa"/>
            <w:vAlign w:val="bottom"/>
            <w:tcBorders>
              <w:bottom w:val="single" w:sz="8" w:color="ACACAC"/>
            </w:tcBorders>
          </w:tcPr>
          <w:p>
            <w:pPr>
              <w:spacing w:after="0"/>
              <w:rPr>
                <w:sz w:val="2"/>
                <w:szCs w:val="2"/>
                <w:color w:val="auto"/>
              </w:rPr>
            </w:pPr>
          </w:p>
        </w:tc>
        <w:tc>
          <w:tcPr>
            <w:tcW w:w="3680" w:type="dxa"/>
            <w:vAlign w:val="bottom"/>
            <w:tcBorders>
              <w:bottom w:val="single" w:sz="8" w:color="ACACAC"/>
            </w:tcBorders>
          </w:tcPr>
          <w:p>
            <w:pPr>
              <w:spacing w:after="0"/>
              <w:rPr>
                <w:sz w:val="2"/>
                <w:szCs w:val="2"/>
                <w:color w:val="auto"/>
              </w:rPr>
            </w:pPr>
          </w:p>
        </w:tc>
      </w:tr>
    </w:tbl>
    <w:p>
      <w:pPr>
        <w:sectPr>
          <w:pgSz w:w="11900" w:h="16838" w:orient="portrait"/>
          <w:cols w:equalWidth="0" w:num="1">
            <w:col w:w="11180"/>
          </w:cols>
          <w:pgMar w:left="360" w:top="733" w:right="35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480" w:type="dxa"/>
            <w:vAlign w:val="bottom"/>
            <w:tcBorders>
              <w:top w:val="single" w:sz="8" w:color="ACACAC"/>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Brasil Ltda. – Brasilia Branch</w:t>
            </w:r>
          </w:p>
        </w:tc>
        <w:tc>
          <w:tcPr>
            <w:tcW w:w="3700" w:type="dxa"/>
            <w:vAlign w:val="bottom"/>
            <w:tcBorders>
              <w:top w:val="single" w:sz="8" w:color="ACACAC"/>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Brasil Ltda. – Eldorado Branch</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Brasil Ltda. – Rio de Janeiro Branch (Américas 3443)</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Brasil Ltda. – Rio de Janeiro Branch (Rua Paulo Enídio Barbosa )</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EMC Computer Systems Brasil Ltda. – Sao Paulo Branch (Embaixador Macedo Soares 10735)</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Brasil Ltda. – São Paulo Branch (Rua Verbo Divino 1488)</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Danmark A/S</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Denmark</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France S.A.S.</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France</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Italia S.p.A.</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Italy</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Mexico, S.A. de CV</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Mexico</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Philippines, Inc.</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Philippines</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Poland Sp. z o.o.</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Poland</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Spain, S.A. - Sucursal Portugal</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Portugal</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 Systems Spain, S.A.U.</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1"/>
              </w:rPr>
              <w:t>Spain</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Venezuela, S.A.</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Venezuela, Bolivarian Republic of</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Computer-Systems AS</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Computer-Systems OY</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Finland</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Consulting (UK) Limited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Corporation</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Corporation of Canada</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5"/>
              </w:rPr>
              <w:t>Canada</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Czech Republic s.r.o.</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del Peru, S.A.</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Peru</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Egypt Service Center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Egypt</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Equity Assets LLC</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Europe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Global Holdings Company</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United States</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Global Holdings Company</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Group 2</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Bermuda</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Hungary Trading and Servicing Ltd.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 Egypt Limited LTD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1"/>
              </w:rPr>
              <w:t>Egypt</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(Thailand)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Thailand</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CIS</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Colombia Ltda.</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Colombia</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International</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Kazakhstan LLP</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Kazakhstan</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Management Limited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Management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r>
      <w:tr>
        <w:trPr>
          <w:trHeight w:val="237"/>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Management Limited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Hong Kong</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Management Limited Singapore Branch</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Singapore</w:t>
            </w:r>
          </w:p>
        </w:tc>
      </w:tr>
      <w:tr>
        <w:trPr>
          <w:trHeight w:val="236"/>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Management Limited, German Branch</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Morocco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Morocco</w:t>
            </w:r>
          </w:p>
        </w:tc>
      </w:tr>
      <w:tr>
        <w:trPr>
          <w:trHeight w:val="236"/>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N.V.</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Nigeria Limited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Nigeria</w:t>
            </w:r>
          </w:p>
        </w:tc>
      </w:tr>
      <w:tr>
        <w:trPr>
          <w:trHeight w:val="236"/>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Systems Pakistan (Private) Limited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Pakistan</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6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Sweden AB</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Sweden</w:t>
            </w:r>
          </w:p>
        </w:tc>
      </w:tr>
      <w:tr>
        <w:trPr>
          <w:trHeight w:val="236"/>
        </w:trPr>
        <w:tc>
          <w:tcPr>
            <w:tcW w:w="74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Information Technology Research &amp; Development (Beijing) Co., Ltd.</w:t>
            </w:r>
          </w:p>
        </w:tc>
        <w:tc>
          <w:tcPr>
            <w:tcW w:w="37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480" w:type="dxa"/>
            <w:vAlign w:val="bottom"/>
            <w:tcBorders>
              <w:bottom w:val="single" w:sz="8" w:color="ACACAC"/>
            </w:tcBorders>
          </w:tcPr>
          <w:p>
            <w:pPr>
              <w:spacing w:after="0"/>
              <w:rPr>
                <w:sz w:val="2"/>
                <w:szCs w:val="2"/>
                <w:color w:val="auto"/>
              </w:rPr>
            </w:pPr>
          </w:p>
        </w:tc>
        <w:tc>
          <w:tcPr>
            <w:tcW w:w="3700" w:type="dxa"/>
            <w:vAlign w:val="bottom"/>
            <w:tcBorders>
              <w:bottom w:val="single" w:sz="8" w:color="ACACAC"/>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Technology Research &amp; Development (Chengdu) Co., Ltd.</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0"/>
        </w:trPr>
        <w:tc>
          <w:tcPr>
            <w:tcW w:w="7480" w:type="dxa"/>
            <w:vAlign w:val="bottom"/>
            <w:shd w:val="clear" w:color="auto" w:fill="ACACAC"/>
          </w:tcPr>
          <w:p>
            <w:pPr>
              <w:spacing w:after="0" w:line="20" w:lineRule="exact"/>
              <w:rPr>
                <w:sz w:val="1"/>
                <w:szCs w:val="1"/>
                <w:color w:val="auto"/>
              </w:rPr>
            </w:pPr>
          </w:p>
        </w:tc>
        <w:tc>
          <w:tcPr>
            <w:tcW w:w="370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687" w:right="359" w:bottom="1440"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EMC Information Technology Research &amp; Development (Shanghai) Co., Ltd.</w:t>
            </w:r>
          </w:p>
        </w:tc>
        <w:tc>
          <w:tcPr>
            <w:tcW w:w="4100" w:type="dxa"/>
            <w:vAlign w:val="bottom"/>
          </w:tcPr>
          <w:p>
            <w:pPr>
              <w:jc w:val="center"/>
              <w:ind w:left="310"/>
              <w:spacing w:after="0"/>
              <w:rPr>
                <w:sz w:val="20"/>
                <w:szCs w:val="20"/>
                <w:color w:val="auto"/>
              </w:rPr>
            </w:pPr>
            <w:r>
              <w:rPr>
                <w:rFonts w:ascii="Arial" w:cs="Arial" w:eastAsia="Arial" w:hAnsi="Arial"/>
                <w:sz w:val="18"/>
                <w:szCs w:val="18"/>
                <w:color w:val="auto"/>
                <w:w w:val="89"/>
              </w:rPr>
              <w:t>China</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International Company</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Ireland</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International U.S. Holdings L.L.C.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Investment Corporation</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IP Holding Company LLC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Ireland Holdings</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Ireland</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Israel Advanced Information Technologies Ltd.</w:t>
            </w:r>
          </w:p>
        </w:tc>
        <w:tc>
          <w:tcPr>
            <w:tcW w:w="4100" w:type="dxa"/>
            <w:vAlign w:val="bottom"/>
            <w:tcBorders>
              <w:top w:val="single" w:sz="8" w:color="ACACAC"/>
            </w:tcBorders>
          </w:tcPr>
          <w:p>
            <w:pPr>
              <w:jc w:val="center"/>
              <w:ind w:left="330"/>
              <w:spacing w:after="0"/>
              <w:rPr>
                <w:sz w:val="20"/>
                <w:szCs w:val="20"/>
                <w:color w:val="auto"/>
              </w:rPr>
            </w:pPr>
            <w:r>
              <w:rPr>
                <w:rFonts w:ascii="Arial" w:cs="Arial" w:eastAsia="Arial" w:hAnsi="Arial"/>
                <w:sz w:val="18"/>
                <w:szCs w:val="18"/>
                <w:color w:val="auto"/>
                <w:w w:val="90"/>
              </w:rPr>
              <w:t>Israel</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Israel Development Center Ltd.</w:t>
            </w:r>
          </w:p>
        </w:tc>
        <w:tc>
          <w:tcPr>
            <w:tcW w:w="410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0"/>
              </w:rPr>
              <w:t>Israel</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IT Solutions India Private Limited</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7"/>
              </w:rPr>
              <w:t>India</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Japan K.K.</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5"/>
              </w:rPr>
              <w:t>Japan</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Luxembourg S.à.r.l.</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3"/>
              </w:rPr>
              <w:t>Luxembourg</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Mexico Servicios, S.A. de C.V.</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Middle East</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New Zealand Corporation Limited</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2"/>
              </w:rPr>
              <w:t>New Zealand</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Puerto Rico, Inc.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Research and Development Centre</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Software and Services India Private Limited</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7"/>
              </w:rPr>
              <w:t>India</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South Street Investments LLC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EMC St. Petersburg Development Centre</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Technology India Private Limited</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India</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Evolutionary Corporation</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Flanders Road Holdings LLC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Force10 Networks Global, Inc.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Force10 Networks International, Inc.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Force10 Networks Singapore Pte. Ltd.</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Singapore</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Force10 Networks Singapore Pte. Ltd., Hong Kong Branch</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Hong Kong</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Force10 Networks, Inc.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GoPivotal (UK) Limited</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United Kingdom</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GoPivotal Israel Ltd.</w:t>
            </w:r>
          </w:p>
        </w:tc>
        <w:tc>
          <w:tcPr>
            <w:tcW w:w="4100" w:type="dxa"/>
            <w:vAlign w:val="bottom"/>
            <w:tcBorders>
              <w:top w:val="single" w:sz="8" w:color="ACACAC"/>
            </w:tcBorders>
          </w:tcPr>
          <w:p>
            <w:pPr>
              <w:jc w:val="center"/>
              <w:ind w:left="330"/>
              <w:spacing w:after="0"/>
              <w:rPr>
                <w:sz w:val="20"/>
                <w:szCs w:val="20"/>
                <w:color w:val="auto"/>
              </w:rPr>
            </w:pPr>
            <w:r>
              <w:rPr>
                <w:rFonts w:ascii="Arial" w:cs="Arial" w:eastAsia="Arial" w:hAnsi="Arial"/>
                <w:sz w:val="18"/>
                <w:szCs w:val="18"/>
                <w:color w:val="auto"/>
                <w:w w:val="90"/>
              </w:rPr>
              <w:t>Israel</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GoPivotal Italia S.r.l.</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rPr>
              <w:t>Italy</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GoPivotal Netherlands B.V.</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88"/>
              </w:rPr>
              <w:t>Netherlands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GoPivotal Singapore Pte. Limited</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Singapore</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GoPivotal Software India Private Limited</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7"/>
              </w:rPr>
              <w:t>India</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GPVTL Canada Inc.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5"/>
              </w:rPr>
              <w:t>Canada</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Hankook EMC Computer Systems Chusik Hoesa</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3"/>
              </w:rPr>
              <w:t>Korea, Republic of</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Hankook EMC Computer Systems Chusik Hoesa</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Hong Kong</w:t>
            </w:r>
          </w:p>
        </w:tc>
      </w:tr>
      <w:tr>
        <w:trPr>
          <w:trHeight w:val="237"/>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Heptio LLC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Heptio UK Limited</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United Kingdom</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Immidio B.V.</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88"/>
              </w:rPr>
              <w:t>Netherlands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Information Systems EMC Greece S.A.</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4"/>
              </w:rPr>
              <w:t>Greece</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Iomega Holdings Corporation</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Iomega LLC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Isilon Systems International LLC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Isilon Systems LLC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iWave Software LLC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Liaison Office (Bureau d'Etudes) of EMC Computer Systems Austria GmbH</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Morocco</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License Technologies Group, Inc.</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Likewise Software LLC</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United States</w:t>
            </w:r>
          </w:p>
        </w:tc>
      </w:tr>
      <w:tr>
        <w:trPr>
          <w:trHeight w:val="236"/>
        </w:trPr>
        <w:tc>
          <w:tcPr>
            <w:tcW w:w="70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LLC “EMC Information Systems Ukraine”</w:t>
            </w:r>
          </w:p>
        </w:tc>
        <w:tc>
          <w:tcPr>
            <w:tcW w:w="410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3"/>
              </w:rPr>
              <w:t>Ukraine</w:t>
            </w:r>
          </w:p>
        </w:tc>
      </w:tr>
      <w:tr>
        <w:trPr>
          <w:trHeight w:val="27"/>
        </w:trPr>
        <w:tc>
          <w:tcPr>
            <w:tcW w:w="7080" w:type="dxa"/>
            <w:vAlign w:val="bottom"/>
            <w:tcBorders>
              <w:bottom w:val="single" w:sz="8" w:color="ACACAC"/>
            </w:tcBorders>
          </w:tcPr>
          <w:p>
            <w:pPr>
              <w:spacing w:after="0"/>
              <w:rPr>
                <w:sz w:val="2"/>
                <w:szCs w:val="2"/>
                <w:color w:val="auto"/>
              </w:rPr>
            </w:pPr>
          </w:p>
        </w:tc>
        <w:tc>
          <w:tcPr>
            <w:tcW w:w="4100" w:type="dxa"/>
            <w:vAlign w:val="bottom"/>
            <w:tcBorders>
              <w:bottom w:val="single" w:sz="8" w:color="ACACAC"/>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 Dell Ukraine</w:t>
            </w:r>
          </w:p>
        </w:tc>
        <w:tc>
          <w:tcPr>
            <w:tcW w:w="41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3"/>
              </w:rPr>
              <w:t>Ukraine</w:t>
            </w:r>
          </w:p>
        </w:tc>
      </w:tr>
      <w:tr>
        <w:trPr>
          <w:trHeight w:val="20"/>
        </w:trPr>
        <w:tc>
          <w:tcPr>
            <w:tcW w:w="7080" w:type="dxa"/>
            <w:vAlign w:val="bottom"/>
            <w:shd w:val="clear" w:color="auto" w:fill="ACACAC"/>
          </w:tcPr>
          <w:p>
            <w:pPr>
              <w:spacing w:after="0" w:line="20" w:lineRule="exact"/>
              <w:rPr>
                <w:sz w:val="1"/>
                <w:szCs w:val="1"/>
                <w:color w:val="auto"/>
              </w:rPr>
            </w:pPr>
          </w:p>
        </w:tc>
        <w:tc>
          <w:tcPr>
            <w:tcW w:w="4100" w:type="dxa"/>
            <w:vAlign w:val="bottom"/>
            <w:shd w:val="clear" w:color="auto" w:fill="ACACAC"/>
          </w:tcPr>
          <w:p>
            <w:pPr>
              <w:spacing w:after="0" w:line="20" w:lineRule="exact"/>
              <w:rPr>
                <w:sz w:val="1"/>
                <w:szCs w:val="1"/>
                <w:color w:val="auto"/>
              </w:rPr>
            </w:pPr>
          </w:p>
        </w:tc>
      </w:tr>
    </w:tbl>
    <w:p>
      <w:pPr>
        <w:sectPr>
          <w:pgSz w:w="11900" w:h="16838" w:orient="portrait"/>
          <w:cols w:equalWidth="0" w:num="1">
            <w:col w:w="11180"/>
          </w:cols>
          <w:pgMar w:left="360" w:top="733" w:right="35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Maginatics LLC</w:t>
            </w:r>
          </w:p>
        </w:tc>
        <w:tc>
          <w:tcPr>
            <w:tcW w:w="3460" w:type="dxa"/>
            <w:vAlign w:val="bottom"/>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More I.T. Resources Ltd.</w:t>
            </w:r>
          </w:p>
        </w:tc>
        <w:tc>
          <w:tcPr>
            <w:tcW w:w="34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Israel</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NBT Investment Partners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NetWitness International LLC</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Newfound Investment Partners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Nicira, Inc.</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OptiGrowth Capital S.a.r.l</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3"/>
              </w:rPr>
              <w:t>Luxembourg</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Oy Dell AB</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1"/>
              </w:rPr>
              <w:t>Finland</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Perot Systems India Foundation</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7"/>
              </w:rPr>
              <w:t>India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Brasil Consultoria em Technologia da Informacao Ltda.</w:t>
            </w:r>
          </w:p>
        </w:tc>
        <w:tc>
          <w:tcPr>
            <w:tcW w:w="34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7"/>
              </w:rPr>
              <w:t>Brazil</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Group 1 Limited</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Bermuda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Group 2</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Bermuda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Japan K.K.</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85"/>
              </w:rPr>
              <w:t>Japan</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Labs Sydney Pty Ltd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4"/>
              </w:rPr>
              <w:t>Australia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Software Australia Pty Limited</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4"/>
              </w:rPr>
              <w:t>Australia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Software Deutschland GmbH</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Germany</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Software France S.A.S.</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89"/>
              </w:rPr>
              <w:t>France</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Software International</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Ireland</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Software International Holdings</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Ireland</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Software Korea Ltd.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3"/>
              </w:rPr>
              <w:t>Korea, Republic of</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Software, Inc.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Pivotal Technology (Beijing) Co., Ltd.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China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Pivotal Technology (Beijing) Co., Ltd. - Shanghai Branch</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89"/>
              </w:rPr>
              <w:t>China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 Dell Indonesia</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Indonesia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PT EMC Information Systems</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89"/>
              </w:rPr>
              <w:t>Indonesia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 VMware Software Indonesia</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Indonesia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QTZ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Representative Office of Dell Global B.V. in Hanoi</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3"/>
              </w:rPr>
              <w:t>Vietnam</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Representative Office of Dell Global B.V. in Ho Chi Minh City</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3"/>
              </w:rPr>
              <w:t>Vietnam</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Representative Office of EMC Computer Systems (South Asia) Pte. Ltd. in Hanoi</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3"/>
              </w:rPr>
              <w:t>Vietnam</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Representative Office of EMC Computer Systems (South Asia) Pte. Ltd. in Ho Chi Minh City</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3"/>
              </w:rPr>
              <w:t>Vietnam</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Representative Office of EMC Computer Systems Austria GmbH in Belgrade</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Serbia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RSA Federal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RSA Security B.V. India Liaison Office</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7"/>
              </w:rPr>
              <w:t>India</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RSA Security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ScaleIO LLC</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37"/>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ScaleIO, Ltd.</w:t>
            </w:r>
          </w:p>
        </w:tc>
        <w:tc>
          <w:tcPr>
            <w:tcW w:w="3460" w:type="dxa"/>
            <w:vAlign w:val="bottom"/>
            <w:tcBorders>
              <w:top w:val="single" w:sz="8" w:color="ACACAC"/>
            </w:tcBorders>
          </w:tcPr>
          <w:p>
            <w:pPr>
              <w:jc w:val="center"/>
              <w:ind w:right="130"/>
              <w:spacing w:after="0"/>
              <w:rPr>
                <w:sz w:val="20"/>
                <w:szCs w:val="20"/>
                <w:color w:val="auto"/>
              </w:rPr>
            </w:pPr>
            <w:r>
              <w:rPr>
                <w:rFonts w:ascii="Arial" w:cs="Arial" w:eastAsia="Arial" w:hAnsi="Arial"/>
                <w:sz w:val="18"/>
                <w:szCs w:val="18"/>
                <w:color w:val="auto"/>
                <w:w w:val="90"/>
              </w:rPr>
              <w:t>Israel</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Australia Pty. Ltd.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4"/>
              </w:rPr>
              <w:t>Australia</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SecureWorks Corp.</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Europe Limited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5"/>
              </w:rPr>
              <w:t>United Kingdom</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SecureWorks Europe S.R.L.</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1"/>
              </w:rPr>
              <w:t>Romania</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India Private Limited</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7"/>
              </w:rPr>
              <w:t>India</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SecureWorks Japan K.K.</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85"/>
              </w:rPr>
              <w:t>Japan</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SAS</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France</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SecureWorks, Inc.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Sichuan An Cheng Security Technology Company</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China</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Taiwan VMware Information Technology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2"/>
              </w:rPr>
              <w:t>Taiwan</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r>
        <w:trPr>
          <w:trHeight w:val="26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Company, LLC</w:t>
            </w:r>
          </w:p>
        </w:tc>
        <w:tc>
          <w:tcPr>
            <w:tcW w:w="34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36"/>
        </w:trPr>
        <w:tc>
          <w:tcPr>
            <w:tcW w:w="772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VCE IP Holding Company LLC</w:t>
            </w:r>
          </w:p>
        </w:tc>
        <w:tc>
          <w:tcPr>
            <w:tcW w:w="3460" w:type="dxa"/>
            <w:vAlign w:val="bottom"/>
            <w:tcBorders>
              <w:top w:val="single" w:sz="8" w:color="ACACAC"/>
            </w:tcBorders>
          </w:tcPr>
          <w:p>
            <w:pPr>
              <w:jc w:val="center"/>
              <w:ind w:right="150"/>
              <w:spacing w:after="0"/>
              <w:rPr>
                <w:sz w:val="20"/>
                <w:szCs w:val="20"/>
                <w:color w:val="auto"/>
              </w:rPr>
            </w:pPr>
            <w:r>
              <w:rPr>
                <w:rFonts w:ascii="Arial" w:cs="Arial" w:eastAsia="Arial" w:hAnsi="Arial"/>
                <w:sz w:val="18"/>
                <w:szCs w:val="18"/>
                <w:color w:val="auto"/>
                <w:w w:val="90"/>
              </w:rPr>
              <w:t>United States</w:t>
            </w:r>
          </w:p>
        </w:tc>
      </w:tr>
      <w:tr>
        <w:trPr>
          <w:trHeight w:val="27"/>
        </w:trPr>
        <w:tc>
          <w:tcPr>
            <w:tcW w:w="7720" w:type="dxa"/>
            <w:vAlign w:val="bottom"/>
            <w:tcBorders>
              <w:bottom w:val="single" w:sz="8" w:color="ACACAC"/>
            </w:tcBorders>
          </w:tcPr>
          <w:p>
            <w:pPr>
              <w:spacing w:after="0"/>
              <w:rPr>
                <w:sz w:val="2"/>
                <w:szCs w:val="2"/>
                <w:color w:val="auto"/>
              </w:rPr>
            </w:pPr>
          </w:p>
        </w:tc>
        <w:tc>
          <w:tcPr>
            <w:tcW w:w="3460" w:type="dxa"/>
            <w:vAlign w:val="bottom"/>
            <w:tcBorders>
              <w:bottom w:val="single" w:sz="8" w:color="ACACAC"/>
            </w:tcBorders>
          </w:tcPr>
          <w:p>
            <w:pPr>
              <w:spacing w:after="0"/>
              <w:rPr>
                <w:sz w:val="2"/>
                <w:szCs w:val="2"/>
                <w:color w:val="auto"/>
              </w:rPr>
            </w:pPr>
          </w:p>
        </w:tc>
      </w:tr>
    </w:tbl>
    <w:p>
      <w:pPr>
        <w:sectPr>
          <w:pgSz w:w="11900" w:h="16838" w:orient="portrait"/>
          <w:cols w:equalWidth="0" w:num="1">
            <w:col w:w="11180"/>
          </w:cols>
          <w:pgMar w:left="360" w:top="733" w:right="359" w:bottom="144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880" w:type="dxa"/>
            <w:vAlign w:val="bottom"/>
            <w:tcBorders>
              <w:top w:val="single" w:sz="8" w:color="ACACAC"/>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Solutions B.V.</w:t>
            </w:r>
          </w:p>
        </w:tc>
        <w:tc>
          <w:tcPr>
            <w:tcW w:w="4300" w:type="dxa"/>
            <w:vAlign w:val="bottom"/>
            <w:tcBorders>
              <w:top w:val="single" w:sz="8" w:color="ACACAC"/>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Netherlands</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VCE Solutions Limited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5"/>
              </w:rPr>
              <w:t>United Kingdom</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Solutions Pte. Ltd.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Singapore</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VCE Solutions S.A.S.</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9"/>
              </w:rPr>
              <w:t>France</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Technologies Pty Ltd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4"/>
              </w:rPr>
              <w:t>Australia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VCE Technology Solutions K.K.</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5"/>
              </w:rPr>
              <w:t>Japan</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Technology Solutions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VCE Technology Solutions Limited - Dubai Branch Office</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VeloCloud Networks Private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India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Velocloud Networks, LLC</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Bulgaria EOOD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Bulgaria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Canada Holdings, Inc.</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5"/>
              </w:rPr>
              <w:t>Canada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Cloud Services Australia Pty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4"/>
              </w:rPr>
              <w:t>Australia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Cloud Services Ireland Unlimited Company</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Cloud Services Italia S.r.l.</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rPr>
              <w:t>Italy</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Cloud Services Japan K.K.</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5"/>
              </w:rPr>
              <w:t>Japan</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Germany GmbH</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Germany</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Group Holdings, Inc.</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IP Holding Company LLC</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Ireland Limited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6"/>
              </w:rPr>
              <w:t>Jersey</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LT UAB</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5"/>
              </w:rPr>
              <w:t>Lithuania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Security Solutions LLC</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Security Solutions Private Limited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7"/>
              </w:rPr>
              <w:t>India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Switzerland Sàrl</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2"/>
              </w:rPr>
              <w:t>Switzerland</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Virtustream UK Limited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5"/>
              </w:rPr>
              <w:t>United Kingdom</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Inc.</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 Holdco LLC</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(Thailand) Co., Ltd.</w:t>
            </w:r>
          </w:p>
        </w:tc>
        <w:tc>
          <w:tcPr>
            <w:tcW w:w="430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2"/>
              </w:rPr>
              <w:t>Thailand</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Australia Pty Ltd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4"/>
              </w:rPr>
              <w:t>Australia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Belgium</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Belgium</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Bermuda Unlimited Company</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Bulgaria EOOD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Bulgaria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Canada Inc.</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5"/>
              </w:rPr>
              <w:t>Canada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Costa Rica Ltda.</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Costa Rica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Denmark ApS</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Denmark</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Eastern Europe</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2"/>
              </w:rPr>
              <w:t>Armenia</w:t>
            </w:r>
          </w:p>
        </w:tc>
      </w:tr>
      <w:tr>
        <w:trPr>
          <w:trHeight w:val="237"/>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France SAS</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9"/>
              </w:rPr>
              <w:t>France</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Global, Inc.</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United States</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Global, Inc. Zweigniederlassung Deutschland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9"/>
              </w:rPr>
              <w:t>Germany</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Hong Kong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Hong Kong</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Information Technology (China) Co. Ltd.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9"/>
              </w:rPr>
              <w:t>China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Information Technology (China) Co. Ltd. - Beijing Branch</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China</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Information Technology (China) Co. Ltd. - Guangzhou Branch</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89"/>
              </w:rPr>
              <w:t>China</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Information Technology (China) Co. Ltd. - Shanghai Branch</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China</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International Limited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International Marketing Limited</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Ireland</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Israel Ltd.</w:t>
            </w:r>
          </w:p>
        </w:tc>
        <w:tc>
          <w:tcPr>
            <w:tcW w:w="4300" w:type="dxa"/>
            <w:vAlign w:val="bottom"/>
            <w:tcBorders>
              <w:top w:val="single" w:sz="8" w:color="ACACAC"/>
            </w:tcBorders>
          </w:tcPr>
          <w:p>
            <w:pPr>
              <w:jc w:val="center"/>
              <w:ind w:left="530"/>
              <w:spacing w:after="0"/>
              <w:rPr>
                <w:sz w:val="20"/>
                <w:szCs w:val="20"/>
                <w:color w:val="auto"/>
              </w:rPr>
            </w:pPr>
            <w:r>
              <w:rPr>
                <w:rFonts w:ascii="Arial" w:cs="Arial" w:eastAsia="Arial" w:hAnsi="Arial"/>
                <w:sz w:val="18"/>
                <w:szCs w:val="18"/>
                <w:color w:val="auto"/>
                <w:w w:val="90"/>
              </w:rPr>
              <w:t>Israel</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Italy S.r.l.</w:t>
            </w:r>
          </w:p>
        </w:tc>
        <w:tc>
          <w:tcPr>
            <w:tcW w:w="4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rPr>
              <w:t>Italy</w:t>
            </w:r>
          </w:p>
        </w:tc>
      </w:tr>
      <w:tr>
        <w:trPr>
          <w:trHeight w:val="236"/>
        </w:trPr>
        <w:tc>
          <w:tcPr>
            <w:tcW w:w="688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Korea Co., Ltd.</w:t>
            </w:r>
          </w:p>
        </w:tc>
        <w:tc>
          <w:tcPr>
            <w:tcW w:w="4300" w:type="dxa"/>
            <w:vAlign w:val="bottom"/>
            <w:tcBorders>
              <w:top w:val="single" w:sz="8" w:color="ACACAC"/>
            </w:tcBorders>
          </w:tcPr>
          <w:p>
            <w:pPr>
              <w:jc w:val="center"/>
              <w:ind w:left="510"/>
              <w:spacing w:after="0"/>
              <w:rPr>
                <w:sz w:val="20"/>
                <w:szCs w:val="20"/>
                <w:color w:val="auto"/>
              </w:rPr>
            </w:pPr>
            <w:r>
              <w:rPr>
                <w:rFonts w:ascii="Arial" w:cs="Arial" w:eastAsia="Arial" w:hAnsi="Arial"/>
                <w:sz w:val="18"/>
                <w:szCs w:val="18"/>
                <w:color w:val="auto"/>
                <w:w w:val="93"/>
              </w:rPr>
              <w:t>Korea, Republic of</w:t>
            </w:r>
          </w:p>
        </w:tc>
      </w:tr>
      <w:tr>
        <w:trPr>
          <w:trHeight w:val="27"/>
        </w:trPr>
        <w:tc>
          <w:tcPr>
            <w:tcW w:w="6880" w:type="dxa"/>
            <w:vAlign w:val="bottom"/>
            <w:tcBorders>
              <w:bottom w:val="single" w:sz="8" w:color="ACACAC"/>
            </w:tcBorders>
          </w:tcPr>
          <w:p>
            <w:pPr>
              <w:spacing w:after="0"/>
              <w:rPr>
                <w:sz w:val="2"/>
                <w:szCs w:val="2"/>
                <w:color w:val="auto"/>
              </w:rPr>
            </w:pPr>
          </w:p>
        </w:tc>
        <w:tc>
          <w:tcPr>
            <w:tcW w:w="4300" w:type="dxa"/>
            <w:vAlign w:val="bottom"/>
            <w:tcBorders>
              <w:bottom w:val="single" w:sz="8" w:color="ACACAC"/>
            </w:tcBorders>
          </w:tcPr>
          <w:p>
            <w:pPr>
              <w:spacing w:after="0"/>
              <w:rPr>
                <w:sz w:val="2"/>
                <w:szCs w:val="2"/>
                <w:color w:val="auto"/>
              </w:rPr>
            </w:pPr>
          </w:p>
        </w:tc>
      </w:tr>
    </w:tbl>
    <w:p>
      <w:pPr>
        <w:sectPr>
          <w:pgSz w:w="11900" w:h="16838" w:orient="portrait"/>
          <w:cols w:equalWidth="0" w:num="1">
            <w:col w:w="11180"/>
          </w:cols>
          <w:pgMar w:left="360" w:top="687" w:right="35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740" w:type="dxa"/>
            <w:vAlign w:val="bottom"/>
            <w:tcBorders>
              <w:top w:val="single" w:sz="8" w:color="ACACAC"/>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Malaysia SDN. BHD.</w:t>
            </w:r>
          </w:p>
        </w:tc>
        <w:tc>
          <w:tcPr>
            <w:tcW w:w="4440" w:type="dxa"/>
            <w:vAlign w:val="bottom"/>
            <w:tcBorders>
              <w:top w:val="single" w:sz="8" w:color="ACACAC"/>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2"/>
              </w:rPr>
              <w:t>Malaysia</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Marketing Austria GmbH</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6"/>
              </w:rPr>
              <w:t>Austria</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Mexico S. de R.L. de C.V.</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4"/>
              </w:rPr>
              <w:t>Mexico</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Middle East FZ-LLC</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Netherlands B.V.</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8"/>
              </w:rPr>
              <w:t>Netherlands</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NZ Company</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2"/>
              </w:rPr>
              <w:t>New Zealand</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Rus LLC</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Saudi Limited</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1"/>
              </w:rPr>
              <w:t>Saudi Arabia</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Singapore Pte. Ltd.</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0"/>
              </w:rPr>
              <w:t>Singapore</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Software e Serviços Brasil Ltda.</w:t>
            </w:r>
          </w:p>
        </w:tc>
        <w:tc>
          <w:tcPr>
            <w:tcW w:w="4440" w:type="dxa"/>
            <w:vAlign w:val="bottom"/>
            <w:tcBorders>
              <w:top w:val="single" w:sz="8" w:color="ACACAC"/>
            </w:tcBorders>
          </w:tcPr>
          <w:p>
            <w:pPr>
              <w:jc w:val="center"/>
              <w:ind w:left="670"/>
              <w:spacing w:after="0"/>
              <w:rPr>
                <w:sz w:val="20"/>
                <w:szCs w:val="20"/>
                <w:color w:val="auto"/>
              </w:rPr>
            </w:pPr>
            <w:r>
              <w:rPr>
                <w:rFonts w:ascii="Arial" w:cs="Arial" w:eastAsia="Arial" w:hAnsi="Arial"/>
                <w:sz w:val="18"/>
                <w:szCs w:val="18"/>
                <w:color w:val="auto"/>
                <w:w w:val="97"/>
              </w:rPr>
              <w:t>Brazil</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Software India Private Limited</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7"/>
              </w:rPr>
              <w:t>India</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South Africa (Pty) Ltd</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5"/>
              </w:rPr>
              <w:t>South Africa</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Spain, S.L.</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1"/>
              </w:rPr>
              <w:t>Spain</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Sweden AB</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89"/>
              </w:rPr>
              <w:t>Sweden</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Switzerland GmbH</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2"/>
              </w:rPr>
              <w:t>Switzerland</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Turkey Software Solutions and Services Company Limited</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0"/>
              </w:rPr>
              <w:t>Turkey</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UK Limited</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United Kingdom</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VMware, Inc.</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0"/>
              </w:rPr>
              <w:t>United States</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 K.K.</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5"/>
              </w:rPr>
              <w:t>Japan</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Waltham Ventures LLC</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0"/>
              </w:rPr>
              <w:t>United States</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Wanova Technologies Ltd.</w:t>
            </w:r>
          </w:p>
        </w:tc>
        <w:tc>
          <w:tcPr>
            <w:tcW w:w="444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0"/>
              </w:rPr>
              <w:t>Israel</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Wyse International L.L.C.</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90"/>
              </w:rPr>
              <w:t>United States</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Wyse Technology GmbH</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9"/>
              </w:rPr>
              <w:t>Germany</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Wyse Technology International B.V.</w:t>
            </w:r>
          </w:p>
        </w:tc>
        <w:tc>
          <w:tcPr>
            <w:tcW w:w="4440" w:type="dxa"/>
            <w:vAlign w:val="bottom"/>
            <w:tcBorders>
              <w:top w:val="single" w:sz="8" w:color="ACACAC"/>
            </w:tcBorders>
          </w:tcPr>
          <w:p>
            <w:pPr>
              <w:jc w:val="center"/>
              <w:ind w:left="650"/>
              <w:spacing w:after="0"/>
              <w:rPr>
                <w:sz w:val="20"/>
                <w:szCs w:val="20"/>
                <w:color w:val="auto"/>
              </w:rPr>
            </w:pPr>
            <w:r>
              <w:rPr>
                <w:rFonts w:ascii="Arial" w:cs="Arial" w:eastAsia="Arial" w:hAnsi="Arial"/>
                <w:sz w:val="18"/>
                <w:szCs w:val="18"/>
                <w:color w:val="auto"/>
                <w:w w:val="88"/>
              </w:rPr>
              <w:t>Netherlands</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Wyse Technology L.L.C.</w:t>
            </w:r>
          </w:p>
        </w:tc>
        <w:tc>
          <w:tcPr>
            <w:tcW w:w="44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0"/>
              </w:rPr>
              <w:t>United States</w:t>
            </w:r>
          </w:p>
        </w:tc>
      </w:tr>
      <w:tr>
        <w:trPr>
          <w:trHeight w:val="237"/>
        </w:trPr>
        <w:tc>
          <w:tcPr>
            <w:tcW w:w="6740" w:type="dxa"/>
            <w:vAlign w:val="bottom"/>
            <w:tcBorders>
              <w:top w:val="single" w:sz="8" w:color="ACACAC"/>
            </w:tcBorders>
          </w:tcPr>
          <w:p>
            <w:pPr>
              <w:ind w:left="20"/>
              <w:spacing w:after="0"/>
              <w:rPr>
                <w:sz w:val="20"/>
                <w:szCs w:val="20"/>
                <w:color w:val="auto"/>
              </w:rPr>
            </w:pPr>
            <w:r>
              <w:rPr>
                <w:rFonts w:ascii="Arial" w:cs="Arial" w:eastAsia="Arial" w:hAnsi="Arial"/>
                <w:sz w:val="18"/>
                <w:szCs w:val="18"/>
                <w:color w:val="auto"/>
              </w:rPr>
              <w:t>XtremlO Ltd.</w:t>
            </w:r>
          </w:p>
        </w:tc>
        <w:tc>
          <w:tcPr>
            <w:tcW w:w="4440" w:type="dxa"/>
            <w:vAlign w:val="bottom"/>
            <w:tcBorders>
              <w:top w:val="single" w:sz="8" w:color="ACACAC"/>
            </w:tcBorders>
          </w:tcPr>
          <w:p>
            <w:pPr>
              <w:jc w:val="center"/>
              <w:ind w:left="670"/>
              <w:spacing w:after="0"/>
              <w:rPr>
                <w:sz w:val="20"/>
                <w:szCs w:val="20"/>
                <w:color w:val="auto"/>
              </w:rPr>
            </w:pPr>
            <w:r>
              <w:rPr>
                <w:rFonts w:ascii="Arial" w:cs="Arial" w:eastAsia="Arial" w:hAnsi="Arial"/>
                <w:sz w:val="18"/>
                <w:szCs w:val="18"/>
                <w:color w:val="auto"/>
                <w:w w:val="90"/>
              </w:rPr>
              <w:t>Israel</w:t>
            </w:r>
          </w:p>
        </w:tc>
      </w:tr>
      <w:tr>
        <w:trPr>
          <w:trHeight w:val="27"/>
        </w:trPr>
        <w:tc>
          <w:tcPr>
            <w:tcW w:w="6740" w:type="dxa"/>
            <w:vAlign w:val="bottom"/>
            <w:tcBorders>
              <w:bottom w:val="single" w:sz="8" w:color="ACACAC"/>
            </w:tcBorders>
          </w:tcPr>
          <w:p>
            <w:pPr>
              <w:spacing w:after="0"/>
              <w:rPr>
                <w:sz w:val="2"/>
                <w:szCs w:val="2"/>
                <w:color w:val="auto"/>
              </w:rPr>
            </w:pPr>
          </w:p>
        </w:tc>
        <w:tc>
          <w:tcPr>
            <w:tcW w:w="4440" w:type="dxa"/>
            <w:vAlign w:val="bottom"/>
            <w:tcBorders>
              <w:bottom w:val="single" w:sz="8" w:color="ACACAC"/>
            </w:tcBorders>
          </w:tcPr>
          <w:p>
            <w:pPr>
              <w:spacing w:after="0"/>
              <w:rPr>
                <w:sz w:val="2"/>
                <w:szCs w:val="2"/>
                <w:color w:val="auto"/>
              </w:rPr>
            </w:pPr>
          </w:p>
        </w:tc>
      </w:tr>
    </w:tbl>
    <w:p>
      <w:pPr>
        <w:sectPr>
          <w:pgSz w:w="11900" w:h="16838" w:orient="portrait"/>
          <w:cols w:equalWidth="0" w:num="1">
            <w:col w:w="11180"/>
          </w:cols>
          <w:pgMar w:left="360" w:top="687" w:right="3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376"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S-8 (No. 333-213515 and No. 333-232675) of Dell Technologies Inc. of our report dated March 27, 2020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337"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880"/>
        <w:spacing w:after="0"/>
        <w:tabs>
          <w:tab w:leader="none" w:pos="7660" w:val="left"/>
        </w:tabs>
        <w:rPr>
          <w:sz w:val="20"/>
          <w:szCs w:val="20"/>
          <w:color w:val="auto"/>
        </w:rPr>
      </w:pPr>
      <w:r>
        <w:rPr>
          <w:rFonts w:ascii="Arial" w:cs="Arial" w:eastAsia="Arial" w:hAnsi="Arial"/>
          <w:sz w:val="18"/>
          <w:szCs w:val="18"/>
          <w:color w:val="auto"/>
        </w:rPr>
        <w:t>March 27, 2020</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1718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THOMAS W. SWEET, EXECUTIVE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880"/>
        <w:spacing w:after="0"/>
        <w:tabs>
          <w:tab w:leader="none" w:pos="7600" w:val="left"/>
        </w:tabs>
        <w:rPr>
          <w:sz w:val="20"/>
          <w:szCs w:val="20"/>
          <w:color w:val="auto"/>
        </w:rPr>
      </w:pPr>
      <w:r>
        <w:rPr>
          <w:rFonts w:ascii="Arial" w:cs="Arial" w:eastAsia="Arial" w:hAnsi="Arial"/>
          <w:sz w:val="18"/>
          <w:szCs w:val="18"/>
          <w:color w:val="auto"/>
        </w:rPr>
        <w:t>March 27, 2020</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1718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Annual Report on Form 10-K for the fiscal year ended January 31, 2020,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360"/>
        <w:spacing w:after="0"/>
        <w:tabs>
          <w:tab w:leader="none" w:pos="7380" w:val="left"/>
        </w:tabs>
        <w:rPr>
          <w:sz w:val="20"/>
          <w:szCs w:val="20"/>
          <w:color w:val="auto"/>
        </w:rPr>
      </w:pPr>
      <w:r>
        <w:rPr>
          <w:rFonts w:ascii="Arial" w:cs="Arial" w:eastAsia="Arial" w:hAnsi="Arial"/>
          <w:sz w:val="18"/>
          <w:szCs w:val="18"/>
          <w:color w:val="auto"/>
        </w:rPr>
        <w:t>March 27, 2020</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360"/>
        <w:spacing w:after="0"/>
        <w:tabs>
          <w:tab w:leader="none" w:pos="7320" w:val="left"/>
        </w:tabs>
        <w:rPr>
          <w:sz w:val="20"/>
          <w:szCs w:val="20"/>
          <w:color w:val="auto"/>
        </w:rPr>
      </w:pPr>
      <w:r>
        <w:rPr>
          <w:rFonts w:ascii="Arial" w:cs="Arial" w:eastAsia="Arial" w:hAnsi="Arial"/>
          <w:sz w:val="18"/>
          <w:szCs w:val="18"/>
          <w:color w:val="auto"/>
        </w:rPr>
        <w:t>March 27, 2020</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lowerLetter"/>
      <w:start w:val="1"/>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5"/>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3"/>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04"/>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2"/>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132" Type="http://schemas.openxmlformats.org/officeDocument/2006/relationships/image" Target="media/image27.png"/><Relationship Id="rId133" Type="http://schemas.openxmlformats.org/officeDocument/2006/relationships/image" Target="media/image28.png"/><Relationship Id="rId134" Type="http://schemas.openxmlformats.org/officeDocument/2006/relationships/image" Target="media/image29.png"/><Relationship Id="rId135" Type="http://schemas.openxmlformats.org/officeDocument/2006/relationships/image" Target="media/image30.png"/><Relationship Id="rId136" Type="http://schemas.openxmlformats.org/officeDocument/2006/relationships/image" Target="media/image31.png"/><Relationship Id="rId137" Type="http://schemas.openxmlformats.org/officeDocument/2006/relationships/image" Target="media/image32.png"/><Relationship Id="rId138" Type="http://schemas.openxmlformats.org/officeDocument/2006/relationships/image" Target="media/image33.png"/><Relationship Id="rId139" Type="http://schemas.openxmlformats.org/officeDocument/2006/relationships/image" Target="media/image34.png"/><Relationship Id="rId140" Type="http://schemas.openxmlformats.org/officeDocument/2006/relationships/image" Target="media/image35.png"/><Relationship Id="rId141" Type="http://schemas.openxmlformats.org/officeDocument/2006/relationships/image" Target="media/image36.png"/><Relationship Id="rId142" Type="http://schemas.openxmlformats.org/officeDocument/2006/relationships/image" Target="media/image37.png"/><Relationship Id="rId143" Type="http://schemas.openxmlformats.org/officeDocument/2006/relationships/image" Target="media/image38.png"/><Relationship Id="rId144" Type="http://schemas.openxmlformats.org/officeDocument/2006/relationships/image" Target="media/image39.png"/><Relationship Id="rId145" Type="http://schemas.openxmlformats.org/officeDocument/2006/relationships/image" Target="media/image40.png"/><Relationship Id="rId146" Type="http://schemas.openxmlformats.org/officeDocument/2006/relationships/image" Target="media/image41.png"/><Relationship Id="rId147" Type="http://schemas.openxmlformats.org/officeDocument/2006/relationships/image" Target="media/image42.png"/><Relationship Id="rId148" Type="http://schemas.openxmlformats.org/officeDocument/2006/relationships/image" Target="media/image43.png"/><Relationship Id="rId149" Type="http://schemas.openxmlformats.org/officeDocument/2006/relationships/image" Target="media/image44.png"/><Relationship Id="rId150" Type="http://schemas.openxmlformats.org/officeDocument/2006/relationships/image" Target="media/image45.png"/><Relationship Id="rId151" Type="http://schemas.openxmlformats.org/officeDocument/2006/relationships/image" Target="media/image46.png"/><Relationship Id="rId152" Type="http://schemas.openxmlformats.org/officeDocument/2006/relationships/image" Target="media/image47.png"/><Relationship Id="rId153" Type="http://schemas.openxmlformats.org/officeDocument/2006/relationships/image" Target="media/image48.png"/><Relationship Id="rId154" Type="http://schemas.openxmlformats.org/officeDocument/2006/relationships/image" Target="media/image49.png"/><Relationship Id="rId34" Type="http://schemas.openxmlformats.org/officeDocument/2006/relationships/hyperlink" Target="http://www.sec.gov/Archives/edgar/data/1571996/000119312518360943/d673794dex31.htm" TargetMode="External"/><Relationship Id="rId35" Type="http://schemas.openxmlformats.org/officeDocument/2006/relationships/hyperlink" Target="http://www.sec.gov/Archives/edgar/data/1571996/000119312518360943/d673794dex32.htm" TargetMode="External"/><Relationship Id="rId36" Type="http://schemas.openxmlformats.org/officeDocument/2006/relationships/hyperlink" Target="http://www.sec.gov/Archives/edgar/data/826083/0000950134-98-003605.txt" TargetMode="External"/><Relationship Id="rId37" Type="http://schemas.openxmlformats.org/officeDocument/2006/relationships/hyperlink" Target="http://www.sec.gov/Archives/edgar/data/826083/000095013408006801/d55879exv4w1.htm" TargetMode="External"/><Relationship Id="rId38" Type="http://schemas.openxmlformats.org/officeDocument/2006/relationships/hyperlink" Target="http://www.sec.gov/Archives/edgar/data/826083/000119312509073812/dex41.htm" TargetMode="External"/><Relationship Id="rId39" Type="http://schemas.openxmlformats.org/officeDocument/2006/relationships/hyperlink" Target="http://www.sec.gov/Archives/edgar/data/826083/000095012310085135/d75835exv4w1.htm" TargetMode="External"/><Relationship Id="rId40" Type="http://schemas.openxmlformats.org/officeDocument/2006/relationships/hyperlink" Target="http://www.sec.gov/Archives/edgar/data/826083/000095012311031594/d81054exv4w1.htm" TargetMode="External"/><Relationship Id="rId41" Type="http://schemas.openxmlformats.org/officeDocument/2006/relationships/hyperlink" Target="http://www.sec.gov/Archives/edgar/data/790070/000119312513249454/d548166dex41.htm" TargetMode="External"/><Relationship Id="rId42" Type="http://schemas.openxmlformats.org/officeDocument/2006/relationships/hyperlink" Target="http://www.sec.gov/Archives/edgar/data/1571996/000119312516611855/d73946dex414.htm" TargetMode="External"/><Relationship Id="rId43" Type="http://schemas.openxmlformats.org/officeDocument/2006/relationships/hyperlink" Target="http://www.sec.gov/Archives/edgar/data/1571996/000119312516611855/d73946dex417.htm" TargetMode="External"/><Relationship Id="rId44" Type="http://schemas.openxmlformats.org/officeDocument/2006/relationships/hyperlink" Target="http://www.sec.gov/Archives/edgar/data/1571996/000119312516611855/d73946dex419.htm" TargetMode="External"/><Relationship Id="rId45" Type="http://schemas.openxmlformats.org/officeDocument/2006/relationships/hyperlink" Target="http://www.sec.gov/Archives/edgar/data/1571996/000119312516611855/d73946dex421.htm" TargetMode="External"/><Relationship Id="rId46" Type="http://schemas.openxmlformats.org/officeDocument/2006/relationships/hyperlink" Target="http://www.sec.gov/Archives/edgar/data/1571996/000119312516611855/d73946dex423.htm" TargetMode="External"/><Relationship Id="rId47" Type="http://schemas.openxmlformats.org/officeDocument/2006/relationships/hyperlink" Target="http://www.sec.gov/Archives/edgar/data/1571996/000119312516611855/d73946dex425.htm" TargetMode="External"/><Relationship Id="rId48" Type="http://schemas.openxmlformats.org/officeDocument/2006/relationships/hyperlink" Target="http://www.sec.gov/Archives/edgar/data/1571996/000119312516629055/d214451dex41.htm" TargetMode="External"/><Relationship Id="rId49" Type="http://schemas.openxmlformats.org/officeDocument/2006/relationships/hyperlink" Target="http://www.sec.gov/Archives/edgar/data/1571996/000119312516629055/d214451dex42.htm" TargetMode="External"/><Relationship Id="rId50" Type="http://schemas.openxmlformats.org/officeDocument/2006/relationships/hyperlink" Target="http://www.sec.gov/Archives/edgar/data/1571996/000119312516629055/d214451dex43.htm" TargetMode="External"/><Relationship Id="rId51" Type="http://schemas.openxmlformats.org/officeDocument/2006/relationships/hyperlink" Target="http://www.sec.gov/Archives/edgar/data/1571996/000119312516706567/d238698dex41.htm" TargetMode="External"/><Relationship Id="rId52" Type="http://schemas.openxmlformats.org/officeDocument/2006/relationships/hyperlink" Target="http://www.sec.gov/Archives/edgar/data/1571996/000119312516706567/d238698dex42.htm" TargetMode="External"/><Relationship Id="rId53" Type="http://schemas.openxmlformats.org/officeDocument/2006/relationships/hyperlink" Target="http://www.sec.gov/Archives/edgar/data/1571996/000119312516706567/d238698dex43.htm" TargetMode="External"/><Relationship Id="rId54" Type="http://schemas.openxmlformats.org/officeDocument/2006/relationships/hyperlink" Target="http://www.sec.gov/Archives/edgar/data/1571996/000119312516706567/d238698dex44.htm" TargetMode="External"/><Relationship Id="rId55" Type="http://schemas.openxmlformats.org/officeDocument/2006/relationships/hyperlink" Target="http://www.sec.gov/Archives/edgar/data/1571996/000119312516706567/d238698dex45.htm" TargetMode="External"/><Relationship Id="rId56" Type="http://schemas.openxmlformats.org/officeDocument/2006/relationships/hyperlink" Target="http://www.sec.gov/Archives/edgar/data/1571996/000119312516706567/d238698dex46.htm" TargetMode="External"/><Relationship Id="rId57" Type="http://schemas.openxmlformats.org/officeDocument/2006/relationships/hyperlink" Target="http://www.sec.gov/Archives/edgar/data/1571996/000119312516706567/d238698dex47.htm" TargetMode="External"/><Relationship Id="rId58" Type="http://schemas.openxmlformats.org/officeDocument/2006/relationships/hyperlink" Target="http://www.sec.gov/Archives/edgar/data/1571996/000119312516706567/d238698dex48.htm" TargetMode="External"/><Relationship Id="rId59" Type="http://schemas.openxmlformats.org/officeDocument/2006/relationships/hyperlink" Target="http://www.sec.gov/Archives/edgar/data/1571996/000119312516706567/d238698dex49.htm" TargetMode="External"/><Relationship Id="rId60" Type="http://schemas.openxmlformats.org/officeDocument/2006/relationships/hyperlink" Target="http://www.sec.gov/Archives/edgar/data/1571996/000119312516706567/d238698dex410.htm" TargetMode="External"/><Relationship Id="rId61" Type="http://schemas.openxmlformats.org/officeDocument/2006/relationships/hyperlink" Target="http://www.sec.gov/Archives/edgar/data/1571996/000157199616000021/exhibit411_102816.htm" TargetMode="External"/><Relationship Id="rId62" Type="http://schemas.openxmlformats.org/officeDocument/2006/relationships/hyperlink" Target="http://www.sec.gov/Archives/edgar/data/1571996/000157199619000008/exhibit430_020119.htm" TargetMode="External"/><Relationship Id="rId63" Type="http://schemas.openxmlformats.org/officeDocument/2006/relationships/hyperlink" Target="http://www.sec.gov/Archives/edgar/data/1571996/000157199619000008/exhibit431_020119.htm" TargetMode="External"/><Relationship Id="rId64" Type="http://schemas.openxmlformats.org/officeDocument/2006/relationships/hyperlink" Target="http://www.sec.gov/Archives/edgar/data/1571996/000157199619000008/exhibit432_020119.htm" TargetMode="External"/><Relationship Id="rId65" Type="http://schemas.openxmlformats.org/officeDocument/2006/relationships/hyperlink" Target="https://www.sec.gov/Archives/edgar/data/1571996/000157199619000008/exhibit433_020109.htm" TargetMode="External"/><Relationship Id="rId66" Type="http://schemas.openxmlformats.org/officeDocument/2006/relationships/hyperlink" Target="http://www.sec.gov/Archives/edgar/data/1571996/000157199619000008/exhibit433_020109.htm" TargetMode="External"/><Relationship Id="rId67" Type="http://schemas.openxmlformats.org/officeDocument/2006/relationships/hyperlink" Target="https://www.sec.gov/Archives/edgar/data/1571996/000119312519082281/d708174dex41.htm" TargetMode="External"/><Relationship Id="rId68" Type="http://schemas.openxmlformats.org/officeDocument/2006/relationships/hyperlink" Target="https://www.sec.gov/Archives/edgar/data/1571996/000119312519082281/d708174dex42.htm" TargetMode="External"/><Relationship Id="rId69" Type="http://schemas.openxmlformats.org/officeDocument/2006/relationships/hyperlink" Target="https://www.sec.gov/Archives/edgar/data/1571996/000119312519082281/d708174dex43.htm" TargetMode="External"/><Relationship Id="rId70" Type="http://schemas.openxmlformats.org/officeDocument/2006/relationships/hyperlink" Target="https://www.sec.gov/Archives/edgar/data/1571996/000119312519082281/d708174dex44.htm" TargetMode="External"/><Relationship Id="rId71" Type="http://schemas.openxmlformats.org/officeDocument/2006/relationships/hyperlink" Target="https://www.sec.gov/Archives/edgar/data/1571996/000119312519082281/d708174dex45.htm" TargetMode="External"/><Relationship Id="rId72" Type="http://schemas.openxmlformats.org/officeDocument/2006/relationships/hyperlink" Target="https://www.sec.gov/Archives/edgar/data/1571996/000119312519082281/d708174dex410.htm" TargetMode="External"/><Relationship Id="rId73" Type="http://schemas.openxmlformats.org/officeDocument/2006/relationships/hyperlink" Target="https://www.sec.gov/Archives/edgar/data/1571996/000119312519082281/d708174dex411.htm" TargetMode="External"/><Relationship Id="rId74" Type="http://schemas.openxmlformats.org/officeDocument/2006/relationships/hyperlink" Target="https://www.sec.gov/Archives/edgar/data/1571996/000119312519082281/d708174dex412.htm" TargetMode="External"/><Relationship Id="rId75" Type="http://schemas.openxmlformats.org/officeDocument/2006/relationships/hyperlink" Target="https://www.sec.gov/Archives/edgar/data/1571996/000119312518360943/d673794dex104.htm" TargetMode="External"/><Relationship Id="rId76" Type="http://schemas.openxmlformats.org/officeDocument/2006/relationships/hyperlink" Target="http://www.sec.gov/Archives/edgar/data/1571996/000157199617000045/exhibit104_110317.htm" TargetMode="External"/><Relationship Id="rId77" Type="http://schemas.openxmlformats.org/officeDocument/2006/relationships/hyperlink" Target="http://www.sec.gov/Archives/edgar/data/1571996/000119312516537298/d73946dex1013.htm" TargetMode="External"/><Relationship Id="rId78" Type="http://schemas.openxmlformats.org/officeDocument/2006/relationships/hyperlink" Target="http://www.sec.gov/Archives/edgar/data/1571996/000157199617000004/exhibit103_020317.htm" TargetMode="External"/><Relationship Id="rId79" Type="http://schemas.openxmlformats.org/officeDocument/2006/relationships/hyperlink" Target="http://www.sec.gov/Archives/edgar/data/1571996/000157199617000004/exhibit104_020317.htm" TargetMode="External"/><Relationship Id="rId80" Type="http://schemas.openxmlformats.org/officeDocument/2006/relationships/hyperlink" Target="http://www.sec.gov/Archives/edgar/data/1571996/000119312516537298/d73946dex105.htm" TargetMode="External"/><Relationship Id="rId81" Type="http://schemas.openxmlformats.org/officeDocument/2006/relationships/hyperlink" Target="http://www.sec.gov/Archives/edgar/data/1571996/000119312516537298/d73946dex106.htm" TargetMode="External"/><Relationship Id="rId82" Type="http://schemas.openxmlformats.org/officeDocument/2006/relationships/hyperlink" Target="http://www.sec.gov/Archives/edgar/data/1571996/000119312516537298/d73946dex107.htm" TargetMode="External"/><Relationship Id="rId83" Type="http://schemas.openxmlformats.org/officeDocument/2006/relationships/hyperlink" Target="http://www.sec.gov/Archives/edgar/data/1571996/000157199617000004/exhibit1014_020317.htm" TargetMode="External"/><Relationship Id="rId84" Type="http://schemas.openxmlformats.org/officeDocument/2006/relationships/hyperlink" Target="http://www.sec.gov/Archives/edgar/data/1571996/000119312516537298/d73946dex1015.htm" TargetMode="External"/><Relationship Id="rId85" Type="http://schemas.openxmlformats.org/officeDocument/2006/relationships/hyperlink" Target="http://www.sec.gov/Archives/edgar/data/1571996/000119312516537298/d73946dex1016.htm" TargetMode="External"/><Relationship Id="rId86" Type="http://schemas.openxmlformats.org/officeDocument/2006/relationships/hyperlink" Target="http://www.sec.gov/Archives/edgar/data/1571996/000157199617000004/exhibit1026_020317.htm" TargetMode="External"/><Relationship Id="rId87" Type="http://schemas.openxmlformats.org/officeDocument/2006/relationships/hyperlink" Target="http://www.sec.gov/Archives/edgar/data/1124610/000112461018000012/vmw-222018x10kex101.htm" TargetMode="External"/><Relationship Id="rId88" Type="http://schemas.openxmlformats.org/officeDocument/2006/relationships/hyperlink" Target="http://www.sec.gov/Archives/edgar/data/1571996/000119312516706567/d238698dex101.htm" TargetMode="External"/><Relationship Id="rId89" Type="http://schemas.openxmlformats.org/officeDocument/2006/relationships/hyperlink" Target="http://www.sec.gov/Archives/edgar/data/1571996/000119312516706567/d238698dex102.htm" TargetMode="External"/><Relationship Id="rId90" Type="http://schemas.openxmlformats.org/officeDocument/2006/relationships/hyperlink" Target="http://www.sec.gov/Archives/edgar/data/1571996/000119312516706567/d238698dex103.htm" TargetMode="External"/><Relationship Id="rId91" Type="http://schemas.openxmlformats.org/officeDocument/2006/relationships/hyperlink" Target="http://www.sec.gov/Archives/edgar/data/1571996/000119312516706567/d238698dex104.htm" TargetMode="External"/><Relationship Id="rId92" Type="http://schemas.openxmlformats.org/officeDocument/2006/relationships/hyperlink" Target="http://www.sec.gov/Archives/edgar/data/1571996/000157199616000021/exhibit105_102816.htm" TargetMode="External"/><Relationship Id="rId93" Type="http://schemas.openxmlformats.org/officeDocument/2006/relationships/hyperlink" Target="http://www.sec.gov/Archives/edgar/data/1571996/000157199617000004/exhibit1038_020317.htm" TargetMode="External"/><Relationship Id="rId94" Type="http://schemas.openxmlformats.org/officeDocument/2006/relationships/hyperlink" Target="http://www.sec.gov/Archives/edgar/data/1571996/000157199617000004/exhibit1039_020317.htm" TargetMode="External"/><Relationship Id="rId95" Type="http://schemas.openxmlformats.org/officeDocument/2006/relationships/hyperlink" Target="http://www.sec.gov/Archives/edgar/data/1571996/000157199617000004/exhibit1040_020317.htm" TargetMode="External"/><Relationship Id="rId96" Type="http://schemas.openxmlformats.org/officeDocument/2006/relationships/hyperlink" Target="http://www.sec.gov/Archives/edgar/data/1571996/000157199617000004/exhibit1041_020317.htm" TargetMode="External"/><Relationship Id="rId97" Type="http://schemas.openxmlformats.org/officeDocument/2006/relationships/hyperlink" Target="http://www.sec.gov/Archives/edgar/data/1571996/000157199617000004/exhibit1042_020317.htm" TargetMode="External"/><Relationship Id="rId98" Type="http://schemas.openxmlformats.org/officeDocument/2006/relationships/hyperlink" Target="http://www.sec.gov/Archives/edgar/data/1571996/000119312517076981/d325592dex101.htm" TargetMode="External"/><Relationship Id="rId99" Type="http://schemas.openxmlformats.org/officeDocument/2006/relationships/hyperlink" Target="http://www.sec.gov/Archives/edgar/data/1571996/000157199617000037/exhibit101-secondamendment.htm" TargetMode="External"/><Relationship Id="rId100" Type="http://schemas.openxmlformats.org/officeDocument/2006/relationships/hyperlink" Target="http://www.sec.gov/Archives/edgar/data/1571996/000157199617000037/exhibit102-thirdamendment.htm" TargetMode="External"/><Relationship Id="rId101" Type="http://schemas.openxmlformats.org/officeDocument/2006/relationships/hyperlink" Target="http://www.sec.gov/Archives/edgar/data/1571996/000157199618000004/exhibit1047_020218.htm" TargetMode="External"/><Relationship Id="rId102" Type="http://schemas.openxmlformats.org/officeDocument/2006/relationships/hyperlink" Target="http://www.sec.gov/Archives/edgar/data/1571996/000157199618000004/exhibit1049_020218.htm" TargetMode="External"/><Relationship Id="rId103" Type="http://schemas.openxmlformats.org/officeDocument/2006/relationships/hyperlink" Target="http://www.sec.gov/Archives/edgar/data/1571996/000157199618000004/exhibit1051_020218.htm" TargetMode="External"/><Relationship Id="rId104" Type="http://schemas.openxmlformats.org/officeDocument/2006/relationships/hyperlink" Target="http://www.sec.gov/Archives/edgar/data/1571996/000119312518293366/d681091dex1010.htm" TargetMode="External"/><Relationship Id="rId105" Type="http://schemas.openxmlformats.org/officeDocument/2006/relationships/hyperlink" Target="http://www.sec.gov/Archives/edgar/data/1571996/000119312518293366/d681091dex1011.htm" TargetMode="External"/><Relationship Id="rId106" Type="http://schemas.openxmlformats.org/officeDocument/2006/relationships/hyperlink" Target="http://www.sec.gov/Archives/edgar/data/1571996/000119312518293366/d681091dex1012.htm" TargetMode="External"/><Relationship Id="rId107" Type="http://schemas.openxmlformats.org/officeDocument/2006/relationships/hyperlink" Target="http://www.sec.gov/Archives/edgar/data/1571996/000119312518293366/d681091dex1013.htm" TargetMode="External"/><Relationship Id="rId108" Type="http://schemas.openxmlformats.org/officeDocument/2006/relationships/hyperlink" Target="http://www.sec.gov/Archives/edgar/data/1571996/000119312518293366/d681091dex1014.htm" TargetMode="External"/><Relationship Id="rId109" Type="http://schemas.openxmlformats.org/officeDocument/2006/relationships/hyperlink" Target="http://www.sec.gov/Archives/edgar/data/1571996/000119312518293366/d681091dex1015.htm" TargetMode="External"/><Relationship Id="rId110" Type="http://schemas.openxmlformats.org/officeDocument/2006/relationships/hyperlink" Target="http://www.sec.gov/Archives/edgar/data/1571996/000119312518293366/d681091dex1016.htm" TargetMode="External"/><Relationship Id="rId111" Type="http://schemas.openxmlformats.org/officeDocument/2006/relationships/hyperlink" Target="http://www.sec.gov/Archives/edgar/data/1571996/000119312518293366/d681091dex1017.htm" TargetMode="External"/><Relationship Id="rId112" Type="http://schemas.openxmlformats.org/officeDocument/2006/relationships/hyperlink" Target="http://www.sec.gov/Archives/edgar/data/1571996/000119312518293366/d681091dex1018.htm" TargetMode="External"/><Relationship Id="rId113" Type="http://schemas.openxmlformats.org/officeDocument/2006/relationships/hyperlink" Target="http://www.sec.gov/Archives/edgar/data/1571996/000119312518293366/d681091dex1019.htm" TargetMode="External"/><Relationship Id="rId114" Type="http://schemas.openxmlformats.org/officeDocument/2006/relationships/hyperlink" Target="http://www.sec.gov/Archives/edgar/data/1571996/000119312518293366/d681091dex1020.htm" TargetMode="External"/><Relationship Id="rId115" Type="http://schemas.openxmlformats.org/officeDocument/2006/relationships/hyperlink" Target="http://www.sec.gov/Archives/edgar/data/1571996/000119312518293366/d681091dex1021.htm" TargetMode="External"/><Relationship Id="rId116" Type="http://schemas.openxmlformats.org/officeDocument/2006/relationships/hyperlink" Target="http://www.sec.gov/Archives/edgar/data/1571996/000157199619000032/a2013stockincentiveplanjul.htm" TargetMode="External"/><Relationship Id="rId117" Type="http://schemas.openxmlformats.org/officeDocument/2006/relationships/hyperlink" Target="http://www.sec.gov/Archives/edgar/data/1571996/000157199619000008/exhibit1045_020119.htm" TargetMode="External"/><Relationship Id="rId118" Type="http://schemas.openxmlformats.org/officeDocument/2006/relationships/hyperlink" Target="http://www.sec.gov/Archives/edgar/data/1571996/000119312518210339/d880259dex102.htm" TargetMode="External"/><Relationship Id="rId119" Type="http://schemas.openxmlformats.org/officeDocument/2006/relationships/hyperlink" Target="http://www.sec.gov/Archives/edgar/data/1571996/000119312518328110/d655711dex101.htm" TargetMode="External"/><Relationship Id="rId120" Type="http://schemas.openxmlformats.org/officeDocument/2006/relationships/hyperlink" Target="http://www.sec.gov/Archives/edgar/data/1571996/000119312518328110/d655711dex106.htm" TargetMode="External"/><Relationship Id="rId121" Type="http://schemas.openxmlformats.org/officeDocument/2006/relationships/hyperlink" Target="http://www.sec.gov/Archives/edgar/data/1571996/000119312518356324/d670019dex101.htm" TargetMode="External"/><Relationship Id="rId122" Type="http://schemas.openxmlformats.org/officeDocument/2006/relationships/hyperlink" Target="https://www.sec.gov/Archives/edgar/data/1571996/000119312518360943/d673794dex101.htm" TargetMode="External"/><Relationship Id="rId123" Type="http://schemas.openxmlformats.org/officeDocument/2006/relationships/hyperlink" Target="https://www.sec.gov/Archives/edgar/data/1571996/000119312518360943/d673794dex102.htm" TargetMode="External"/><Relationship Id="rId124" Type="http://schemas.openxmlformats.org/officeDocument/2006/relationships/hyperlink" Target="https://www.sec.gov/Archives/edgar/data/1571996/000119312518360943/d673794dex103.htm" TargetMode="External"/><Relationship Id="rId125" Type="http://schemas.openxmlformats.org/officeDocument/2006/relationships/hyperlink" Target="https://www.sec.gov/Archives/edgar/data/1571996/000119312518360943/d673794dex105.htm" TargetMode="External"/><Relationship Id="rId126" Type="http://schemas.openxmlformats.org/officeDocument/2006/relationships/hyperlink" Target="https://www.sec.gov/Archives/edgar/data/1571996/000119312518360943/d673794dex106.htm" TargetMode="External"/><Relationship Id="rId127" Type="http://schemas.openxmlformats.org/officeDocument/2006/relationships/hyperlink" Target="https://www.sec.gov/Archives/edgar/data/1571996/000119312518360943/d673794dex107.htm" TargetMode="External"/><Relationship Id="rId128" Type="http://schemas.openxmlformats.org/officeDocument/2006/relationships/hyperlink" Target="https://www.sec.gov/Archives/edgar/data/1571996/000119312519074935/d681612d8k.htm" TargetMode="External"/><Relationship Id="rId129" Type="http://schemas.openxmlformats.org/officeDocument/2006/relationships/hyperlink" Target="https://www.sec.gov/Archives/edgar/data/1571996/000119312519074935/d681612dex101.htm" TargetMode="External"/><Relationship Id="rId130" Type="http://schemas.openxmlformats.org/officeDocument/2006/relationships/hyperlink" Target="https://www.sec.gov/Archives/edgar/data/1571996/000157199619000005/exhibit101formofrsu.htm" TargetMode="External"/><Relationship Id="rId131" Type="http://schemas.openxmlformats.org/officeDocument/2006/relationships/hyperlink" Target="https://www.sec.gov/Archives/edgar/data/1571996/000157199619000005/exhibit102formofprs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2020-03-27T07:37:36Z</dcterms:created>
  <dcterms:modified xsi:type="dcterms:W3CDTF">2020-03-27T07:37:36Z</dcterms:modified>
</cp:coreProperties>
</file>