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913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9132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DELL MICHAEL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140" w:type="dxa"/>
            <w:vAlign w:val="bottom"/>
          </w:tcPr>
          <w:p>
            <w:pPr>
              <w:spacing w:after="0"/>
              <w:rPr>
                <w:sz w:val="2"/>
                <w:szCs w:val="2"/>
                <w:color w:val="auto"/>
              </w:rPr>
            </w:pPr>
          </w:p>
        </w:tc>
        <w:tc>
          <w:tcPr>
            <w:tcW w:w="3740" w:type="dxa"/>
            <w:vAlign w:val="bottom"/>
            <w:gridSpan w:val="5"/>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5"/>
            <w:vMerge w:val="continue"/>
          </w:tcPr>
          <w:p>
            <w:pPr>
              <w:spacing w:after="0"/>
              <w:rPr>
                <w:sz w:val="10"/>
                <w:szCs w:val="10"/>
                <w:color w:val="auto"/>
              </w:rPr>
            </w:pPr>
          </w:p>
        </w:tc>
        <w:tc>
          <w:tcPr>
            <w:tcW w:w="334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78682</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060" w:type="dxa"/>
            <w:vAlign w:val="bottom"/>
            <w:tcBorders>
              <w:top w:val="single" w:sz="8" w:color="EEEEEE"/>
            </w:tcBorders>
            <w:vMerge w:val="restart"/>
          </w:tcPr>
          <w:p>
            <w:pPr>
              <w:ind w:left="40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14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34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2"/>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0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4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106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40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09/06/2024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195,574</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102.01</w:t>
            </w:r>
            <w:r>
              <w:rPr>
                <w:rFonts w:ascii="Times New Roman" w:cs="Times New Roman" w:eastAsia="Times New Roman" w:hAnsi="Times New Roman"/>
                <w:sz w:val="22"/>
                <w:szCs w:val="22"/>
                <w:color w:val="008000"/>
                <w:w w:val="95"/>
                <w:vertAlign w:val="superscript"/>
              </w:rPr>
              <w:t>(1)</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20,216,667</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09/06/2024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25,886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102.52</w:t>
            </w:r>
            <w:r>
              <w:rPr>
                <w:rFonts w:ascii="Times New Roman" w:cs="Times New Roman" w:eastAsia="Times New Roman" w:hAnsi="Times New Roman"/>
                <w:sz w:val="22"/>
                <w:szCs w:val="22"/>
                <w:color w:val="008000"/>
                <w:w w:val="95"/>
                <w:vertAlign w:val="superscript"/>
              </w:rPr>
              <w:t>(2)</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20,190,781</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09/09/2024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385,846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105.91</w:t>
            </w:r>
            <w:r>
              <w:rPr>
                <w:rFonts w:ascii="Times New Roman" w:cs="Times New Roman" w:eastAsia="Times New Roman" w:hAnsi="Times New Roman"/>
                <w:sz w:val="22"/>
                <w:szCs w:val="22"/>
                <w:color w:val="008000"/>
                <w:w w:val="95"/>
                <w:vertAlign w:val="superscript"/>
              </w:rPr>
              <w:t>(3)</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19,804,935</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09/09/2024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1,194,911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106.77</w:t>
            </w:r>
            <w:r>
              <w:rPr>
                <w:rFonts w:ascii="Times New Roman" w:cs="Times New Roman" w:eastAsia="Times New Roman" w:hAnsi="Times New Roman"/>
                <w:sz w:val="22"/>
                <w:szCs w:val="22"/>
                <w:color w:val="008000"/>
                <w:w w:val="95"/>
                <w:vertAlign w:val="superscript"/>
              </w:rPr>
              <w:t>(4)</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18,610,024</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09/09/2024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259,202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107.41</w:t>
            </w:r>
            <w:r>
              <w:rPr>
                <w:rFonts w:ascii="Times New Roman" w:cs="Times New Roman" w:eastAsia="Times New Roman" w:hAnsi="Times New Roman"/>
                <w:sz w:val="22"/>
                <w:szCs w:val="22"/>
                <w:color w:val="008000"/>
                <w:w w:val="95"/>
                <w:vertAlign w:val="superscript"/>
              </w:rPr>
              <w:t>(5)</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18,350,822</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09/10/2024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598,397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106.21</w:t>
            </w:r>
            <w:r>
              <w:rPr>
                <w:rFonts w:ascii="Times New Roman" w:cs="Times New Roman" w:eastAsia="Times New Roman" w:hAnsi="Times New Roman"/>
                <w:sz w:val="22"/>
                <w:szCs w:val="22"/>
                <w:color w:val="008000"/>
                <w:w w:val="95"/>
                <w:vertAlign w:val="superscript"/>
              </w:rPr>
              <w:t>(6)</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17,752,425</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900" w:type="dxa"/>
            <w:vAlign w:val="bottom"/>
            <w:tcBorders>
              <w:bottom w:val="single" w:sz="8" w:color="2C2C2C"/>
            </w:tcBorders>
            <w:gridSpan w:val="2"/>
          </w:tcPr>
          <w:p>
            <w:pPr>
              <w:jc w:val="center"/>
              <w:ind w:left="841"/>
              <w:spacing w:after="0"/>
              <w:rPr>
                <w:sz w:val="20"/>
                <w:szCs w:val="20"/>
                <w:color w:val="auto"/>
              </w:rPr>
            </w:pPr>
            <w:r>
              <w:rPr>
                <w:rFonts w:ascii="Times New Roman" w:cs="Times New Roman" w:eastAsia="Times New Roman" w:hAnsi="Times New Roman"/>
                <w:sz w:val="17"/>
                <w:szCs w:val="17"/>
                <w:color w:val="0000FF"/>
              </w:rPr>
              <w:t>09/10/2024</w:t>
            </w:r>
          </w:p>
        </w:tc>
        <w:tc>
          <w:tcPr>
            <w:tcW w:w="1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737,649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107</w:t>
            </w:r>
            <w:r>
              <w:rPr>
                <w:rFonts w:ascii="Times New Roman" w:cs="Times New Roman" w:eastAsia="Times New Roman" w:hAnsi="Times New Roman"/>
                <w:sz w:val="22"/>
                <w:szCs w:val="22"/>
                <w:color w:val="008000"/>
                <w:w w:val="92"/>
                <w:vertAlign w:val="superscript"/>
              </w:rPr>
              <w:t>(7)</w:t>
            </w:r>
          </w:p>
        </w:tc>
        <w:tc>
          <w:tcPr>
            <w:tcW w:w="1060" w:type="dxa"/>
            <w:vAlign w:val="bottom"/>
            <w:tcBorders>
              <w:bottom w:val="single" w:sz="8" w:color="2C2C2C"/>
            </w:tcBorders>
          </w:tcPr>
          <w:p>
            <w:pPr>
              <w:jc w:val="center"/>
              <w:ind w:left="9"/>
              <w:spacing w:after="0"/>
              <w:rPr>
                <w:sz w:val="20"/>
                <w:szCs w:val="20"/>
                <w:color w:val="auto"/>
              </w:rPr>
            </w:pPr>
            <w:r>
              <w:rPr>
                <w:rFonts w:ascii="Times New Roman" w:cs="Times New Roman" w:eastAsia="Times New Roman" w:hAnsi="Times New Roman"/>
                <w:sz w:val="17"/>
                <w:szCs w:val="17"/>
                <w:color w:val="0000FF"/>
              </w:rPr>
              <w:t>17,014,776</w:t>
            </w:r>
          </w:p>
        </w:tc>
        <w:tc>
          <w:tcPr>
            <w:tcW w:w="96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Susan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Lieberman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1,380,000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Dell</w:t>
            </w: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Separate</w:t>
      </w:r>
    </w:p>
    <w:p>
      <w:pPr>
        <w:spacing w:after="0" w:line="11"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Property</w:t>
      </w:r>
    </w:p>
    <w:p>
      <w:pPr>
        <w:spacing w:after="0" w:line="18"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$102.0128. These shares were sold in multiple transactions at prices ranging from $101.43 to $102.425 inclusive. The reporting person undertakes to provide to Dell Technologies Inc., any security holder of Dell Technologies Inc., or the staff of the Securities and Exchange Commission, upon request, full information regarding the number of shares sold at each price within the range set forth in footnotes 1 through 7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$102.5184. These shares were sold in multiple transactions at prices ranging from $102.43 to $102.715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$105.9089. These shares were sold in multiple transactions at prices ranging from $105.18 to $106.175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$106.7736. These shares were sold in multiple transactions at prices ranging from $106.18 to $107.175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$107.4102. These shares were sold in multiple transactions at prices ranging from $107.18 to $107.68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$106.2059. These shares were sold in multiple transactions at prices ranging from $105.51 to $106.505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$106.9975. These shares were sold in multiple transactions at prices ranging from $106.51 to $107.50 inclusive.</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for purposes of Rule 16a-1(a)(1) and (2) under the Securities Exchange Act of 1934, and neither the filing of this statement nor anything herein shall be deemed an admission that he is, for purposes of Section 16 of the Securities Exchange Act of 1934 or for any other purpose, the beneficial owner of the securities.</w:t>
      </w:r>
    </w:p>
    <w:p>
      <w:pPr>
        <w:sectPr>
          <w:pgSz w:w="11900" w:h="16838" w:orient="portrait"/>
          <w:cols w:equalWidth="0" w:num="1">
            <w:col w:w="11000"/>
          </w:cols>
          <w:pgMar w:left="460" w:top="219" w:right="439" w:bottom="0" w:gutter="0" w:footer="0" w:header="0"/>
          <w:type w:val="continuous"/>
        </w:sectPr>
      </w:pPr>
    </w:p>
    <w:p>
      <w:pPr>
        <w:spacing w:after="0" w:line="3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James Williamson,</w:t>
      </w:r>
      <w:r>
        <w:rPr>
          <w:sz w:val="20"/>
          <w:szCs w:val="20"/>
          <w:color w:val="auto"/>
        </w:rPr>
        <w:tab/>
      </w:r>
      <w:r>
        <w:rPr>
          <w:rFonts w:ascii="Times New Roman" w:cs="Times New Roman" w:eastAsia="Times New Roman" w:hAnsi="Times New Roman"/>
          <w:sz w:val="17"/>
          <w:szCs w:val="17"/>
          <w:color w:val="0000FF"/>
        </w:rPr>
        <w:t>09/10/2024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0908724"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2024-09-10T19:40:59Z</dcterms:created>
  <dcterms:modified xsi:type="dcterms:W3CDTF">2024-09-10T19:40:59Z</dcterms:modified>
</cp:coreProperties>
</file>