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07421d424b2.htm"/>
        <w:bookmarkStart w:id="1" w:name="ksd207421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424(b)(2)</w:t>
        <w:br/>
        <w:t xml:space="preserve">Registration No. 333-296691 </w:t>
      </w:r>
    </w:p>
    <w:p>
      <w:pPr>
        <w:pStyle w:val="TextBody"/>
        <w:bidi w:val="0"/>
        <w:spacing w:before="0" w:after="0"/>
        <w:jc w:val="left"/>
        <w:rPr/>
      </w:pPr>
      <w:r>
        <w:rPr/>
        <w:t> </w:t>
      </w:r>
    </w:p>
    <w:p>
      <w:pPr>
        <w:pStyle w:val="TextBody"/>
        <w:bidi w:val="0"/>
        <w:spacing w:before="0" w:after="0"/>
        <w:jc w:val="left"/>
        <w:rPr>
          <w:rFonts w:ascii="Times New Roman" w:hAnsi="Times New Roman"/>
          <w:b/>
          <w:sz w:val="16"/>
        </w:rPr>
      </w:pPr>
      <w:r>
        <w:rPr>
          <w:rFonts w:ascii="Times New Roman" w:hAnsi="Times New Roman"/>
          <w:b/>
          <w:sz w:val="16"/>
        </w:rPr>
        <w:t xml:space="preserve">Prospectus Supplement </w:t>
      </w:r>
    </w:p>
    <w:p>
      <w:pPr>
        <w:pStyle w:val="TextBody"/>
        <w:bidi w:val="0"/>
        <w:spacing w:before="0" w:after="0"/>
        <w:jc w:val="left"/>
        <w:rPr>
          <w:rFonts w:ascii="Times New Roman" w:hAnsi="Times New Roman"/>
          <w:b/>
          <w:sz w:val="16"/>
        </w:rPr>
      </w:pPr>
      <w:r>
        <w:rPr>
          <w:rFonts w:ascii="Times New Roman" w:hAnsi="Times New Roman"/>
          <w:b/>
          <w:sz w:val="16"/>
        </w:rPr>
        <w:t xml:space="preserve">(To Prospectus dated June 11,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3509645" cy="3695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09645" cy="369570"/>
                    </a:xfrm>
                    <a:prstGeom prst="rect">
                      <a:avLst/>
                    </a:prstGeom>
                  </pic:spPr>
                </pic:pic>
              </a:graphicData>
            </a:graphic>
          </wp:inline>
        </w:drawing>
      </w:r>
      <w:r>
        <w:rPr/>
        <w:t xml:space="preserve"> </w:t>
      </w:r>
    </w:p>
    <w:p>
      <w:pPr>
        <w:pStyle w:val="TextBody"/>
        <w:bidi w:val="0"/>
        <w:spacing w:before="40" w:after="0"/>
        <w:jc w:val="center"/>
        <w:rPr>
          <w:rFonts w:ascii="Times New Roman" w:hAnsi="Times New Roman"/>
          <w:b/>
          <w:sz w:val="24"/>
        </w:rPr>
      </w:pPr>
      <w:r>
        <w:rPr>
          <w:rFonts w:ascii="Times New Roman" w:hAnsi="Times New Roman"/>
          <w:b/>
          <w:sz w:val="24"/>
        </w:rPr>
        <w:t xml:space="preserve">Dell International L.L.C. and EMC Corporation </w:t>
      </w:r>
    </w:p>
    <w:p>
      <w:pPr>
        <w:pStyle w:val="TextBody"/>
        <w:bidi w:val="0"/>
        <w:spacing w:before="0" w:after="0"/>
        <w:jc w:val="center"/>
        <w:rPr>
          <w:rFonts w:ascii="Times New Roman" w:hAnsi="Times New Roman"/>
          <w:b/>
          <w:sz w:val="24"/>
        </w:rPr>
      </w:pPr>
      <w:r>
        <w:rPr>
          <w:rFonts w:ascii="Times New Roman" w:hAnsi="Times New Roman"/>
          <w:b/>
          <w:sz w:val="24"/>
        </w:rPr>
        <w:t xml:space="preserve">as Co-Issuers </w:t>
      </w:r>
    </w:p>
    <w:p>
      <w:pPr>
        <w:pStyle w:val="TextBody"/>
        <w:bidi w:val="0"/>
        <w:spacing w:before="80" w:after="0"/>
        <w:jc w:val="center"/>
        <w:rPr>
          <w:rFonts w:ascii="Times New Roman" w:hAnsi="Times New Roman"/>
          <w:b/>
          <w:sz w:val="24"/>
        </w:rPr>
      </w:pPr>
      <w:r>
        <w:rPr>
          <w:rFonts w:ascii="Times New Roman" w:hAnsi="Times New Roman"/>
          <w:b/>
          <w:sz w:val="24"/>
        </w:rPr>
        <w:t xml:space="preserve">$1,250,000,000 5.100% Senior Notes due 2029 </w:t>
      </w:r>
    </w:p>
    <w:p>
      <w:pPr>
        <w:pStyle w:val="TextBody"/>
        <w:bidi w:val="0"/>
        <w:spacing w:before="0" w:after="0"/>
        <w:jc w:val="center"/>
        <w:rPr>
          <w:rFonts w:ascii="Times New Roman" w:hAnsi="Times New Roman"/>
          <w:b/>
          <w:sz w:val="24"/>
        </w:rPr>
      </w:pPr>
      <w:r>
        <w:rPr>
          <w:rFonts w:ascii="Times New Roman" w:hAnsi="Times New Roman"/>
          <w:b/>
          <w:sz w:val="24"/>
        </w:rPr>
        <w:t xml:space="preserve">$1,250,000,000 5.400% Senior Notes due 2031 </w:t>
      </w:r>
    </w:p>
    <w:p>
      <w:pPr>
        <w:pStyle w:val="TextBody"/>
        <w:bidi w:val="0"/>
        <w:spacing w:before="0" w:after="0"/>
        <w:jc w:val="center"/>
        <w:rPr>
          <w:rFonts w:ascii="Times New Roman" w:hAnsi="Times New Roman"/>
          <w:b/>
          <w:sz w:val="24"/>
        </w:rPr>
      </w:pPr>
      <w:r>
        <w:rPr>
          <w:rFonts w:ascii="Times New Roman" w:hAnsi="Times New Roman"/>
          <w:b/>
          <w:sz w:val="24"/>
        </w:rPr>
        <w:t xml:space="preserve">$1,500,000,000 5.600% Senior Notes due 2033 </w:t>
      </w:r>
    </w:p>
    <w:p>
      <w:pPr>
        <w:pStyle w:val="TextBody"/>
        <w:bidi w:val="0"/>
        <w:spacing w:before="0" w:after="0"/>
        <w:jc w:val="center"/>
        <w:rPr>
          <w:rFonts w:ascii="Times New Roman" w:hAnsi="Times New Roman"/>
          <w:b/>
          <w:sz w:val="24"/>
        </w:rPr>
      </w:pPr>
      <w:r>
        <w:rPr>
          <w:rFonts w:ascii="Times New Roman" w:hAnsi="Times New Roman"/>
          <w:b/>
          <w:sz w:val="24"/>
        </w:rPr>
        <w:t xml:space="preserve">$1,000,000,000 5.900% Senior Notes due 2037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6"/>
        </w:rPr>
      </w:pPr>
      <w:r>
        <w:rPr>
          <w:rFonts w:ascii="Times New Roman" w:hAnsi="Times New Roman"/>
          <w:sz w:val="16"/>
        </w:rPr>
        <w:t xml:space="preserve">We are offering $1,250,000,000 aggregate principal amount of 5.100% Senior Notes due 2029 (the “2029 notes”), $1,250,000,000 aggregate principal amount of 5.400% Senior Notes due 2031 (the “2031 notes”), $1,500,000,000 aggregate principal amount of 5.600% Senior Notes due 2033 (the “2033 notes”) and $1,000,000,000 aggregate principal amount of 5.900% Senior Notes due 2037 (the “2037 notes” and, together with the 2029 notes, the 2031 notes and the 2033 notes, the “notes” and each, a “series” of notes). We refer to the offering of notes as the “Offering” in this prospectus supplement. </w:t>
      </w:r>
    </w:p>
    <w:p>
      <w:pPr>
        <w:pStyle w:val="TextBody"/>
        <w:bidi w:val="0"/>
        <w:spacing w:before="80" w:after="0"/>
        <w:jc w:val="left"/>
        <w:rPr>
          <w:rFonts w:ascii="Times New Roman" w:hAnsi="Times New Roman"/>
          <w:sz w:val="16"/>
        </w:rPr>
      </w:pPr>
      <w:r>
        <w:rPr>
          <w:rFonts w:ascii="Times New Roman" w:hAnsi="Times New Roman"/>
          <w:sz w:val="16"/>
        </w:rPr>
        <w:t>We intend to use the net proceeds of the Offering to repay our outstanding 4.900% First Lien Notes due 2026 (the “2026 Notes”) and any remaining proceeds for general corporate purposes, which may include the repayment of other debt. See “</w:t>
      </w:r>
      <w:r>
        <w:rPr>
          <w:rFonts w:ascii="Times New Roman" w:hAnsi="Times New Roman"/>
          <w:i/>
          <w:sz w:val="16"/>
        </w:rPr>
        <w:t>Use of Proceeds</w:t>
      </w:r>
      <w:r>
        <w:rPr>
          <w:rFonts w:ascii="Times New Roman" w:hAnsi="Times New Roman"/>
          <w:sz w:val="16"/>
        </w:rPr>
        <w:t xml:space="preserve">.” </w:t>
      </w:r>
    </w:p>
    <w:p>
      <w:pPr>
        <w:pStyle w:val="TextBody"/>
        <w:bidi w:val="0"/>
        <w:spacing w:before="80" w:after="0"/>
        <w:jc w:val="left"/>
        <w:rPr>
          <w:rFonts w:ascii="Times New Roman" w:hAnsi="Times New Roman"/>
          <w:sz w:val="16"/>
        </w:rPr>
      </w:pPr>
      <w:r>
        <w:rPr>
          <w:rFonts w:ascii="Times New Roman" w:hAnsi="Times New Roman"/>
          <w:sz w:val="16"/>
        </w:rPr>
        <w:t xml:space="preserve">The 2029 notes will mature on September 15, 2029. We will pay interest on the 2029 notes semi-annually in arrears on March 15 and September 15 of each year, commencing on March 15, 2027. The 2031 notes will mature on September 15, 2031. We will pay interest on the 2031 notes semi-annually in arrears on March 15 and September 15 of each year, commencing on March 15, 2027. The 2033 notes will mature on September 15, 2033. We will pay interest on the 2033 notes semi-annually in arrears on March 15 and September 15 of each year, commencing on March 15, 2027. The 2037 notes will mature on April 1, 2037. We will pay interest on the 2037 notes semi-annually in arrears on April 1 and October 1 of each year, commencing on April 1, 2027. </w:t>
      </w:r>
    </w:p>
    <w:p>
      <w:pPr>
        <w:pStyle w:val="TextBody"/>
        <w:bidi w:val="0"/>
        <w:spacing w:before="80" w:after="0"/>
        <w:jc w:val="left"/>
        <w:rPr>
          <w:rFonts w:ascii="Times New Roman" w:hAnsi="Times New Roman"/>
          <w:sz w:val="16"/>
        </w:rPr>
      </w:pPr>
      <w:r>
        <w:rPr>
          <w:rFonts w:ascii="Times New Roman" w:hAnsi="Times New Roman"/>
          <w:sz w:val="16"/>
        </w:rPr>
        <w:t xml:space="preserve">We may redeem some or all of the 2029 notes at any time prior to August 15, 2029 (the date that is one month prior to the maturity of the 2029 notes), the 2031 notes at any time prior to August 15, 2031 (the date that is one month prior to the maturity of the 2031 notes), the 2033 notes at any time prior to July 15, 2033 (the date that is two months prior to the maturity of the 2033 notes) and the 2037 notes at any time prior to January 1, 2037 (the date that is three months prior to the maturity of the 2037 notes), at a price equal to 100% of the principal amount of the notes redeemed, plus accrued and unpaid interest to, but not including, the redemption date, plus a “make-whole” premium, as described in this prospectus supplement. </w:t>
      </w:r>
    </w:p>
    <w:p>
      <w:pPr>
        <w:pStyle w:val="TextBody"/>
        <w:bidi w:val="0"/>
        <w:spacing w:before="80" w:after="0"/>
        <w:jc w:val="left"/>
        <w:rPr>
          <w:rFonts w:ascii="Times New Roman" w:hAnsi="Times New Roman"/>
          <w:sz w:val="16"/>
        </w:rPr>
      </w:pPr>
      <w:r>
        <w:rPr>
          <w:rFonts w:ascii="Times New Roman" w:hAnsi="Times New Roman"/>
          <w:sz w:val="16"/>
        </w:rPr>
        <w:t>On or after (i) August 15, 2029 (the date that is one month prior to the maturity of the 2029 notes), (ii) August 15, 2031 (the date that is one month prior to the maturity of the 2031 notes), (iii) July 15, 2033 (the date that is two months prior to the maturity of the 2033 notes), and (iv) January 1, 2037 (the date that is three months prior to the maturity of the 2037 notes), we may redeem some or all of such notes at a redemption price equal to 100% of the principal amount of the notes redeemed, plus accrued and unpaid interest to, but not including, the redemption date. See “</w:t>
      </w:r>
      <w:r>
        <w:rPr>
          <w:rFonts w:ascii="Times New Roman" w:hAnsi="Times New Roman"/>
          <w:i/>
          <w:sz w:val="16"/>
        </w:rPr>
        <w:t>Description of Notes—Optional Redemption</w:t>
      </w:r>
      <w:r>
        <w:rPr>
          <w:rFonts w:ascii="Times New Roman" w:hAnsi="Times New Roman"/>
          <w:sz w:val="16"/>
        </w:rPr>
        <w:t>.” Upon the occurrence of a Change of Control Triggering Event (as described herein), we may be required to offer to repurchase all of the notes then outstanding at 101% of the principal amount, plus any accrued and unpaid interest to, but not including, the repurchase date. See “</w:t>
      </w:r>
      <w:r>
        <w:rPr>
          <w:rFonts w:ascii="Times New Roman" w:hAnsi="Times New Roman"/>
          <w:i/>
          <w:sz w:val="16"/>
        </w:rPr>
        <w:t>Description of Notes—Change of Control Triggering Event</w:t>
      </w:r>
      <w:r>
        <w:rPr>
          <w:rFonts w:ascii="Times New Roman" w:hAnsi="Times New Roman"/>
          <w:sz w:val="16"/>
        </w:rPr>
        <w:t xml:space="preserve">.” </w:t>
      </w:r>
    </w:p>
    <w:p>
      <w:pPr>
        <w:pStyle w:val="TextBody"/>
        <w:bidi w:val="0"/>
        <w:spacing w:before="80" w:after="0"/>
        <w:jc w:val="left"/>
        <w:rPr>
          <w:rFonts w:ascii="Times New Roman" w:hAnsi="Times New Roman"/>
          <w:sz w:val="16"/>
        </w:rPr>
      </w:pPr>
      <w:r>
        <w:rPr>
          <w:rFonts w:ascii="Times New Roman" w:hAnsi="Times New Roman"/>
          <w:sz w:val="16"/>
        </w:rPr>
        <w:t>The notes offered hereby will rank equal in right of payment with all of the issuers’ existing and future senior indebtedness. For a more detailed discussion, see “</w:t>
      </w:r>
      <w:r>
        <w:rPr>
          <w:rFonts w:ascii="Times New Roman" w:hAnsi="Times New Roman"/>
          <w:i/>
          <w:sz w:val="16"/>
        </w:rPr>
        <w:t>Description of Notes.</w:t>
      </w:r>
      <w:r>
        <w:rPr>
          <w:rFonts w:ascii="Times New Roman" w:hAnsi="Times New Roman"/>
          <w:sz w:val="16"/>
        </w:rPr>
        <w:t xml:space="preserve">” </w:t>
      </w:r>
    </w:p>
    <w:p>
      <w:pPr>
        <w:pStyle w:val="TextBody"/>
        <w:bidi w:val="0"/>
        <w:spacing w:before="80" w:after="0"/>
        <w:jc w:val="left"/>
        <w:rPr>
          <w:rFonts w:ascii="Times New Roman" w:hAnsi="Times New Roman"/>
          <w:sz w:val="16"/>
        </w:rPr>
      </w:pPr>
      <w:r>
        <w:rPr>
          <w:rFonts w:ascii="Times New Roman" w:hAnsi="Times New Roman"/>
          <w:sz w:val="16"/>
        </w:rPr>
        <w:t>The notes will be guaranteed on a joint and several basis by Dell Technologies Inc., Denali Intermediate Inc. and Dell Inc. Such note guarantees will rank equal in right of payment with all existing and future senior indebtedness of such guarantors, including their guarantees of our obligations under our revolving credit facility and our existing notes, and senior in right of payment to all future subordinated indebtedness of such guarantors. The notes will not be guaranteed by any of the issuers’ subsidiaries. See “</w:t>
      </w:r>
      <w:r>
        <w:rPr>
          <w:rFonts w:ascii="Times New Roman" w:hAnsi="Times New Roman"/>
          <w:i/>
          <w:sz w:val="16"/>
        </w:rPr>
        <w:t>Description of Notes—Note Guarantees</w:t>
      </w:r>
      <w:r>
        <w:rPr>
          <w:rFonts w:ascii="Times New Roman" w:hAnsi="Times New Roman"/>
          <w:sz w:val="16"/>
        </w:rPr>
        <w:t xml:space="preserve">.” </w:t>
      </w:r>
    </w:p>
    <w:p>
      <w:pPr>
        <w:pStyle w:val="TextBody"/>
        <w:bidi w:val="0"/>
        <w:spacing w:before="80" w:after="0"/>
        <w:jc w:val="left"/>
        <w:rPr>
          <w:rFonts w:ascii="Times New Roman" w:hAnsi="Times New Roman"/>
          <w:sz w:val="16"/>
        </w:rPr>
      </w:pPr>
      <w:r>
        <w:rPr>
          <w:rFonts w:ascii="Times New Roman" w:hAnsi="Times New Roman"/>
          <w:sz w:val="16"/>
        </w:rPr>
        <w:t xml:space="preserve">The notes will not be listed on any stock exchange, and currently there are no public markets for the notes. </w:t>
      </w:r>
    </w:p>
    <w:p>
      <w:pPr>
        <w:pStyle w:val="TextBody"/>
        <w:bidi w:val="0"/>
        <w:spacing w:before="80" w:after="0"/>
        <w:jc w:val="left"/>
        <w:rPr/>
      </w:pPr>
      <w:r>
        <w:rPr>
          <w:rFonts w:ascii="Times New Roman" w:hAnsi="Times New Roman"/>
          <w:b/>
          <w:sz w:val="20"/>
        </w:rPr>
        <w:t>Investing in the notes involves risks. See “</w:t>
      </w:r>
      <w:hyperlink w:anchor="supptoc207421_9">
        <w:r>
          <w:rPr>
            <w:rStyle w:val="InternetLink"/>
            <w:rFonts w:ascii="Times New Roman" w:hAnsi="Times New Roman"/>
            <w:b/>
            <w:sz w:val="20"/>
          </w:rPr>
          <w:t>Risk Factors</w:t>
        </w:r>
      </w:hyperlink>
      <w:r>
        <w:rPr>
          <w:rFonts w:ascii="Times New Roman" w:hAnsi="Times New Roman"/>
          <w:b/>
          <w:sz w:val="20"/>
        </w:rPr>
        <w:t xml:space="preserve">” beginning on page S-12 of this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6"/>
        <w:gridCol w:w="129"/>
        <w:gridCol w:w="74"/>
        <w:gridCol w:w="849"/>
        <w:gridCol w:w="276"/>
        <w:gridCol w:w="70"/>
        <w:gridCol w:w="140"/>
        <w:gridCol w:w="1411"/>
        <w:gridCol w:w="60"/>
        <w:gridCol w:w="129"/>
        <w:gridCol w:w="89"/>
        <w:gridCol w:w="834"/>
        <w:gridCol w:w="276"/>
        <w:gridCol w:w="70"/>
        <w:gridCol w:w="140"/>
        <w:gridCol w:w="1111"/>
        <w:gridCol w:w="60"/>
        <w:gridCol w:w="128"/>
        <w:gridCol w:w="75"/>
        <w:gridCol w:w="848"/>
        <w:gridCol w:w="341"/>
        <w:gridCol w:w="84"/>
        <w:gridCol w:w="173"/>
        <w:gridCol w:w="1752"/>
        <w:gridCol w:w="70"/>
      </w:tblGrid>
      <w:tr>
        <w:trPr/>
        <w:tc>
          <w:tcPr>
            <w:tcW w:w="101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01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8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Public Offering Price(1)</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5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Underwriting Discount</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2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Proceeds to Us (before expenses)</w:t>
            </w:r>
          </w:p>
        </w:tc>
        <w:tc>
          <w:tcPr>
            <w:tcW w:w="70" w:type="dxa"/>
            <w:tcBorders/>
            <w:vAlign w:val="bottom"/>
          </w:tcPr>
          <w:p>
            <w:pPr>
              <w:pStyle w:val="TableContents"/>
              <w:bidi w:val="0"/>
              <w:spacing w:before="0" w:after="283"/>
              <w:jc w:val="left"/>
              <w:rPr/>
            </w:pPr>
            <w:r>
              <w:rPr/>
              <w:t> </w:t>
            </w:r>
          </w:p>
        </w:tc>
      </w:tr>
      <w:tr>
        <w:trPr/>
        <w:tc>
          <w:tcPr>
            <w:tcW w:w="101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Note</w:t>
            </w:r>
          </w:p>
        </w:tc>
        <w:tc>
          <w:tcPr>
            <w:tcW w:w="2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Note</w:t>
            </w:r>
          </w:p>
        </w:tc>
        <w:tc>
          <w:tcPr>
            <w:tcW w:w="2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Note</w:t>
            </w:r>
          </w:p>
        </w:tc>
        <w:tc>
          <w:tcPr>
            <w:tcW w:w="3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101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2029 Notes</w:t>
            </w:r>
          </w:p>
        </w:tc>
        <w:tc>
          <w:tcPr>
            <w:tcW w:w="12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99.953</w:t>
            </w:r>
          </w:p>
        </w:tc>
        <w:tc>
          <w:tcPr>
            <w:tcW w:w="2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1" w:type="dxa"/>
            <w:tcBorders/>
            <w:shd w:fill="CCEEFF" w:val="clear"/>
            <w:vAlign w:val="bottom"/>
          </w:tcPr>
          <w:p>
            <w:pPr>
              <w:pStyle w:val="TableContents"/>
              <w:bidi w:val="0"/>
              <w:spacing w:before="0" w:after="283"/>
              <w:jc w:val="right"/>
              <w:rPr/>
            </w:pPr>
            <w:r>
              <w:rPr/>
              <w:t>1,249,412,500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0.250</w:t>
            </w:r>
          </w:p>
        </w:tc>
        <w:tc>
          <w:tcPr>
            <w:tcW w:w="2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3,125,000</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99.703</w:t>
            </w:r>
          </w:p>
        </w:tc>
        <w:tc>
          <w:tcPr>
            <w:tcW w:w="3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752" w:type="dxa"/>
            <w:tcBorders/>
            <w:shd w:fill="CCEEFF" w:val="clear"/>
            <w:vAlign w:val="bottom"/>
          </w:tcPr>
          <w:p>
            <w:pPr>
              <w:pStyle w:val="TableContents"/>
              <w:bidi w:val="0"/>
              <w:spacing w:before="0" w:after="283"/>
              <w:jc w:val="right"/>
              <w:rPr/>
            </w:pPr>
            <w:r>
              <w:rPr/>
              <w:t>1,246,287,500</w:t>
            </w:r>
          </w:p>
        </w:tc>
        <w:tc>
          <w:tcPr>
            <w:tcW w:w="70" w:type="dxa"/>
            <w:tcBorders/>
            <w:shd w:fill="CCEEFF" w:val="clear"/>
            <w:vAlign w:val="bottom"/>
          </w:tcPr>
          <w:p>
            <w:pPr>
              <w:pStyle w:val="TableContents"/>
              <w:bidi w:val="0"/>
              <w:spacing w:before="0" w:after="283"/>
              <w:jc w:val="left"/>
              <w:rPr/>
            </w:pPr>
            <w:r>
              <w:rPr/>
              <w:t> </w:t>
            </w:r>
          </w:p>
        </w:tc>
      </w:tr>
      <w:tr>
        <w:trPr/>
        <w:tc>
          <w:tcPr>
            <w:tcW w:w="1016" w:type="dxa"/>
            <w:tcBorders/>
          </w:tcPr>
          <w:p>
            <w:pPr>
              <w:pStyle w:val="TableContents"/>
              <w:bidi w:val="0"/>
              <w:spacing w:before="0" w:after="0"/>
              <w:jc w:val="left"/>
              <w:rPr>
                <w:rFonts w:ascii="Times New Roman" w:hAnsi="Times New Roman"/>
                <w:sz w:val="16"/>
              </w:rPr>
            </w:pPr>
            <w:r>
              <w:rPr>
                <w:rFonts w:ascii="Times New Roman" w:hAnsi="Times New Roman"/>
                <w:sz w:val="16"/>
              </w:rPr>
              <w:t>2031 Notes</w:t>
            </w:r>
          </w:p>
        </w:tc>
        <w:tc>
          <w:tcPr>
            <w:tcW w:w="12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99.836</w:t>
            </w:r>
          </w:p>
        </w:tc>
        <w:tc>
          <w:tcPr>
            <w:tcW w:w="2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1" w:type="dxa"/>
            <w:tcBorders/>
            <w:vAlign w:val="bottom"/>
          </w:tcPr>
          <w:p>
            <w:pPr>
              <w:pStyle w:val="TableContents"/>
              <w:bidi w:val="0"/>
              <w:spacing w:before="0" w:after="283"/>
              <w:jc w:val="right"/>
              <w:rPr/>
            </w:pPr>
            <w:r>
              <w:rPr/>
              <w:t>1,247,950,000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0.400</w:t>
            </w:r>
          </w:p>
        </w:tc>
        <w:tc>
          <w:tcPr>
            <w:tcW w:w="2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99.436</w:t>
            </w:r>
          </w:p>
        </w:tc>
        <w:tc>
          <w:tcPr>
            <w:tcW w:w="3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752" w:type="dxa"/>
            <w:tcBorders/>
            <w:vAlign w:val="bottom"/>
          </w:tcPr>
          <w:p>
            <w:pPr>
              <w:pStyle w:val="TableContents"/>
              <w:bidi w:val="0"/>
              <w:spacing w:before="0" w:after="283"/>
              <w:jc w:val="right"/>
              <w:rPr/>
            </w:pPr>
            <w:r>
              <w:rPr/>
              <w:t>1,242,950,000</w:t>
            </w:r>
          </w:p>
        </w:tc>
        <w:tc>
          <w:tcPr>
            <w:tcW w:w="70" w:type="dxa"/>
            <w:tcBorders/>
            <w:vAlign w:val="bottom"/>
          </w:tcPr>
          <w:p>
            <w:pPr>
              <w:pStyle w:val="TableContents"/>
              <w:bidi w:val="0"/>
              <w:spacing w:before="0" w:after="283"/>
              <w:jc w:val="left"/>
              <w:rPr/>
            </w:pPr>
            <w:r>
              <w:rPr/>
              <w:t> </w:t>
            </w:r>
          </w:p>
        </w:tc>
      </w:tr>
      <w:tr>
        <w:trPr/>
        <w:tc>
          <w:tcPr>
            <w:tcW w:w="101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2033 Notes</w:t>
            </w:r>
          </w:p>
        </w:tc>
        <w:tc>
          <w:tcPr>
            <w:tcW w:w="12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99.475</w:t>
            </w:r>
          </w:p>
        </w:tc>
        <w:tc>
          <w:tcPr>
            <w:tcW w:w="2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1" w:type="dxa"/>
            <w:tcBorders/>
            <w:shd w:fill="CCEEFF" w:val="clear"/>
            <w:vAlign w:val="bottom"/>
          </w:tcPr>
          <w:p>
            <w:pPr>
              <w:pStyle w:val="TableContents"/>
              <w:bidi w:val="0"/>
              <w:spacing w:before="0" w:after="283"/>
              <w:jc w:val="right"/>
              <w:rPr/>
            </w:pPr>
            <w:r>
              <w:rPr/>
              <w:t>1,492,125,000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0.500</w:t>
            </w:r>
          </w:p>
        </w:tc>
        <w:tc>
          <w:tcPr>
            <w:tcW w:w="2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98.975</w:t>
            </w:r>
          </w:p>
        </w:tc>
        <w:tc>
          <w:tcPr>
            <w:tcW w:w="3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752" w:type="dxa"/>
            <w:tcBorders/>
            <w:shd w:fill="CCEEFF" w:val="clear"/>
            <w:vAlign w:val="bottom"/>
          </w:tcPr>
          <w:p>
            <w:pPr>
              <w:pStyle w:val="TableContents"/>
              <w:bidi w:val="0"/>
              <w:spacing w:before="0" w:after="283"/>
              <w:jc w:val="right"/>
              <w:rPr/>
            </w:pPr>
            <w:r>
              <w:rPr/>
              <w:t>1,484,625,000</w:t>
            </w:r>
          </w:p>
        </w:tc>
        <w:tc>
          <w:tcPr>
            <w:tcW w:w="70" w:type="dxa"/>
            <w:tcBorders/>
            <w:shd w:fill="CCEEFF" w:val="clear"/>
            <w:vAlign w:val="bottom"/>
          </w:tcPr>
          <w:p>
            <w:pPr>
              <w:pStyle w:val="TableContents"/>
              <w:bidi w:val="0"/>
              <w:spacing w:before="0" w:after="283"/>
              <w:jc w:val="left"/>
              <w:rPr/>
            </w:pPr>
            <w:r>
              <w:rPr/>
              <w:t> </w:t>
            </w:r>
          </w:p>
        </w:tc>
      </w:tr>
      <w:tr>
        <w:trPr/>
        <w:tc>
          <w:tcPr>
            <w:tcW w:w="1016" w:type="dxa"/>
            <w:tcBorders/>
          </w:tcPr>
          <w:p>
            <w:pPr>
              <w:pStyle w:val="TableContents"/>
              <w:bidi w:val="0"/>
              <w:spacing w:before="0" w:after="0"/>
              <w:jc w:val="left"/>
              <w:rPr>
                <w:rFonts w:ascii="Times New Roman" w:hAnsi="Times New Roman"/>
                <w:sz w:val="16"/>
              </w:rPr>
            </w:pPr>
            <w:r>
              <w:rPr>
                <w:rFonts w:ascii="Times New Roman" w:hAnsi="Times New Roman"/>
                <w:sz w:val="16"/>
              </w:rPr>
              <w:t>2037 Notes</w:t>
            </w:r>
          </w:p>
        </w:tc>
        <w:tc>
          <w:tcPr>
            <w:tcW w:w="12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99.694</w:t>
            </w:r>
          </w:p>
        </w:tc>
        <w:tc>
          <w:tcPr>
            <w:tcW w:w="2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1" w:type="dxa"/>
            <w:tcBorders/>
            <w:vAlign w:val="bottom"/>
          </w:tcPr>
          <w:p>
            <w:pPr>
              <w:pStyle w:val="TableContents"/>
              <w:bidi w:val="0"/>
              <w:spacing w:before="0" w:after="283"/>
              <w:jc w:val="right"/>
              <w:rPr/>
            </w:pPr>
            <w:r>
              <w:rPr/>
              <w:t>996,940,000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0.600</w:t>
            </w:r>
          </w:p>
        </w:tc>
        <w:tc>
          <w:tcPr>
            <w:tcW w:w="2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6,000,000</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99.094</w:t>
            </w:r>
          </w:p>
        </w:tc>
        <w:tc>
          <w:tcPr>
            <w:tcW w:w="3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752" w:type="dxa"/>
            <w:tcBorders/>
            <w:vAlign w:val="bottom"/>
          </w:tcPr>
          <w:p>
            <w:pPr>
              <w:pStyle w:val="TableContents"/>
              <w:bidi w:val="0"/>
              <w:spacing w:before="0" w:after="283"/>
              <w:jc w:val="right"/>
              <w:rPr/>
            </w:pPr>
            <w:r>
              <w:rPr/>
              <w:t>990,940,000</w:t>
            </w:r>
          </w:p>
        </w:tc>
        <w:tc>
          <w:tcPr>
            <w:tcW w:w="70" w:type="dxa"/>
            <w:tcBorders/>
            <w:vAlign w:val="bottom"/>
          </w:tcPr>
          <w:p>
            <w:pPr>
              <w:pStyle w:val="TableContents"/>
              <w:bidi w:val="0"/>
              <w:spacing w:before="0" w:after="283"/>
              <w:jc w:val="left"/>
              <w:rPr/>
            </w:pPr>
            <w:r>
              <w:rPr/>
              <w:t> </w:t>
            </w:r>
          </w:p>
        </w:tc>
      </w:tr>
      <w:tr>
        <w:trPr/>
        <w:tc>
          <w:tcPr>
            <w:tcW w:w="1016"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849"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848"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75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01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Combined Total</w:t>
            </w:r>
          </w:p>
        </w:tc>
        <w:tc>
          <w:tcPr>
            <w:tcW w:w="12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849"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1" w:type="dxa"/>
            <w:tcBorders/>
            <w:shd w:fill="CCEEFF" w:val="clear"/>
            <w:vAlign w:val="bottom"/>
          </w:tcPr>
          <w:p>
            <w:pPr>
              <w:pStyle w:val="TableContents"/>
              <w:bidi w:val="0"/>
              <w:spacing w:before="0" w:after="283"/>
              <w:jc w:val="right"/>
              <w:rPr/>
            </w:pPr>
            <w:r>
              <w:rPr/>
              <w:t>4,986,427,500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21,625,000</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752" w:type="dxa"/>
            <w:tcBorders/>
            <w:shd w:fill="CCEEFF" w:val="clear"/>
            <w:vAlign w:val="bottom"/>
          </w:tcPr>
          <w:p>
            <w:pPr>
              <w:pStyle w:val="TableContents"/>
              <w:bidi w:val="0"/>
              <w:spacing w:before="0" w:after="283"/>
              <w:jc w:val="right"/>
              <w:rPr/>
            </w:pPr>
            <w:r>
              <w:rPr/>
              <w:t>4,964,802,500</w:t>
            </w:r>
          </w:p>
        </w:tc>
        <w:tc>
          <w:tcPr>
            <w:tcW w:w="70" w:type="dxa"/>
            <w:tcBorders/>
            <w:shd w:fill="CCEEFF" w:val="clear"/>
            <w:vAlign w:val="bottom"/>
          </w:tcPr>
          <w:p>
            <w:pPr>
              <w:pStyle w:val="TableContents"/>
              <w:bidi w:val="0"/>
              <w:spacing w:before="0" w:after="283"/>
              <w:jc w:val="left"/>
              <w:rPr/>
            </w:pPr>
            <w:r>
              <w:rPr/>
              <w:t> </w:t>
            </w:r>
          </w:p>
        </w:tc>
      </w:tr>
      <w:tr>
        <w:trPr/>
        <w:tc>
          <w:tcPr>
            <w:tcW w:w="1016"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849"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848"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75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if any, from September 15, 2026 to the date of delivery. </w:t>
            </w:r>
          </w:p>
        </w:tc>
      </w:tr>
    </w:tbl>
    <w:p>
      <w:pPr>
        <w:pStyle w:val="TextBody"/>
        <w:bidi w:val="0"/>
        <w:spacing w:before="80" w:after="0"/>
        <w:jc w:val="left"/>
        <w:rPr>
          <w:rFonts w:ascii="Times New Roman" w:hAnsi="Times New Roman"/>
          <w:b/>
          <w:sz w:val="16"/>
        </w:rPr>
      </w:pPr>
      <w:r>
        <w:rPr>
          <w:rFonts w:ascii="Times New Roman" w:hAnsi="Times New Roman"/>
          <w:b/>
          <w:sz w:val="16"/>
        </w:rPr>
        <w:t xml:space="preserve">The underwriters expect to deliver the notes to investors only in book-entry form through the facilities of The Depository Trust Company for the account of its participants including Euroclear Bank, SA/NV and Clearstream Banking S.A., on or about September 15, 2026. </w:t>
      </w:r>
    </w:p>
    <w:p>
      <w:pPr>
        <w:pStyle w:val="TextBody"/>
        <w:bidi w:val="0"/>
        <w:spacing w:before="8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Barclays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Citigroup</w:t>
            </w:r>
          </w:p>
        </w:tc>
      </w:tr>
      <w:tr>
        <w:trPr/>
        <w:tc>
          <w:tcPr>
            <w:tcW w:w="3367" w:type="dxa"/>
            <w:tcBorders/>
          </w:tcPr>
          <w:p>
            <w:pPr>
              <w:pStyle w:val="TableContents"/>
              <w:bidi w:val="0"/>
              <w:spacing w:before="0" w:after="283"/>
              <w:jc w:val="left"/>
              <w:rPr>
                <w:b/>
              </w:rPr>
            </w:pPr>
            <w:r>
              <w:rPr>
                <w:b/>
              </w:rPr>
              <w:t>Goldman Sachs &amp; Co. LLC</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HSBC</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J.P. Morgan</w:t>
            </w:r>
          </w:p>
        </w:tc>
      </w:tr>
      <w:tr>
        <w:trPr/>
        <w:tc>
          <w:tcPr>
            <w:tcW w:w="3367" w:type="dxa"/>
            <w:tcBorders/>
          </w:tcPr>
          <w:p>
            <w:pPr>
              <w:pStyle w:val="TableContents"/>
              <w:bidi w:val="0"/>
              <w:spacing w:before="0" w:after="283"/>
              <w:jc w:val="left"/>
              <w:rPr>
                <w:b/>
              </w:rPr>
            </w:pPr>
            <w:r>
              <w:rPr>
                <w:b/>
              </w:rPr>
              <w:t>TD Securities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Wells Fargo Securities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BNP PARIBAS</w:t>
            </w:r>
          </w:p>
        </w:tc>
      </w:tr>
    </w:tbl>
    <w:tbl>
      <w:tblPr>
        <w:tblW w:w="5000" w:type="pct"/>
        <w:jc w:val="left"/>
        <w:tblInd w:w="0" w:type="dxa"/>
        <w:tblLayout w:type="fixed"/>
        <w:tblCellMar>
          <w:top w:w="0" w:type="dxa"/>
          <w:left w:w="0" w:type="dxa"/>
          <w:bottom w:w="0" w:type="dxa"/>
          <w:right w:w="0" w:type="dxa"/>
        </w:tblCellMar>
      </w:tblPr>
      <w:tblGrid>
        <w:gridCol w:w="3368"/>
        <w:gridCol w:w="101"/>
        <w:gridCol w:w="3368"/>
        <w:gridCol w:w="102"/>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3368"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Deutsche Bank Securities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Mizuho</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Morgan Stanley</w:t>
            </w:r>
          </w:p>
        </w:tc>
      </w:tr>
    </w:tbl>
    <w:tbl>
      <w:tblPr>
        <w:tblW w:w="5000" w:type="pct"/>
        <w:jc w:val="left"/>
        <w:tblInd w:w="0" w:type="dxa"/>
        <w:tblLayout w:type="fixed"/>
        <w:tblCellMar>
          <w:top w:w="0" w:type="dxa"/>
          <w:left w:w="0" w:type="dxa"/>
          <w:bottom w:w="0" w:type="dxa"/>
          <w:right w:w="0" w:type="dxa"/>
        </w:tblCellMar>
      </w:tblPr>
      <w:tblGrid>
        <w:gridCol w:w="3368"/>
        <w:gridCol w:w="101"/>
        <w:gridCol w:w="3368"/>
        <w:gridCol w:w="102"/>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MUFG</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PNC Capital Markets LLC</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RBC Capital Markets</w:t>
            </w:r>
          </w:p>
        </w:tc>
      </w:tr>
      <w:tr>
        <w:trPr/>
        <w:tc>
          <w:tcPr>
            <w:tcW w:w="3368" w:type="dxa"/>
            <w:tcBorders/>
          </w:tcPr>
          <w:p>
            <w:pPr>
              <w:pStyle w:val="TableContents"/>
              <w:bidi w:val="0"/>
              <w:spacing w:before="0" w:after="283"/>
              <w:jc w:val="left"/>
              <w:rPr>
                <w:b/>
              </w:rPr>
            </w:pPr>
            <w:r>
              <w:rPr>
                <w:b/>
              </w:rPr>
              <w:t>Scotiabank</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SOCIETE GENERALE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UBS Investment Bank</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1"/>
        <w:gridCol w:w="3368"/>
        <w:gridCol w:w="101"/>
        <w:gridCol w:w="3267"/>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BNY Capital Markets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ING</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Santander</w:t>
            </w:r>
          </w:p>
        </w:tc>
      </w:tr>
      <w:tr>
        <w:trPr/>
        <w:tc>
          <w:tcPr>
            <w:tcW w:w="3368" w:type="dxa"/>
            <w:tcBorders/>
          </w:tcPr>
          <w:p>
            <w:pPr>
              <w:pStyle w:val="TableContents"/>
              <w:bidi w:val="0"/>
              <w:spacing w:before="0" w:after="283"/>
              <w:jc w:val="left"/>
              <w:rPr>
                <w:b/>
              </w:rPr>
            </w:pPr>
            <w:r>
              <w:rPr>
                <w:b/>
              </w:rPr>
              <w:t>SMBC Nikko</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Standard Chartered Bank</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Truist Securities</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Co-Syndicate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Blaylock Van, LLC</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Ramirez &amp; Co., Inc.</w:t>
            </w:r>
          </w:p>
        </w:tc>
      </w:tr>
    </w:tbl>
    <w:p>
      <w:pPr>
        <w:pStyle w:val="TextBody"/>
        <w:bidi w:val="0"/>
        <w:spacing w:before="80" w:after="0"/>
        <w:jc w:val="center"/>
        <w:rPr>
          <w:rFonts w:ascii="Times New Roman" w:hAnsi="Times New Roman"/>
          <w:b/>
          <w:sz w:val="18"/>
        </w:rPr>
      </w:pPr>
      <w:r>
        <w:rPr>
          <w:rFonts w:ascii="Times New Roman" w:hAnsi="Times New Roman"/>
          <w:b/>
          <w:sz w:val="18"/>
        </w:rPr>
        <w:t xml:space="preserve">The date of this prospectus supplement is September 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16"/>
        </w:rPr>
      </w:pPr>
      <w:r>
        <w:rPr>
          <w:rFonts w:ascii="Times New Roman" w:hAnsi="Times New Roman"/>
          <w:b/>
          <w:sz w:val="16"/>
        </w:rPr>
        <w:t xml:space="preserve">Neither we nor the underwriters have authorized anyone to provide any information or make any representations other than those contained or incorporated by reference in this prospectus supplement, the accompanying prospectus or in any free writing prospectus. We and the underwriters have not authorized anyone to provide you with different information. We are not making an offer of these securities in any jurisdiction where the offer is not permitted. </w:t>
      </w:r>
    </w:p>
    <w:p>
      <w:pPr>
        <w:pStyle w:val="TextBody"/>
        <w:bidi w:val="0"/>
        <w:spacing w:before="80" w:after="0"/>
        <w:jc w:val="left"/>
        <w:rPr>
          <w:rFonts w:ascii="Times New Roman" w:hAnsi="Times New Roman"/>
          <w:b/>
          <w:sz w:val="16"/>
        </w:rPr>
      </w:pPr>
      <w:r>
        <w:rPr>
          <w:rFonts w:ascii="Times New Roman" w:hAnsi="Times New Roman"/>
          <w:b/>
          <w:sz w:val="16"/>
        </w:rPr>
        <w:t xml:space="preserve">You should not assume that the information contained or incorporated by reference in this prospectus supplement, the accompanying prospectus or in any free writing prospectus is accurate as of any date other than the date of the applicable document. Since the respective dates of this prospectus supplement, the accompanying prospectus and the documents incorporated by reference into this prospectus supplement, our business, financial condition, results of operations and prospects may have changed.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1">
              <w:r>
                <w:rPr>
                  <w:rStyle w:val="InternetLink"/>
                  <w:rFonts w:ascii="Times New Roman" w:hAnsi="Times New Roman"/>
                  <w:sz w:val="20"/>
                </w:rPr>
                <w:t>Cautionary 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2">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3">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4">
              <w:r>
                <w:rPr>
                  <w:rStyle w:val="InternetLink"/>
                  <w:rFonts w:ascii="Times New Roman" w:hAnsi="Times New Roman"/>
                  <w:sz w:val="20"/>
                </w:rPr>
                <w:t>Incorporation of Certain Information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5">
              <w:r>
                <w:rPr>
                  <w:rStyle w:val="InternetLink"/>
                  <w:rFonts w:ascii="Times New Roman" w:hAnsi="Times New Roman"/>
                  <w:sz w:val="20"/>
                </w:rPr>
                <w:t>Industry and Market Data</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6">
              <w:r>
                <w:rPr>
                  <w:rStyle w:val="InternetLink"/>
                  <w:rFonts w:ascii="Times New Roman" w:hAnsi="Times New Roman"/>
                  <w:sz w:val="20"/>
                </w:rPr>
                <w:t>Trademarks and Other Intellectual Property Rights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7">
              <w:r>
                <w:rPr>
                  <w:rStyle w:val="InternetLink"/>
                  <w:rFonts w:ascii="Times New Roman" w:hAnsi="Times New Roman"/>
                  <w:sz w:val="20"/>
                </w:rPr>
                <w:t>Basis of Presentation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8">
              <w:r>
                <w:rPr>
                  <w:rStyle w:val="InternetLink"/>
                  <w:rFonts w:ascii="Times New Roman" w:hAnsi="Times New Roman"/>
                  <w:sz w:val="20"/>
                </w:rPr>
                <w:t>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9">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10">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11">
              <w:r>
                <w:rPr>
                  <w:rStyle w:val="InternetLink"/>
                  <w:rFonts w:ascii="Times New Roman" w:hAnsi="Times New Roman"/>
                  <w:sz w:val="20"/>
                </w:rPr>
                <w:t>Capitalization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12">
              <w:r>
                <w:rPr>
                  <w:rStyle w:val="InternetLink"/>
                  <w:rFonts w:ascii="Times New Roman" w:hAnsi="Times New Roman"/>
                  <w:sz w:val="20"/>
                </w:rPr>
                <w:t>Description of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13">
              <w:r>
                <w:rPr>
                  <w:rStyle w:val="InternetLink"/>
                  <w:rFonts w:ascii="Times New Roman" w:hAnsi="Times New Roman"/>
                  <w:sz w:val="20"/>
                </w:rPr>
                <w:t>Book Entry; Delivery and Form</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14">
              <w:r>
                <w:rPr>
                  <w:rStyle w:val="InternetLink"/>
                  <w:rFonts w:ascii="Times New Roman" w:hAnsi="Times New Roman"/>
                  <w:sz w:val="20"/>
                </w:rPr>
                <w:t>Certain United States Federal Income Tax Consequences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15">
              <w:r>
                <w:rPr>
                  <w:rStyle w:val="InternetLink"/>
                  <w:rFonts w:ascii="Times New Roman" w:hAnsi="Times New Roman"/>
                  <w:sz w:val="20"/>
                </w:rPr>
                <w:t>Certain ERISA Considerations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16">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17">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207421_18">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S-54</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2">
              <w:r>
                <w:rPr>
                  <w:rStyle w:val="InternetLink"/>
                  <w:rFonts w:ascii="Times New Roman" w:hAnsi="Times New Roman"/>
                  <w:sz w:val="20"/>
                </w:rPr>
                <w:t>Cautionary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3">
              <w:r>
                <w:rPr>
                  <w:rStyle w:val="InternetLink"/>
                  <w:rFonts w:ascii="Times New Roman" w:hAnsi="Times New Roman"/>
                  <w:sz w:val="20"/>
                </w:rPr>
                <w:t>Industry and Market Data</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4">
              <w:r>
                <w:rPr>
                  <w:rStyle w:val="InternetLink"/>
                  <w:rFonts w:ascii="Times New Roman" w:hAnsi="Times New Roman"/>
                  <w:sz w:val="20"/>
                </w:rPr>
                <w:t>Trademarks and Other Intellectual Property Rights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5">
              <w:r>
                <w:rPr>
                  <w:rStyle w:val="InternetLink"/>
                  <w:rFonts w:ascii="Times New Roman" w:hAnsi="Times New Roman"/>
                  <w:sz w:val="20"/>
                </w:rPr>
                <w:t>Basis of Presentation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6">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7">
              <w:r>
                <w:rPr>
                  <w:rStyle w:val="InternetLink"/>
                  <w:rFonts w:ascii="Times New Roman" w:hAnsi="Times New Roman"/>
                  <w:sz w:val="20"/>
                </w:rPr>
                <w:t>Incorporation of Certain Information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8">
              <w:r>
                <w:rPr>
                  <w:rStyle w:val="InternetLink"/>
                  <w:rFonts w:ascii="Times New Roman" w:hAnsi="Times New Roman"/>
                  <w:sz w:val="20"/>
                </w:rPr>
                <w:t>Dell Technologies Inc.</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9">
              <w:r>
                <w:rPr>
                  <w:rStyle w:val="InternetLink"/>
                  <w:rFonts w:ascii="Times New Roman" w:hAnsi="Times New Roman"/>
                  <w:sz w:val="20"/>
                </w:rPr>
                <w:t>Dell International L.L.C., EMC Corporation and the Additional Registrant Guarantors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0">
              <w:r>
                <w:rPr>
                  <w:rStyle w:val="InternetLink"/>
                  <w:rFonts w:ascii="Times New Roman" w:hAnsi="Times New Roman"/>
                  <w:sz w:val="20"/>
                </w:rPr>
                <w:t>Corporate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1">
              <w:r>
                <w:rPr>
                  <w:rStyle w:val="InternetLink"/>
                  <w:rFonts w:ascii="Times New Roman" w:hAnsi="Times New Roman"/>
                  <w:sz w:val="20"/>
                </w:rPr>
                <w:t xml:space="preserve">Recent Developments </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2">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3">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4">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5">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6">
              <w:r>
                <w:rPr>
                  <w:rStyle w:val="InternetLink"/>
                  <w:rFonts w:ascii="Times New Roman" w:hAnsi="Times New Roman"/>
                  <w:sz w:val="20"/>
                </w:rPr>
                <w:t>Validity of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7">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207421_1"/>
      <w:bookmarkEnd w:id="3"/>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and the documents incorporated by reference herein and therein contain “forward-looking statements” within the meaning of Section 27A of the Securities Act of 1933, as amended (the “Securities Act”), and Section 21E of the Securities Exchange Act of 1934, as amended (the “Exchange Act”). The words “may,” “will,” “anticipate,” “estimate,” “expect,” “intend,” “plan,” “aim,” “seek,”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in our Annual Report (the “Annual Report”) on Form 10-K for the fiscal year ended January 30, 2026, in this prospectus supplement and the accompanying prospectus and in our other periodic and current reports filed with the Securities and Exchange Commission (the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These statements regarding future events or our future performance or results inherently are subject to a variety of risks, contingencies and other uncertainties that could cause actual results, performance or achievements to differ materially from those described in or implied by the forward-looking statements. The risks, contingencies and other uncertainties that could cause our business and actual results of operations, financial condition and prospects to differ materially from our expectations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global economic conditions and instability in financial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operating results of our business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our product and component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single-source or limited-source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demands for artificial intelligence (“AI”)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of our AI solutions and use of AI in our internal functions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deliver high-quality products, software, and services, or to manage solutions and product and services transitions in an effective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successfully implement our cost efficiency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incidents, including cyber-attacks;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foreign operations and ability to generate substantial non-U.S. net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service, customer, and geographic sales mix and seasonal sales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our sales channel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acquisitions and dispositions we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the capital markets by us or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weak economic conditions, changing customer mix, and additional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counterparty default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impairments to our goodwill or intangible assets;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or reduction of services or rates under, any services contracts with our customers, including government contracts, and our ability to perform such contracts at our estimated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protect our proprietary intellectual property or obtain licenses to intellectual property developed by others on commercially reasonable and competitive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infrastructure disruptions, including disruptions to our information technology and manufacturing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hedge our exposure to fluctuations in foreign currency exchange rates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legislative or regulatory tax changes, expiration of tax holidays or favorable tax rate structures, or unfavorable outcomes in tax audits and other tax compliance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declines in fair value or impairment of portfolio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results of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and varied stakeholder expectations and regulatory requirements with respect to sustainability and environmental, social, and governance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climate-related risks and legal, regulatory, or market measures related to climate;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changing environmental and safety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requirements of anti-corruption laws, economic sanctions and other trade laws, human rights laws and other laws regulating our international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the services of our Chief Executive Officer and our loss of, or inability to continue to attract, retain and motivate, executive talent and other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level of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other factors discussed under “</w:t>
            </w:r>
            <w:r>
              <w:rPr>
                <w:rFonts w:ascii="Times New Roman" w:hAnsi="Times New Roman"/>
                <w:i/>
                <w:sz w:val="20"/>
              </w:rPr>
              <w:t>Risk Factors</w:t>
            </w:r>
            <w:r>
              <w:rPr>
                <w:rFonts w:ascii="Times New Roman" w:hAnsi="Times New Roman"/>
                <w:sz w:val="20"/>
              </w:rPr>
              <w:t xml:space="preserve">” and elsewhere included in or incorporated by reference into this prospectus supplement and the accompanying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these risks, contingencies and other uncertainties, you are cautioned not to place undue reliance on these forward-looking statements, which speak only as of the date made. All subsequent written or oral forward-looking statements attributable to us or any person acting on our behalf are expressly qualified in their entirety by the cautionary statements contained or referred to in this section. While we may elect to update forward-looking statements in the future, we specifically disclaim any obligation to do so, even if our expectations change or if new events, circumstances or information arises, and investors should not rely on those forward-looking statements as representing our views as of any date subsequent to the date of this prospectus supplement, except as may be required under applicable federal securities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207421_2"/>
      <w:bookmarkEnd w:id="4"/>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has two parts. The first part consists of this prospectus supplement, which describes the specific terms of this Offering and the notes offered. The second part is the accompanying prospectus dated June 11, 2026. 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Before purchasing any notes, you should carefully read both this prospectus supplement and the accompanying prospectus, together with the additional information described under the heading “Incorporation of Certain Information by Reference” below. </w:t>
      </w:r>
    </w:p>
    <w:p>
      <w:pPr>
        <w:pStyle w:val="TextBody"/>
        <w:bidi w:val="0"/>
        <w:spacing w:before="480" w:after="0"/>
        <w:jc w:val="center"/>
        <w:rPr>
          <w:rFonts w:ascii="Times New Roman" w:hAnsi="Times New Roman"/>
          <w:b/>
          <w:sz w:val="20"/>
        </w:rPr>
      </w:pPr>
      <w:bookmarkStart w:id="5" w:name="supptoc207421_3"/>
      <w:bookmarkEnd w:id="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filings with the SEC, including the filings that are incorporated by reference into this prospectus supplement or the accompanying prospectus, are available to the public on the SEC’s website at </w:t>
      </w:r>
      <w:r>
        <w:rPr>
          <w:rFonts w:ascii="Times New Roman" w:hAnsi="Times New Roman"/>
          <w:i/>
          <w:sz w:val="20"/>
        </w:rPr>
        <w:t>www.sec.gov</w:t>
      </w:r>
      <w:r>
        <w:rPr>
          <w:rFonts w:ascii="Times New Roman" w:hAnsi="Times New Roman"/>
          <w:sz w:val="20"/>
        </w:rPr>
        <w:t xml:space="preserve">. Investors also may consult our website for more information. Our website is </w:t>
      </w:r>
      <w:r>
        <w:rPr>
          <w:rFonts w:ascii="Times New Roman" w:hAnsi="Times New Roman"/>
          <w:i/>
          <w:sz w:val="20"/>
        </w:rPr>
        <w:t xml:space="preserve">www.dell.com </w:t>
      </w:r>
      <w:r>
        <w:rPr>
          <w:rFonts w:ascii="Times New Roman" w:hAnsi="Times New Roman"/>
          <w:sz w:val="20"/>
        </w:rPr>
        <w:t xml:space="preserve">and the Investors page of our website is </w:t>
      </w:r>
      <w:r>
        <w:rPr>
          <w:rFonts w:ascii="Times New Roman" w:hAnsi="Times New Roman"/>
          <w:i/>
          <w:sz w:val="20"/>
        </w:rPr>
        <w:t>https://investors.delltechnologies.com</w:t>
      </w:r>
      <w:r>
        <w:rPr>
          <w:rFonts w:ascii="Times New Roman" w:hAnsi="Times New Roman"/>
          <w:sz w:val="20"/>
        </w:rPr>
        <w:t xml:space="preserve">. The information contained in, or that may be accessed through, our website is not incorporated by reference into this prospectus supplement or the accompanying prospectus. </w:t>
      </w:r>
    </w:p>
    <w:p>
      <w:pPr>
        <w:pStyle w:val="TextBody"/>
        <w:bidi w:val="0"/>
        <w:spacing w:before="480" w:after="0"/>
        <w:jc w:val="center"/>
        <w:rPr>
          <w:rFonts w:ascii="Times New Roman" w:hAnsi="Times New Roman"/>
          <w:b/>
          <w:sz w:val="20"/>
        </w:rPr>
      </w:pPr>
      <w:bookmarkStart w:id="6" w:name="supptoc207421_4"/>
      <w:bookmarkEnd w:id="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disclose important information to you by referring you to documents that we have previously filed with the SEC or documents that we will file with the SEC in the future. The information incorporated by reference is considered to be part of this prospectus supplement and the accompanying prospectus, and later information that we file with the SEC will automatically update and supersede this information. We incorporate by reference the documents listed below (other than documents or information deemed to have been furnished and not filed in accordance with SEC rules, unless otherwise expressly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Dell Technologies’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January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Dell Technologies’ Quarterly Report on Form 10-Q for the quarterly periods ended </w:t>
            </w:r>
            <w:hyperlink r:id="rId4">
              <w:r>
                <w:rPr>
                  <w:rStyle w:val="InternetLink"/>
                  <w:rFonts w:ascii="Times New Roman" w:hAnsi="Times New Roman"/>
                  <w:sz w:val="20"/>
                </w:rPr>
                <w:t>May  1, 2026</w:t>
              </w:r>
            </w:hyperlink>
            <w:r>
              <w:rPr>
                <w:rFonts w:ascii="Times New Roman" w:hAnsi="Times New Roman"/>
                <w:sz w:val="20"/>
              </w:rPr>
              <w:t xml:space="preserve"> and </w:t>
            </w:r>
            <w:hyperlink r:id="rId5">
              <w:r>
                <w:rPr>
                  <w:rStyle w:val="InternetLink"/>
                  <w:rFonts w:ascii="Times New Roman" w:hAnsi="Times New Roman"/>
                  <w:sz w:val="20"/>
                </w:rPr>
                <w:t>July 31,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Those portions of our </w:t>
            </w:r>
            <w:hyperlink r:id="rId6">
              <w:r>
                <w:rPr>
                  <w:rStyle w:val="InternetLink"/>
                  <w:rFonts w:ascii="Times New Roman" w:hAnsi="Times New Roman"/>
                  <w:sz w:val="20"/>
                </w:rPr>
                <w:t>Proxy Statement</w:t>
              </w:r>
            </w:hyperlink>
            <w:r>
              <w:rPr>
                <w:rFonts w:ascii="Times New Roman" w:hAnsi="Times New Roman"/>
                <w:sz w:val="20"/>
              </w:rPr>
              <w:t xml:space="preserve"> for our 2026 Annual Meeting of Shareholders filed on May  15, 2026 that are incorporated by reference into Dell Technologies’ Annual Report on </w:t>
            </w:r>
            <w:hyperlink r:id="rId7">
              <w:r>
                <w:rPr>
                  <w:rStyle w:val="InternetLink"/>
                  <w:rFonts w:ascii="Times New Roman" w:hAnsi="Times New Roman"/>
                  <w:sz w:val="20"/>
                </w:rPr>
                <w:t>Form 10-K</w:t>
              </w:r>
            </w:hyperlink>
            <w:r>
              <w:rPr>
                <w:rFonts w:ascii="Times New Roman" w:hAnsi="Times New Roman"/>
                <w:sz w:val="20"/>
              </w:rPr>
              <w:t xml:space="preserve"> for the fiscal year ended January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Dell Technologies’ Current Reports on Form 8-K filed with the SEC on </w:t>
            </w:r>
            <w:hyperlink r:id="rId8">
              <w:r>
                <w:rPr>
                  <w:rStyle w:val="InternetLink"/>
                  <w:rFonts w:ascii="Times New Roman" w:hAnsi="Times New Roman"/>
                  <w:sz w:val="20"/>
                </w:rPr>
                <w:t>April  20, 2026</w:t>
              </w:r>
            </w:hyperlink>
            <w:r>
              <w:rPr>
                <w:rFonts w:ascii="Times New Roman" w:hAnsi="Times New Roman"/>
                <w:sz w:val="20"/>
              </w:rPr>
              <w:t xml:space="preserve">, </w:t>
            </w:r>
            <w:hyperlink r:id="rId9">
              <w:r>
                <w:rPr>
                  <w:rStyle w:val="InternetLink"/>
                  <w:rFonts w:ascii="Times New Roman" w:hAnsi="Times New Roman"/>
                  <w:sz w:val="20"/>
                </w:rPr>
                <w:t>June  10, 2026</w:t>
              </w:r>
            </w:hyperlink>
            <w:r>
              <w:rPr>
                <w:rFonts w:ascii="Times New Roman" w:hAnsi="Times New Roman"/>
                <w:sz w:val="20"/>
              </w:rPr>
              <w:t xml:space="preserve">, </w:t>
            </w:r>
            <w:hyperlink r:id="rId10">
              <w:r>
                <w:rPr>
                  <w:rStyle w:val="InternetLink"/>
                  <w:rFonts w:ascii="Times New Roman" w:hAnsi="Times New Roman"/>
                  <w:sz w:val="20"/>
                </w:rPr>
                <w:t>June  12, 2026</w:t>
              </w:r>
            </w:hyperlink>
            <w:r>
              <w:rPr>
                <w:rFonts w:ascii="Times New Roman" w:hAnsi="Times New Roman"/>
                <w:sz w:val="20"/>
              </w:rPr>
              <w:t xml:space="preserve">, </w:t>
            </w:r>
            <w:hyperlink r:id="rId11">
              <w:r>
                <w:rPr>
                  <w:rStyle w:val="InternetLink"/>
                  <w:rFonts w:ascii="Times New Roman" w:hAnsi="Times New Roman"/>
                  <w:sz w:val="20"/>
                </w:rPr>
                <w:t>June  16, 2026</w:t>
              </w:r>
            </w:hyperlink>
            <w:r>
              <w:rPr>
                <w:rFonts w:ascii="Times New Roman" w:hAnsi="Times New Roman"/>
                <w:sz w:val="20"/>
              </w:rPr>
              <w:t xml:space="preserve">, </w:t>
            </w:r>
            <w:hyperlink r:id="rId12">
              <w:r>
                <w:rPr>
                  <w:rStyle w:val="InternetLink"/>
                  <w:rFonts w:ascii="Times New Roman" w:hAnsi="Times New Roman"/>
                  <w:sz w:val="20"/>
                </w:rPr>
                <w:t>June  17, 2026</w:t>
              </w:r>
            </w:hyperlink>
            <w:r>
              <w:rPr>
                <w:rFonts w:ascii="Times New Roman" w:hAnsi="Times New Roman"/>
                <w:sz w:val="20"/>
              </w:rPr>
              <w:t xml:space="preserve">, </w:t>
            </w:r>
            <w:hyperlink r:id="rId13">
              <w:r>
                <w:rPr>
                  <w:rStyle w:val="InternetLink"/>
                  <w:rFonts w:ascii="Times New Roman" w:hAnsi="Times New Roman"/>
                  <w:sz w:val="20"/>
                </w:rPr>
                <w:t>July  1, 2026</w:t>
              </w:r>
            </w:hyperlink>
            <w:r>
              <w:rPr>
                <w:rFonts w:ascii="Times New Roman" w:hAnsi="Times New Roman"/>
                <w:sz w:val="20"/>
              </w:rPr>
              <w:t xml:space="preserve"> and </w:t>
            </w:r>
            <w:hyperlink r:id="rId14">
              <w:r>
                <w:rPr>
                  <w:rStyle w:val="InternetLink"/>
                  <w:rFonts w:ascii="Times New Roman" w:hAnsi="Times New Roman"/>
                  <w:sz w:val="20"/>
                </w:rPr>
                <w:t>July 6,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all documents that we subsequently file with the SEC pursuant to Section 13(a), 13(c), 14 or 15(d) of the Exchange Act on or after the date of this prospectus supplement and prior to the termination of the Offering of the notes hereunder. Nothing in this prospectus supplement or the accompanying prospectus shall be deemed to incorporate information furnished but not filed with the SEC, unless specifically noted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the accompanying prospectus or in a document incorporated by reference into this prospectus supplement or the accompanying prospectus will be deemed to be modified or superseded for purposes of this prospectus supplement to the extent that a statement contained in this prospectus supplement or in any other subsequently filed document that also is incorporated by reference modifies or supersedes that statement. Any statement so modified or superseded will not be deemed, except as so modified or superseded, to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copy of the filings incorporated herein by reference, including exhibits to such documents that are specifically incorporated by reference, at no cost, by writing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Dell Technologies Inc. </w:t>
      </w:r>
    </w:p>
    <w:p>
      <w:pPr>
        <w:pStyle w:val="TextBody"/>
        <w:bidi w:val="0"/>
        <w:spacing w:before="0" w:after="0"/>
        <w:jc w:val="center"/>
        <w:rPr>
          <w:rFonts w:ascii="Times New Roman" w:hAnsi="Times New Roman"/>
          <w:sz w:val="20"/>
        </w:rPr>
      </w:pPr>
      <w:r>
        <w:rPr>
          <w:rFonts w:ascii="Times New Roman" w:hAnsi="Times New Roman"/>
          <w:sz w:val="20"/>
        </w:rPr>
        <w:t xml:space="preserve">One Dell Way </w:t>
      </w:r>
    </w:p>
    <w:p>
      <w:pPr>
        <w:pStyle w:val="TextBody"/>
        <w:bidi w:val="0"/>
        <w:spacing w:before="0" w:after="0"/>
        <w:jc w:val="center"/>
        <w:rPr>
          <w:rFonts w:ascii="Times New Roman" w:hAnsi="Times New Roman"/>
          <w:sz w:val="20"/>
        </w:rPr>
      </w:pPr>
      <w:r>
        <w:rPr>
          <w:rFonts w:ascii="Times New Roman" w:hAnsi="Times New Roman"/>
          <w:sz w:val="20"/>
        </w:rPr>
        <w:t xml:space="preserve">Round Rock, Texas 78682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(512) 728-7800 </w:t>
      </w:r>
    </w:p>
    <w:p>
      <w:pPr>
        <w:pStyle w:val="TextBody"/>
        <w:bidi w:val="0"/>
        <w:spacing w:before="240" w:after="0"/>
        <w:jc w:val="left"/>
        <w:rPr>
          <w:rFonts w:ascii="Times New Roman" w:hAnsi="Times New Roman"/>
          <w:sz w:val="20"/>
        </w:rPr>
      </w:pPr>
      <w:r>
        <w:rPr>
          <w:rFonts w:ascii="Times New Roman" w:hAnsi="Times New Roman"/>
          <w:sz w:val="20"/>
        </w:rPr>
        <w:t xml:space="preserve">In addition, you may access the documents incorporated by reference herein free of charge on the SEC’s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207421_5"/>
      <w:bookmarkEnd w:id="7"/>
      <w:r>
        <w:rPr>
          <w:rFonts w:ascii="Times New Roman" w:hAnsi="Times New Roman"/>
          <w:b/>
          <w:sz w:val="20"/>
        </w:rPr>
        <w:t xml:space="preserve">INDUSTRY AND MARKET DATA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includes and incorporates by reference information with respect to market share and other industry-related and statistical information, which are based on information from independent industry organizations and other third-party sources. We also have derived some industry and market information from our internal analysis based upon data available from such independent and third-party sources and our internal research. We believe such information to be accurate as of the date of this prospectus supplement. However, this information is subject to the limits on the availability and reliability of raw data, the voluntary nature of the data gathering process and other limitations and uncertainties. In addition, our internal research is based upon our understanding of industry conditions, and such information has not been verified by any independent sources. Neither we nor the underwriters can guarantee the accuracy or completeness of any such information contained or incorporated by reference in this prospectus supplement. Such information also involves risks and uncertainties and is subject to change based on various factors, including those discussed under the heading “Cautionary Note Regarding Forward-Looking Statements.” </w:t>
      </w:r>
    </w:p>
    <w:p>
      <w:pPr>
        <w:pStyle w:val="TextBody"/>
        <w:bidi w:val="0"/>
        <w:spacing w:before="480" w:after="0"/>
        <w:jc w:val="center"/>
        <w:rPr>
          <w:rFonts w:ascii="Times New Roman" w:hAnsi="Times New Roman"/>
          <w:b/>
          <w:sz w:val="20"/>
        </w:rPr>
      </w:pPr>
      <w:bookmarkStart w:id="8" w:name="supptoc207421_6"/>
      <w:bookmarkEnd w:id="8"/>
      <w:r>
        <w:rPr>
          <w:rFonts w:ascii="Times New Roman" w:hAnsi="Times New Roman"/>
          <w:b/>
          <w:sz w:val="20"/>
        </w:rPr>
        <w:t xml:space="preserve">TRADEMARKS AND OTHER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We own or have rights to trademarks, service marks or trade names that we use in connection with the operation of our business. Certain trademarks and/or trade names are subject to registrations or applications to register with the United States Patent and Trademark Office or the equivalent in certain foreign jurisdictions, while others are not subject to registration but are protected by common law rights. These registered and unregistered marks include our corporate names, logos and website names used herein. Each trademark, service mark or trade name by any other company appearing in this prospectus supplement or the accompanying prospectus (or in documents we have incorporated by reference) belongs to its owner. </w:t>
      </w:r>
    </w:p>
    <w:p>
      <w:pPr>
        <w:pStyle w:val="TextBody"/>
        <w:bidi w:val="0"/>
        <w:spacing w:before="240" w:after="0"/>
        <w:jc w:val="left"/>
        <w:rPr>
          <w:rFonts w:ascii="Times New Roman" w:hAnsi="Times New Roman"/>
          <w:sz w:val="20"/>
        </w:rPr>
      </w:pPr>
      <w:r>
        <w:rPr>
          <w:rFonts w:ascii="Times New Roman" w:hAnsi="Times New Roman"/>
          <w:sz w:val="20"/>
        </w:rPr>
        <w:t xml:space="preserve">Solely for convenience, trademarks, service marks and trade names referred to in this prospectus supplement or the accompanying prospectus (or in documents we have incorporated by reference) may appear without the ®, TM or SM symbols, but such references are not intended to indicate, in any way, that we will not assert, to the fullest extent under applicable law, our rights or the rights of the applicable licensors to these trademarks, service marks or trade names. We do not intend our use or display of other parties’ trademarks, service marks or trade names to imply, and such use or display should not be construed to imply, a relationship with, or endorsement or sponsorship of us by, those other parties. </w:t>
      </w:r>
    </w:p>
    <w:p>
      <w:pPr>
        <w:pStyle w:val="TextBody"/>
        <w:bidi w:val="0"/>
        <w:spacing w:before="480" w:after="0"/>
        <w:jc w:val="center"/>
        <w:rPr>
          <w:rFonts w:ascii="Times New Roman" w:hAnsi="Times New Roman"/>
          <w:b/>
          <w:sz w:val="20"/>
        </w:rPr>
      </w:pPr>
      <w:bookmarkStart w:id="9" w:name="supptoc207421_7"/>
      <w:bookmarkEnd w:id="9"/>
      <w:r>
        <w:rPr>
          <w:rFonts w:ascii="Times New Roman" w:hAnsi="Times New Roman"/>
          <w:b/>
          <w:sz w:val="20"/>
        </w:rPr>
        <w:t xml:space="preserve">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include and incorporate by reference the historical financial statements and other financial data of Dell Technologies, a guarantor of the notes offered hereby. Each of the issuers is a direct wholly-owned subsidiary of Dell Inc., a guarantor of the notes offered hereby, and an indirect wholly-owned subsidiary of Dell Technologies. No separate financial information has been provided in this prospectus supplement for Dell International or EMC.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as the context otherwise requires, a reference in this prospectus supplement or the accompanying prospectus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“Code” refers to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Company,” “Dell Technologies,” “we,” “our” or “us” refers to Dell Technologies Inc., a Texas corporation, or, as the context requires, to Dell Technologies Inc. and its consolidated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Dell” refers to Dell Inc., a Delaware corporation and wholly-owned subsidiary of Dell Technologies, or, as the context requires, to Dell Inc. and its consolidated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Dell International” refers to Dell International L.L.C., a Delaware limited liability company and wholly-owned subsidiary of Dell Technologies, or, as the context requires, to Dell International L.L.C. and its consolidated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Denali Intermediate” refers to Denali Intermediate Inc., a Delaware corporation and wholly-owned subsidiary of Dell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DFS” refers to Dell Financial Services L.L.C.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DFS debt” primarily refers to debt issued from time to time, which is non-recourse to the Company and represents borrowings under securitization programs and structured financing programs, for which the Company’s risk of loss is limited to transferred loan and lease payments and associated equipment. As of July 31, 2026, approximately $9.6 billion of DFS debt was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EMC” refers to EMC Corporation, a Massachusetts corporation and wholly-owned subsidiary of Dell Technologies, or, as the context requires, to EMC Corporation and its consolidated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existing notes” refers to the Senior Notes and the Legacy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guarantors” refers to the Company, Dell and Denali Intermediate;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issuers” refers to Dell International and EMC and not to any of their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Legacy Notes” refers, collectively, to the 7.10% Senior Debentures due 2028, 6.50% Senior Notes due 2038 and 5.40% Senior Notes due 2040 issued by Dell, which are not guaranteed by any subsidiary or parent entity of Dell;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revolving credit facility” refers to our $6.0 billion unsecured revolving credit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Senior Notes” refers, collectively, to the 2026 Notes, the 6.100% Senior Notes due 2027, the 5.250% Senior Notes due 2028, the 4.750% Senior Notes due 2028, the 4.150% Senior Notes due 2029, the 5.300% Senior Notes due 2029, the 6.200% Senior Notes due 2030, the 4.350% Senior Notes due 2030, the 5.000% Senior Notes due 2030, the 4.500% Senior Notes due 2031, the 4.750% Senior Notes due 2031, the 4.750% Senior Notes due 2032, the 5.300% Senior Notes due 2032, the 5.750% Senior Notes due 2033, the 5.000% Senior Notes due 2034, the 5.400% Senior Notes due 2034, the 4.850% Senior Notes due 2035, the 5.500% Senior Notes due 2035, the 5.100% Senior Notes due 2036, the 8.100% Senior Notes due 2036, the 5.250% Senior Notes due 2037, the 3.375% Senior Notes due 2041, the 8.350% Senior Notes due 2046 and the 3.450% Senior Notes due 2051 co-issued by Dell International and EMC, which are guaranteed by Dell Technologies, Denali Intermediate, and Dell Inc. Following our achievement of an investment grade rating, all of the collateral previously securing the Senior Notes outstanding as of that date was released and, as a result, the Senior Notes are currently unsecured;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underwriters” refers to the firms the marketing names of which are listed on the cover of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Dell Technologies’ fiscal year is the 52- or 53-week period ending on the Friday nearest January 31. As used throughout this prospectus supplement and the accompanying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Fiscal 2026” refers to Dell Technologies’ fiscal year ended January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Numerical figures included in or incorporated by reference into this prospectus supplement and the accompanying prospectus have been subject to rounding adjustments. Accordingly, numerical figures shown as totals in various tables may not represent arithmetic aggregations of the figures that precede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0" w:name="supptoc207421_8"/>
      <w:bookmarkEnd w:id="10"/>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about the Offering and our business. It does not contain all of the information that you should consider before investing in the notes. You should carefully read this entire prospectus supplement, including the section entitled “Risk Factors,” the accompanying prospectus and the documents incorporated herein by reference, before making an investment decision.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Overview of Dell Technologies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Dell Technologies is a leader in the global technology industry focused on providing broad and innovative technology solutions for the data and AI era. These solutions range from client devices and peripherals to infrastructure solutions across servers, networking, and storage to meet the evolving needs of our customers and drive better business outcomes. With our extensive portfolio and commitment to innovation, we design, deploy, and support secure, integrated solutions that extend from the edge to the core to the cloud. We deliver AI-optimized, software-defined, and cloud native infrastructure solutions across a broad partner ecosystem to help customers address evolving information technology (“IT”) needs, drive outcomes, and capture growth as customer spending priorities evolve.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Dell Technologies operates globally in over 170 countries, supported by a world-class organization across key functional areas, including technology and product development, marketing, sales, services, and financing. We have a number of operational advantages that provide a critical foundation for our success. We provide leading end-to-end solutions across our portfolio of products and services. Our go-to-market operations include an extensive direct sales force, with the ability to build deep customer relationships, and a global network of channel partners. Our global services footprint consists of service and support professionals and vendor-managed service centers that support customers across the world. Our world-class supply chain operates at a significant scale with the ability to remain agile in a variety of environments.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offer customers choice in how they acquire our solutions, including utility, subscription, as-a-Service, leases, loans, and immediate pay models. These options allow our customers to pay upfront or over time, providing them with operational and financial flexibility.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vision is to become the most essential technology partner. We help customers address their IT needs and digital transformation objectives as they embrace today’s changing technology landscape. We intend to realize our vision by executing our strategy of leveraging our strengths to extend our leadership positions and capture new growth.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we are well-positioned in our industry and that our results will continue to benefit from our operational advantages, which position us for long-term growth and value creation while keeping our purpose at the forefront of our decision-making: to create technologies that drive human progress.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Technology is rapidly evolving with demand for simple and holistic solutions as companies navigate an increasingly complex IT environment. To meet our customers’ needs, we invest in research and development, sales, and other key areas of our business to deliver superior products and solutions capabilities and to drive sustainable long-term growth.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impacts of technological advancement and data expansion continue to be a force for progress as artificial intelligence and generative AI have become the next wave of technological innovation. Through each wave of technological progress, we look to advance our capabilities to change the way we work and make decisions, improve business outcomes and the customer experience, and reduce costs by leveraging new technology to optimize business processes. We believe our differentiated operating advantages, our leadership, and our way of doing business provide a foundation to foster growth, drive efficiencies, and capitalize on each successive wave of innovation in a dynamic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Overview of Dell International, EMC, Denali Intermediate and Dell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Dell International and EMC is a direct wholly-owned subsidiary of Dell and an indirect wholly- owned consolidated subsidiary of Dell Technologies. With respect to the additional guarantors, Denali Intermediate is a direct wholly-owned consolidated subsidiary of Dell Technologies, and Dell is a direct wholly-owned subsidiary of Denali Intermediate and an indirect wholly-owned consolidated subsidiary of Dell Technologies. Dell International, EMC, Denali Intermediate and Dell are holding companies that directly or indirectly hold all of the operating subsidiaries of Dell Technologies.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Dell Technologies (under the name Denali Holding Inc.) was originally incorporated in the State of Delaware in 2013 in connection with the going-private transaction in October 2013 pursuant to which the public stockholders of Dell received cash for their shares of Dell Inc. common stock. Denali Holding Inc. changed its name to Dell Technologies Inc. on August 25, 2016. Effective July 1, 2026, Dell Technologies changed its jurisdiction of incorporation from Delaware to Texas. Our global corporate headquarters is located at One Dell Way, Round Rock, Texas 78682. Our telephone number is (512) 728-7800. Our website is </w:t>
      </w:r>
      <w:r>
        <w:rPr>
          <w:rFonts w:ascii="Times New Roman" w:hAnsi="Times New Roman"/>
          <w:i/>
          <w:sz w:val="20"/>
          <w:bdr w:val="single" w:sz="8" w:space="1" w:color="000000"/>
        </w:rPr>
        <w:t xml:space="preserve">www.dell.com </w:t>
      </w:r>
      <w:r>
        <w:rPr>
          <w:rFonts w:ascii="Times New Roman" w:hAnsi="Times New Roman"/>
          <w:sz w:val="20"/>
          <w:bdr w:val="single" w:sz="8" w:space="1" w:color="000000"/>
        </w:rPr>
        <w:t xml:space="preserve">and the Investors page of our website is </w:t>
      </w:r>
      <w:r>
        <w:rPr>
          <w:rFonts w:ascii="Times New Roman" w:hAnsi="Times New Roman"/>
          <w:i/>
          <w:sz w:val="20"/>
          <w:bdr w:val="single" w:sz="8" w:space="1" w:color="000000"/>
        </w:rPr>
        <w:t>https://investors.delltechnologies.com</w:t>
      </w:r>
      <w:r>
        <w:rPr>
          <w:rFonts w:ascii="Times New Roman" w:hAnsi="Times New Roman"/>
          <w:sz w:val="20"/>
          <w:bdr w:val="single" w:sz="8" w:space="1" w:color="000000"/>
        </w:rPr>
        <w:t xml:space="preserve">. Information contained or linked on our website is not incorporated by reference into this prospectus supplement and the accompanying prospectus and is not a part of this prospectus supplement and accompanying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Dell International (under the name New Dell International LLC) was incorporated in the State of Delaware in 2016 in connection with Dell Technologies’ acquisition of EMC. New Dell International LLC changed its name to Dell International L.L.C. on September 8, 2016. Dell and Denali Intermediate were incorporated in the State of Delaware in 1987 and 2013, respectively. The principal address of Dell International, Denali Intermediate and Dell is One Dell Way, Round Rock, Texas 78682.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EMC was incorporated in Massachusetts in 1979. EMC’s corporate headquarters are located at 176 South Street, Hopkinton, Massachusetts 01748. EMC’s telephone number is (508) 435-1000.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notes. Certain of the terms and conditions described below are subject to important limitations and exceptions. The “Description of Notes” section of this prospectus supplement contains a more detailed description of the terms and conditions of the notes.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Terms of the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Issuers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notes will be co-issued by Dell International L.L.C. and EMC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i/>
                <w:sz w:val="20"/>
              </w:rPr>
              <w:t>Securities Offered</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$1,250,000,000 aggregate principal amount of 5.100% senior notes due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$1,250,000,000 aggregate principal amount of 5.400% senior notes due 2031.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$1,500,000,000 aggregate principal amount of 5.600% senior notes due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$1,000,000,000 aggregate principal amount of 5.900% senior notes due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Maturity Date</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2029 notes will mature on September 15,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2031 notes will mature on September 15, 2031.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2033 notes will mature on September 15,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vAlign w:val="center"/>
          </w:tcPr>
          <w:p>
            <w:pPr>
              <w:pStyle w:val="TableContents"/>
              <w:bidi w:val="0"/>
              <w:spacing w:before="0" w:after="283"/>
              <w:jc w:val="left"/>
              <w:rPr/>
            </w:pPr>
            <w:r>
              <w:rPr/>
              <w:t> </w:t>
            </w:r>
          </w:p>
        </w:tc>
        <w:tc>
          <w:tcPr>
            <w:tcW w:w="6326" w:type="dxa"/>
            <w:tcBorders/>
          </w:tcPr>
          <w:p>
            <w:pPr>
              <w:pStyle w:val="TableContents"/>
              <w:bidi w:val="0"/>
              <w:spacing w:before="0" w:after="283"/>
              <w:jc w:val="left"/>
              <w:rPr/>
            </w:pPr>
            <w:r>
              <w:rPr/>
              <w:t xml:space="preserve">The 2037 notes will mature on April 1,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Interest Rate</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Interest on the 2029 notes will accrue at a rate of 5.100% per annum and will be payable in cash in arrears on March 15 and September 15 of each year, commencing on March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Interest on the 2031 notes will accrue at a rate of 5.400% per annum and will be payable in cash in arrears on March 15 and September 15 of each year, commencing on March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Interest on the 2033 notes will accrue at a rate of 5.600% per annum and will be payable in cash in arrears on March 15 and September 15 of each year, commencing on March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Interest on the 2037 notes will accrue at a rate of 5.900% per annum and will be payable in cash in arrears on April 1 and October 1 of each year, commencing on April 1,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Interest will accrue from the issue date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i/>
                <w:sz w:val="20"/>
              </w:rPr>
              <w:t>Guarantees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notes will be guaranteed on a joint and several basis by Dell Technologies, Denali Intermediate and Dell. The notes will not be guaranteed by any of the issuers’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i/>
                <w:sz w:val="20"/>
              </w:rPr>
              <w:t>Ranking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notes and the note guarantees will be: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unsecured obligations of the issuers and the guarantors;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in right of payment to any future subordinated indebtedness of the issuers and the guarantors;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pari passu in right of payment with all existing and future senior indebtedness of the issuers and the guarantors, including the revolving credit facility and the existing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senior to the Legacy Notes that are issued by Dell, a parent entity of the issuers, and which are not guaranteed by the issuers;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liabilities of subsidiaries of the issuers, consisting mainly of DFS debt, other than indebtedness and liabilities owed to one of the issuers or guarantors.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Optional Redemption</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may redeem some or all of (i) the 2029 notes at any time prior to August 15, 2029 (the date that is one month prior to the maturity of the 2029 notes), (ii) the 2031 notes at any time prior to August 15, 2031 (the date that is one month prior to the maturity of the 2031 notes), (iii) the 2033 notes at any time prior to July 15, 2033 (the date that is two months prior to the maturity of the 2033 notes) and (iv) the 2037 notes at any time prior to January 1, 2037 (the date that is three months prior to the maturity of the 2037 notes), in each case, at a price equal to 100% of the principal amount of the notes redeemed, plus accrued and unpaid interest to, but not including, the redemption date, plus a “make-whole” premium, as described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On or after (i) in the case of the 2029 notes, August 15, 2029 (the date that is one month prior to the maturity of the 2029 notes), (ii) in the case of the 2031 notes, August 15, 2031 (the date that is one month prior to the maturity of the 2031 notes), (iii) in the case of the 2033 notes, July 15, 2033 (the date that is two months prior to the maturity of the 2033 notes) and (iv) in the case of the 2037 notes, January 1, 2037 (the date that is three months prior to the maturity of the 2037 notes), we may redeem some or all of such notes at a redemption price equal to 100% of the principal amount of the notes redeemed, plus accrued and unpaid interest to, but not including, the redemption date. See “Description of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i/>
                <w:sz w:val="20"/>
              </w:rPr>
              <w:t>Change of Control Triggering Event</w:t>
            </w:r>
            <w:r>
              <w:rPr>
                <w:rFonts w:ascii="Times New Roman" w:hAnsi="Times New Roman"/>
                <w:sz w:val="20"/>
              </w:rPr>
              <w:t xml:space="preserve">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If a Change of Control Triggering Event (as defined in “</w:t>
            </w:r>
            <w:r>
              <w:rPr>
                <w:rFonts w:ascii="Times New Roman" w:hAnsi="Times New Roman"/>
                <w:i/>
                <w:sz w:val="20"/>
              </w:rPr>
              <w:t>Description of Notes</w:t>
            </w:r>
            <w:r>
              <w:rPr>
                <w:rFonts w:ascii="Times New Roman" w:hAnsi="Times New Roman"/>
                <w:sz w:val="20"/>
              </w:rPr>
              <w:t>”) occurs with respect to the notes, we must offer to repurchase such series of notes at a redemption price equal to 101% of the principal amount thereof (or such higher amount as the issuers may determine) plus any accrued and unpaid interest to, but not including, the repurchase date. See “</w:t>
            </w:r>
            <w:r>
              <w:rPr>
                <w:rFonts w:ascii="Times New Roman" w:hAnsi="Times New Roman"/>
                <w:i/>
                <w:sz w:val="20"/>
              </w:rPr>
              <w:t>Description of Notes—Change of</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i/>
                <w:sz w:val="20"/>
              </w:rPr>
              <w:t>Control Triggering Event</w:t>
            </w:r>
            <w:r>
              <w:rPr>
                <w:rFonts w:ascii="Times New Roman" w:hAnsi="Times New Roman"/>
                <w:sz w:val="20"/>
              </w:rPr>
              <w:t>.” See “</w:t>
            </w:r>
            <w:r>
              <w:rPr>
                <w:rFonts w:ascii="Times New Roman" w:hAnsi="Times New Roman"/>
                <w:i/>
                <w:sz w:val="20"/>
              </w:rPr>
              <w:t>Risk Factors—Risks Related to the Notes and the Offering—We may not be able to finance a change of control offer as required by the Indenture that will govern the notes offered hereby</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i/>
                <w:sz w:val="20"/>
              </w:rPr>
              <w:t>Certain Covenants</w:t>
            </w:r>
            <w:r>
              <w:rPr>
                <w:rFonts w:ascii="Times New Roman" w:hAnsi="Times New Roman"/>
                <w:sz w:val="20"/>
              </w:rPr>
              <w:t xml:space="preserve"> </w:t>
            </w:r>
          </w:p>
        </w:tc>
        <w:tc>
          <w:tcPr>
            <w:tcW w:w="6329" w:type="dxa"/>
            <w:tcBorders/>
          </w:tcPr>
          <w:p>
            <w:pPr>
              <w:pStyle w:val="TableContents"/>
              <w:bidi w:val="0"/>
              <w:spacing w:before="0" w:after="283"/>
              <w:jc w:val="left"/>
              <w:rPr/>
            </w:pPr>
            <w:r>
              <w:rPr/>
              <w:t>The Indenture (as defined in “</w:t>
            </w:r>
            <w:r>
              <w:rPr>
                <w:i/>
              </w:rPr>
              <w:t>Description of Notes</w:t>
            </w:r>
            <w:r>
              <w:rPr/>
              <w:t xml:space="preserve">”) that will govern the notes will contain covenants that limit the ability of the issuers and their respective restricted subsidiaries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certain assets to secure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sell or otherwise dispose of all or substantially all of their respective assets;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 and leaseback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These covenants are subject to important exceptions and qualifications as described under “</w:t>
            </w:r>
            <w:r>
              <w:rPr>
                <w:i/>
              </w:rPr>
              <w:t>Description of Notes—Certain Covenants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i/>
                <w:sz w:val="20"/>
              </w:rPr>
              <w:t>Minimum Denominations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notes will be issued and may be transferred only in minimum denominations of $2,000 and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Trading</w:t>
            </w:r>
            <w:r>
              <w:rPr>
                <w:rFonts w:ascii="Times New Roman" w:hAnsi="Times New Roman"/>
                <w:sz w:val="20"/>
              </w:rPr>
              <w:t xml:space="preserve"> </w:t>
            </w:r>
          </w:p>
        </w:tc>
        <w:tc>
          <w:tcPr>
            <w:tcW w:w="6327" w:type="dxa"/>
            <w:tcBorders/>
          </w:tcPr>
          <w:p>
            <w:pPr>
              <w:pStyle w:val="TableContents"/>
              <w:bidi w:val="0"/>
              <w:spacing w:before="0" w:after="283"/>
              <w:jc w:val="left"/>
              <w:rPr/>
            </w:pPr>
            <w:r>
              <w:rPr/>
              <w:t>The notes will be new securities for which there are currently no markets. We do not intend to apply for listing of the notes on any securities exchange. Although the underwriters have informed us that they intend to make a market in the notes of each series, they are not obligated to do so, and they may discontinue market-making activities at any time without notice. Accordingly, we cannot assure you that liquid markets for the notes will develop or, if such markets develop, that they will be maintained. See “</w:t>
            </w:r>
            <w:r>
              <w:rPr>
                <w:i/>
              </w:rPr>
              <w:t>Underwriting</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Use of Proceeds</w:t>
            </w:r>
            <w:r>
              <w:rPr>
                <w:rFonts w:ascii="Times New Roman" w:hAnsi="Times New Roman"/>
                <w:sz w:val="20"/>
              </w:rPr>
              <w:t xml:space="preserve"> </w:t>
            </w:r>
          </w:p>
        </w:tc>
        <w:tc>
          <w:tcPr>
            <w:tcW w:w="6327" w:type="dxa"/>
            <w:tcBorders/>
          </w:tcPr>
          <w:p>
            <w:pPr>
              <w:pStyle w:val="TableContents"/>
              <w:bidi w:val="0"/>
              <w:spacing w:before="0" w:after="283"/>
              <w:jc w:val="left"/>
              <w:rPr/>
            </w:pPr>
            <w:r>
              <w:rPr/>
              <w:t>We intend to use the net proceeds of the Offering to repay our outstanding 2026 Notes, and any remaining proceeds for general corporate purposes, which may include the repayment of other debt. See “</w:t>
            </w:r>
            <w:r>
              <w:rPr>
                <w:i/>
              </w:rPr>
              <w:t>Use of Proceeds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Trustee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Bank of New York Mellon Trust Company,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i/>
                <w:sz w:val="20"/>
              </w:rPr>
              <w:t>Risk Factors</w:t>
            </w:r>
            <w:r>
              <w:rPr>
                <w:rFonts w:ascii="Times New Roman" w:hAnsi="Times New Roman"/>
                <w:sz w:val="20"/>
              </w:rPr>
              <w:t xml:space="preserve"> </w:t>
            </w:r>
          </w:p>
        </w:tc>
        <w:tc>
          <w:tcPr>
            <w:tcW w:w="6329" w:type="dxa"/>
            <w:tcBorders/>
          </w:tcPr>
          <w:p>
            <w:pPr>
              <w:pStyle w:val="TableContents"/>
              <w:bidi w:val="0"/>
              <w:spacing w:before="0" w:after="283"/>
              <w:jc w:val="left"/>
              <w:rPr/>
            </w:pPr>
            <w:r>
              <w:rPr/>
              <w:t>You should consider carefully the risks, uncertainties and assumptions discussed under “</w:t>
            </w:r>
            <w:r>
              <w:rPr>
                <w:i/>
              </w:rPr>
              <w:t>Risk Factors</w:t>
            </w:r>
            <w:r>
              <w:rPr/>
              <w:t xml:space="preserve">” herein and in Dell Technologies’ Annual Report, along with the other information contained in or incorporated by reference into this prospectus supplement and the accompanying prospectus before deciding to invest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207421_9"/>
      <w:bookmarkEnd w:id="1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risk factors set forth below as well as the other information contained in this prospectus supplement and the accompanying prospectus, including those discussed in Dell Technologies’ Annual Report and in other documents that Dell Technologies files with the SEC that update, supplement or supersede such information, all of which are incorporated by reference into this prospectus supplement and the accompanying prospectus, before purchasing the notes. This prospectus supplement and the accompanying prospectus contain forward-looking statements that involve risks and uncertainties. If any of the events or developments described in the risk factors below actually occur, our business, financial condition or results of operations could be materially and adversely impacted. Additional risks and uncertainties not currently known to us or those we currently view to be immaterial may also materially and adversely affect our business, financial condition or results of operations. In such a case, you may lose all or part of your original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and the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will be structurally subordinated to the debt and other liabilities of subsidiaries of the issuers, who will not guarantee the notes, and your right to receive payments on the notes could be adversely affected if any of such subsidiaries declares bankruptcy, liquidates or reorganizes.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under the notes are structurally subordinated to the debt and other liabilities of subsidiaries of the issuers, who will not guarantee the notes. Holders of the notes will not have any claim as a creditor against such subsidiaries. In the event that any of such subsidiaries becomes insolvent, liquidates, reorganizes, dissolves or otherwise winds up, holders of their debt and their trade creditors will generally be entitled to payment on their claims from the assets of those subsidiaries before any of those assets are made available to us. Consequently, your claims in respect of the notes or note guarantees will be structurally subordinated to all of the liabilities of such subsidiaries. As of July 31, 2026, our non-guarantor subsidiaries (excluding the issuers) had $100.4 billion of total liabilities (excluding intercompany liabilities), all of which were structurally senior to the notes and the note guarantees.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the Indenture that will govern the notes provide only limited protection against significant corporate events that could adversely impact your investment in the notes. </w:t>
      </w:r>
    </w:p>
    <w:p>
      <w:pPr>
        <w:pStyle w:val="TextBody"/>
        <w:bidi w:val="0"/>
        <w:spacing w:before="120" w:after="0"/>
        <w:jc w:val="left"/>
        <w:rPr>
          <w:rFonts w:ascii="Times New Roman" w:hAnsi="Times New Roman"/>
          <w:sz w:val="20"/>
        </w:rPr>
      </w:pPr>
      <w:r>
        <w:rPr>
          <w:rFonts w:ascii="Times New Roman" w:hAnsi="Times New Roman"/>
          <w:sz w:val="20"/>
        </w:rPr>
        <w:t>While the Indenture that will govern the notes will contain terms intended to provide protection to noteholders upon the occurrence of certain events involving significant corporate transactions and our creditworthiness, these terms are limited and may not be sufficient to protect your investment in the notes. For example, certain important corporate events, such as leveraged recapitalizations, may not, under the Indenture that will govern the notes, constitute a “change of control” that would require us to repurchase the notes, even though those corporate events could increase the level of our indebtedness or otherwise adversely affect our capital structure, credit ratings or the value of the notes. See “</w:t>
      </w:r>
      <w:r>
        <w:rPr>
          <w:rFonts w:ascii="Times New Roman" w:hAnsi="Times New Roman"/>
          <w:i/>
          <w:sz w:val="20"/>
        </w:rPr>
        <w:t>Description of Notes—Change of Control Triggering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for the notes does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 or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unsecured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subsidiaries’ ability to issue securities or otherwise incur indebtedness that would be senior to our equity interests in our subsidiaries and therefore rank effectively senior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repurchase or prepay any other of our securities or other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or to pay dividends or make other payments in respect of our common stock or other securities ranking junior to the notes;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sell, merge or consolidate any of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when evaluating the terms of the notes, you should be aware that the terms of the Indenture that will govern the notes do not restrict our ability to engage in, or to otherwise be a party to, a variety of corporate transactions, circumstances and events that could have an adverse impact on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have sufficient cash flows from operating activities to service our indebtedness and meet our other cash needs and may be forced to take other actions to satisfy our obligations under our indebtedness, which may not be successful. </w:t>
      </w:r>
    </w:p>
    <w:p>
      <w:pPr>
        <w:pStyle w:val="TextBody"/>
        <w:bidi w:val="0"/>
        <w:spacing w:before="120" w:after="0"/>
        <w:jc w:val="left"/>
        <w:rPr>
          <w:rFonts w:ascii="Times New Roman" w:hAnsi="Times New Roman"/>
          <w:sz w:val="20"/>
        </w:rPr>
      </w:pPr>
      <w:r>
        <w:rPr>
          <w:rFonts w:ascii="Times New Roman" w:hAnsi="Times New Roman"/>
          <w:sz w:val="20"/>
        </w:rPr>
        <w:t>Our ability to make payments on and to refinance our indebtedness will depend on our ability to generate cash in the future. Our ability to generate cash will be subject to general economic, financial, competitive, legislative, regulatory and other factors, some of which are beyond our control. Our future cash flow, cash on hand and available borrowings may not be sufficient to meet our obligations and commitments. If we are unable to generate sufficient cash flow from operations in the future to service our indebtedness and to meet our other commitments, we will be required to adopt one or more alternatives, such as refinancing or restructuring our indebtedness (including the notes), selling material assets or operations or seeking to raise additional debt or equity capital. These actions may not be effected on a timely basis or on satisfactory terms or at all, or these actions may not enable us to continue to satisfy our capital requirements. Our failure to comply with these covenants could result in an event of default which, if not cured or waived, could result in the acceleration of all our debts. See “</w:t>
      </w:r>
      <w:r>
        <w:rPr>
          <w:rFonts w:ascii="Times New Roman" w:hAnsi="Times New Roman"/>
          <w:i/>
          <w:sz w:val="20"/>
        </w:rPr>
        <w:t>Description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conduct substantially all of our operations through our subsidiaries, none of which (other than the issuers and the guarantors) will be obligors under the notes. Accordingly, repayment of our indebtedness, including the notes, will be dependent in part on the generation of cash flow by our subsidiaries and their ability to make such cash available to the issuers or the guarantors by dividend, debt repayment or otherwise. Unless they are guarantors of the notes or our other indebtedness, the subsidiaries will not have any obligation to pay amounts due on the notes or our other indebtedness, as applicable, or to make funds available for that purpose. Our subsidiaries may not be able to, or may not be permitted to, make distributions to enable us or the issuers to make payments in respect of our indebtedness, including the notes. Each subsidiary is a distinct legal entity, and under certain circumstances legal and contractual restrictions may limit our ability to obtain cash from our subsidiaries. In the event that we, the issuers or the guarantors do not receive distributions from our subsidiaries, we may be unable to make the required principal and interest payments on our indebtedness, including the notes. </w:t>
      </w:r>
    </w:p>
    <w:p>
      <w:pPr>
        <w:pStyle w:val="TextBody"/>
        <w:bidi w:val="0"/>
        <w:spacing w:before="240" w:after="0"/>
        <w:jc w:val="left"/>
        <w:rPr>
          <w:rFonts w:ascii="Times New Roman" w:hAnsi="Times New Roman"/>
          <w:sz w:val="20"/>
        </w:rPr>
      </w:pPr>
      <w:r>
        <w:rPr>
          <w:rFonts w:ascii="Times New Roman" w:hAnsi="Times New Roman"/>
          <w:sz w:val="20"/>
        </w:rPr>
        <w:t xml:space="preserve">If we cannot make scheduled payments on our debt, we will be in default, and as a result, holders of the notes and certain of our other indebtedness could declare all outstanding principal and interest to be due and payable, the lenders under our revolving credit facility could terminate their commitments to loan money and we could be forced into bankruptcy or liquidation, which, in each case, could result in your losing all or a portion of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subsidiaries are not restricted from incurring significant additional debt, including significant secured debt and including in connection with significant transactions that would not constitute a change of control requiring us to repurchase the notes, but that could adversely affect our risk profile. </w:t>
      </w:r>
    </w:p>
    <w:p>
      <w:pPr>
        <w:pStyle w:val="TextBody"/>
        <w:bidi w:val="0"/>
        <w:spacing w:before="120" w:after="0"/>
        <w:jc w:val="left"/>
        <w:rPr>
          <w:rFonts w:ascii="Times New Roman" w:hAnsi="Times New Roman"/>
          <w:sz w:val="20"/>
        </w:rPr>
      </w:pPr>
      <w:r>
        <w:rPr>
          <w:rFonts w:ascii="Times New Roman" w:hAnsi="Times New Roman"/>
          <w:sz w:val="20"/>
        </w:rPr>
        <w:t xml:space="preserve">We and our subsidiaries may be able to incur substantial additional indebtedness, including significant additional secured indebtedness, in the future. The Indenture that will govern the notes and the credit agreement that governs our revolving credit facility do not restrict our ability to incur additional unsecured debt, except that the credit agreement contains a quarterly covenant to maintain a consolidated interest coverage ratio of at least 3.00 to 1.00. In addition, while the credit agreement restricts liens on the assets of Dell and its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subsidiaries to secure indebtedness (subject to certain exceptions described therein), the Indenture that will govern the notes will allow us to grant liens on our assets (other than Principal Properties, as described in “</w:t>
      </w:r>
      <w:r>
        <w:rPr>
          <w:rFonts w:ascii="Times New Roman" w:hAnsi="Times New Roman"/>
          <w:i/>
          <w:sz w:val="20"/>
        </w:rPr>
        <w:t>Description of Notes</w:t>
      </w:r>
      <w:r>
        <w:rPr>
          <w:rFonts w:ascii="Times New Roman" w:hAnsi="Times New Roman"/>
          <w:sz w:val="20"/>
        </w:rPr>
        <w:t xml:space="preserve">”) without ratably securing the notes. Under certain circumstances, the amount of secured and unsecured indebtedness that we may incur while remaining in compliance with these restrictions could be substantial. </w:t>
      </w:r>
    </w:p>
    <w:p>
      <w:pPr>
        <w:pStyle w:val="TextBody"/>
        <w:bidi w:val="0"/>
        <w:spacing w:before="240" w:after="0"/>
        <w:jc w:val="left"/>
        <w:rPr>
          <w:rFonts w:ascii="Times New Roman" w:hAnsi="Times New Roman"/>
          <w:sz w:val="20"/>
        </w:rPr>
      </w:pPr>
      <w:r>
        <w:rPr>
          <w:rFonts w:ascii="Times New Roman" w:hAnsi="Times New Roman"/>
          <w:sz w:val="20"/>
        </w:rPr>
        <w:t xml:space="preserve">Such additional indebtedness may be incurred in connection with certain transactions, including certain recapitalizations, that would not result in a change of control requiring us to repurchase the notes, but would increase the amount of indebtedness outstanding at such time or otherwise affect our capital structure or credit ratings.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finance a change of control offer as required by the Indenture that will govern the notes offered hereby. </w:t>
      </w:r>
    </w:p>
    <w:p>
      <w:pPr>
        <w:pStyle w:val="TextBody"/>
        <w:bidi w:val="0"/>
        <w:spacing w:before="120" w:after="0"/>
        <w:jc w:val="left"/>
        <w:rPr>
          <w:rFonts w:ascii="Times New Roman" w:hAnsi="Times New Roman"/>
          <w:sz w:val="20"/>
        </w:rPr>
      </w:pPr>
      <w:r>
        <w:rPr>
          <w:rFonts w:ascii="Times New Roman" w:hAnsi="Times New Roman"/>
          <w:sz w:val="20"/>
        </w:rPr>
        <w:t xml:space="preserve">Under the Indenture that will govern the notes offered hereby, upon the occurrence of a Change of Control Triggering Event, we will be required to offer to repurchase all of the notes then outstanding at 101% of the principal amount of the notes (or such higher amount as the issuers may determine), plus any accrued and unpaid interest, if any, to, but not including, the repurchase date. We may not be able to repurchase the notes upon a Change of Control Triggering Event because we may not have sufficient financial resources to purchase all of the notes that would be tendered upon a Change of Control Triggering Event. Our failure to repurchase the notes upon a Change of Control Triggering Event would cause an event of default under the Indenture that will govern the notes offered hereby and a cross-default under our revolving credit facility. The credit agreement governing our revolving credit facility also provides that a change of control triggering event (as described therein) is an event of default that permits lenders to, among other things, terminate their commitments and accelerate the maturity of borrowings thereunder. Any of our future debt arrangements may contain similar provisions. We cannot assure you that we will have the financial resources available or that we will be permitted by our debt instruments to fulfill these obligations upon the occurrence of a Change of Control Triggering Event in the future. We may require additional financing from third parties to fund any such purchases, and we may be unable to obtain financing on satisfactory terms or at all. Further, our ability to repurchase the notes may be limited by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may not be able to determine when a change of control giving rise to their right to have the notes repurchased has occurred following a sale of “substantially all” of our assets. </w:t>
      </w:r>
    </w:p>
    <w:p>
      <w:pPr>
        <w:pStyle w:val="TextBody"/>
        <w:bidi w:val="0"/>
        <w:spacing w:before="120" w:after="0"/>
        <w:jc w:val="left"/>
        <w:rPr>
          <w:rFonts w:ascii="Times New Roman" w:hAnsi="Times New Roman"/>
          <w:sz w:val="20"/>
        </w:rPr>
      </w:pPr>
      <w:r>
        <w:rPr>
          <w:rFonts w:ascii="Times New Roman" w:hAnsi="Times New Roman"/>
          <w:sz w:val="20"/>
        </w:rPr>
        <w:t xml:space="preserve">One of the circumstances under which a change of control may occur is upon the sale or disposition of “all or substantially all” of our assets. There is no precise established definition of the phrase “substantially all” under applicable law, and the interpretation of that phrase will likely depend upon particular facts and circumstances. Accordingly, the ability of a holder of notes to require us to repurchase its notes as a result of a sale of less than all our assets to another person may be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Ratings of the notes and other factors may affect the market prices and marketability of the notes.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expect that, upon issuance, the notes will be rated by Moody’s, S&amp;P, and Fitch. Such ratings will be limited in scope and will not address all material risks relating to an investment in the notes, but rather will reflect only the view of each rating agency at the time it issues the rating. An explanation of the significance of such rating may be obtained from such rating agency. There is no assurance that such credit ratings will be issued or remain in effect for any given period of time or that such ratings will not be lowered, suspended or withdrawn entirely by the rating agencies, if, in each rating agency’s judgment, circumstances so warrant. It is also possible that such ratings may be lowered in connection with the Offering or in connection with future events, such as future acquisitions. Holders of the notes will have no recourse against us or any other parties in the event of a change in or suspension or withdrawal of such ratings. Any lowering, suspension or withdrawal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ratings may have an adverse effect on the market prices or marketability of the notes. In addition, the condition of the financial markets, prevailing interest rates and other factors have fluctuated in the past and are likely to fluctuate in the future, which may adversely affect the market prices or marketability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cannot assure you that an active trading market will develop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constitute new issues of securities for which there are no existing trading markets. We do not currently plan to list the notes on any national securities exchange. We have been advised by the underwriters for this offering that they presently intend to make a market in the notes of each series after the consummation of the offering contemplated by this prospectus supplement, although they are under no obligation to do so and may discontinue any market-making activities at any time without any notice. The liquidity of any market for the notes will depend upon the number of holders of those notes, our performance, the market for similar securities, the interest of securities dealers in making a market in those notes and other factors. Liquid trading markets may not develop for the notes. As a result, the market prices of the notes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207421_10"/>
      <w:bookmarkEnd w:id="1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of the Offering (after underwriting discounts and before offering expenses) will be approximately $4,965 million. We intend to use the net proceeds of the Offering to repay our outstanding 2026 Notes and any remaining proceeds for general corporate purposes, which may include the repayment of other debt. </w:t>
      </w:r>
    </w:p>
    <w:p>
      <w:pPr>
        <w:pStyle w:val="TextBody"/>
        <w:bidi w:val="0"/>
        <w:spacing w:before="240" w:after="0"/>
        <w:jc w:val="left"/>
        <w:rPr>
          <w:rFonts w:ascii="Times New Roman" w:hAnsi="Times New Roman"/>
          <w:sz w:val="20"/>
        </w:rPr>
      </w:pPr>
      <w:r>
        <w:rPr>
          <w:rFonts w:ascii="Times New Roman" w:hAnsi="Times New Roman"/>
          <w:sz w:val="20"/>
        </w:rPr>
        <w:t xml:space="preserve">The 2026 Notes bear interest at a rate of 4.900% per annum and are scheduled to mature on October 1, 2026. This prospectus supplement is not an offer to purchase or a solicitation of an offer to sell the 2026 Notes. In addition, the redemption will be made solely pursuant to a redemption notice delivered pursuant to the indenture governing the 2026 Notes, and nothing contained in this prospectus supplement constitutes a notice of redemption of the 2026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207421_11"/>
      <w:bookmarkEnd w:id="13"/>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total capitalization as of July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historical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after giving effect to this Offering and the use of proceeds therefrom to repay the 2026 Notes. </w:t>
            </w:r>
          </w:p>
        </w:tc>
      </w:tr>
    </w:tbl>
    <w:p>
      <w:pPr>
        <w:pStyle w:val="TextBody"/>
        <w:bidi w:val="0"/>
        <w:spacing w:before="240" w:after="0"/>
        <w:jc w:val="left"/>
        <w:rPr>
          <w:rFonts w:ascii="Times New Roman" w:hAnsi="Times New Roman"/>
          <w:sz w:val="20"/>
        </w:rPr>
      </w:pPr>
      <w:r>
        <w:rPr>
          <w:rFonts w:ascii="Times New Roman" w:hAnsi="Times New Roman"/>
          <w:sz w:val="20"/>
        </w:rPr>
        <w:t>The information in this table should be read in conjunction with “</w:t>
      </w:r>
      <w:r>
        <w:rPr>
          <w:rFonts w:ascii="Times New Roman" w:hAnsi="Times New Roman"/>
          <w:i/>
          <w:sz w:val="20"/>
        </w:rPr>
        <w:t>Use of Proceeds</w:t>
      </w:r>
      <w:r>
        <w:rPr>
          <w:rFonts w:ascii="Times New Roman" w:hAnsi="Times New Roman"/>
          <w:sz w:val="20"/>
        </w:rPr>
        <w:t>” included elsewhere in this prospectus supplement and the accompanying prospectus. You should also read the “</w:t>
      </w:r>
      <w:r>
        <w:rPr>
          <w:rFonts w:ascii="Times New Roman" w:hAnsi="Times New Roman"/>
          <w:i/>
          <w:sz w:val="20"/>
        </w:rPr>
        <w:t xml:space="preserve">Management’s Discussion and </w:t>
      </w:r>
      <w:r>
        <w:rPr>
          <w:rFonts w:ascii="Times New Roman" w:hAnsi="Times New Roman"/>
          <w:sz w:val="20"/>
        </w:rPr>
        <w:t xml:space="preserve">Analysis </w:t>
      </w:r>
      <w:r>
        <w:rPr>
          <w:rFonts w:ascii="Times New Roman" w:hAnsi="Times New Roman"/>
          <w:i/>
          <w:sz w:val="20"/>
        </w:rPr>
        <w:t>of Financial Condition and Results of Operations</w:t>
      </w:r>
      <w:r>
        <w:rPr>
          <w:rFonts w:ascii="Times New Roman" w:hAnsi="Times New Roman"/>
          <w:sz w:val="20"/>
        </w:rPr>
        <w:t xml:space="preserve">,” as well as the financial statements included in Dell Technologies’ Annual Report for Fiscal 2026 and Quarterly Report for the quarterly period ended July 31, 2026, in each case incorporated by reference into this prospectus supplement and the accompanying prospectus.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35"/>
        <w:gridCol w:w="265"/>
        <w:gridCol w:w="240"/>
        <w:gridCol w:w="1219"/>
        <w:gridCol w:w="155"/>
        <w:gridCol w:w="265"/>
        <w:gridCol w:w="223"/>
        <w:gridCol w:w="1094"/>
        <w:gridCol w:w="159"/>
      </w:tblGrid>
      <w:tr>
        <w:trPr/>
        <w:tc>
          <w:tcPr>
            <w:tcW w:w="413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3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July 31,</w:t>
              <w:br/>
              <w:t>2026</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br/>
              <w:t>for this</w:t>
              <w:br/>
              <w:t>Offering</w:t>
            </w:r>
          </w:p>
        </w:tc>
        <w:tc>
          <w:tcPr>
            <w:tcW w:w="159" w:type="dxa"/>
            <w:tcBorders/>
            <w:vAlign w:val="bottom"/>
          </w:tcPr>
          <w:p>
            <w:pPr>
              <w:pStyle w:val="TableContents"/>
              <w:bidi w:val="0"/>
              <w:spacing w:before="0" w:after="283"/>
              <w:jc w:val="left"/>
              <w:rPr/>
            </w:pPr>
            <w:r>
              <w:rPr/>
              <w:t> </w:t>
            </w:r>
          </w:p>
        </w:tc>
      </w:tr>
      <w:tr>
        <w:trPr/>
        <w:tc>
          <w:tcPr>
            <w:tcW w:w="413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196" w:type="dxa"/>
            <w:gridSpan w:val="6"/>
            <w:tcBorders/>
            <w:vAlign w:val="bottom"/>
          </w:tcPr>
          <w:p>
            <w:pPr>
              <w:pStyle w:val="TableContents"/>
              <w:bidi w:val="0"/>
              <w:spacing w:before="0" w:after="283"/>
              <w:jc w:val="center"/>
              <w:rPr/>
            </w:pPr>
            <w:r>
              <w:rPr/>
              <w:t>(in millions)</w:t>
            </w:r>
          </w:p>
        </w:tc>
        <w:tc>
          <w:tcPr>
            <w:tcW w:w="159" w:type="dxa"/>
            <w:tcBorders/>
            <w:vAlign w:val="bottom"/>
          </w:tcPr>
          <w:p>
            <w:pPr>
              <w:pStyle w:val="TableContents"/>
              <w:bidi w:val="0"/>
              <w:spacing w:before="0" w:after="283"/>
              <w:jc w:val="left"/>
              <w:rPr/>
            </w:pPr>
            <w:r>
              <w:rPr/>
              <w:t> </w:t>
            </w:r>
          </w:p>
        </w:tc>
      </w:tr>
      <w:tr>
        <w:trPr/>
        <w:tc>
          <w:tcPr>
            <w:tcW w:w="4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equivalents(1)</w:t>
            </w:r>
          </w:p>
        </w:tc>
        <w:tc>
          <w:tcPr>
            <w:tcW w:w="26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11,569</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14,805</w:t>
            </w:r>
          </w:p>
        </w:tc>
        <w:tc>
          <w:tcPr>
            <w:tcW w:w="159" w:type="dxa"/>
            <w:tcBorders/>
            <w:shd w:fill="CCEEFF" w:val="clear"/>
            <w:vAlign w:val="bottom"/>
          </w:tcPr>
          <w:p>
            <w:pPr>
              <w:pStyle w:val="TableContents"/>
              <w:bidi w:val="0"/>
              <w:spacing w:before="0" w:after="283"/>
              <w:jc w:val="left"/>
              <w:rPr/>
            </w:pPr>
            <w:r>
              <w:rPr/>
              <w:t> </w:t>
            </w:r>
          </w:p>
        </w:tc>
      </w:tr>
      <w:tr>
        <w:trPr/>
        <w:tc>
          <w:tcPr>
            <w:tcW w:w="413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35" w:type="dxa"/>
            <w:tcBorders/>
          </w:tcPr>
          <w:p>
            <w:pPr>
              <w:pStyle w:val="TableContents"/>
              <w:bidi w:val="0"/>
              <w:spacing w:before="0" w:after="0"/>
              <w:jc w:val="left"/>
              <w:rPr>
                <w:rFonts w:ascii="Times New Roman" w:hAnsi="Times New Roman"/>
                <w:sz w:val="20"/>
              </w:rPr>
            </w:pPr>
            <w:r>
              <w:rPr>
                <w:rFonts w:ascii="Times New Roman" w:hAnsi="Times New Roman"/>
                <w:sz w:val="20"/>
              </w:rPr>
              <w:t>Debt:</w:t>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26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135" w:type="dxa"/>
            <w:tcBorders/>
          </w:tcPr>
          <w:p>
            <w:pPr>
              <w:pStyle w:val="TableContents"/>
              <w:bidi w:val="0"/>
              <w:spacing w:before="0" w:after="0"/>
              <w:jc w:val="left"/>
              <w:rPr>
                <w:rFonts w:ascii="Times New Roman" w:hAnsi="Times New Roman"/>
                <w:sz w:val="20"/>
              </w:rPr>
            </w:pPr>
            <w:r>
              <w:rPr>
                <w:rFonts w:ascii="Times New Roman" w:hAnsi="Times New Roman"/>
                <w:sz w:val="20"/>
              </w:rPr>
              <w:t>Existing notes</w:t>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25,025</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23,275</w:t>
            </w:r>
          </w:p>
        </w:tc>
        <w:tc>
          <w:tcPr>
            <w:tcW w:w="159" w:type="dxa"/>
            <w:tcBorders/>
            <w:vAlign w:val="bottom"/>
          </w:tcPr>
          <w:p>
            <w:pPr>
              <w:pStyle w:val="TableContents"/>
              <w:bidi w:val="0"/>
              <w:spacing w:before="0" w:after="283"/>
              <w:jc w:val="left"/>
              <w:rPr/>
            </w:pPr>
            <w:r>
              <w:rPr/>
              <w:t> </w:t>
            </w:r>
          </w:p>
        </w:tc>
      </w:tr>
      <w:tr>
        <w:trPr/>
        <w:tc>
          <w:tcPr>
            <w:tcW w:w="4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DFS debt</w:t>
            </w:r>
          </w:p>
        </w:tc>
        <w:tc>
          <w:tcPr>
            <w:tcW w:w="26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9,618</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9,618</w:t>
            </w:r>
          </w:p>
        </w:tc>
        <w:tc>
          <w:tcPr>
            <w:tcW w:w="159" w:type="dxa"/>
            <w:tcBorders/>
            <w:shd w:fill="CCEEFF" w:val="clear"/>
            <w:vAlign w:val="bottom"/>
          </w:tcPr>
          <w:p>
            <w:pPr>
              <w:pStyle w:val="TableContents"/>
              <w:bidi w:val="0"/>
              <w:spacing w:before="0" w:after="283"/>
              <w:jc w:val="left"/>
              <w:rPr/>
            </w:pPr>
            <w:r>
              <w:rPr/>
              <w:t> </w:t>
            </w:r>
          </w:p>
        </w:tc>
      </w:tr>
      <w:tr>
        <w:trPr/>
        <w:tc>
          <w:tcPr>
            <w:tcW w:w="4135" w:type="dxa"/>
            <w:tcBorders/>
          </w:tcPr>
          <w:p>
            <w:pPr>
              <w:pStyle w:val="TableContents"/>
              <w:bidi w:val="0"/>
              <w:spacing w:before="0" w:after="0"/>
              <w:jc w:val="left"/>
              <w:rPr>
                <w:rFonts w:ascii="Times New Roman" w:hAnsi="Times New Roman"/>
                <w:sz w:val="20"/>
              </w:rPr>
            </w:pPr>
            <w:r>
              <w:rPr>
                <w:rFonts w:ascii="Times New Roman" w:hAnsi="Times New Roman"/>
                <w:sz w:val="20"/>
              </w:rPr>
              <w:t>Notes offered hereby</w:t>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5,000</w:t>
            </w:r>
          </w:p>
        </w:tc>
        <w:tc>
          <w:tcPr>
            <w:tcW w:w="159" w:type="dxa"/>
            <w:tcBorders/>
            <w:vAlign w:val="bottom"/>
          </w:tcPr>
          <w:p>
            <w:pPr>
              <w:pStyle w:val="TableContents"/>
              <w:bidi w:val="0"/>
              <w:spacing w:before="0" w:after="283"/>
              <w:jc w:val="left"/>
              <w:rPr/>
            </w:pPr>
            <w:r>
              <w:rPr/>
              <w:t> </w:t>
            </w:r>
          </w:p>
        </w:tc>
      </w:tr>
      <w:tr>
        <w:trPr/>
        <w:tc>
          <w:tcPr>
            <w:tcW w:w="4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debt</w:t>
            </w:r>
          </w:p>
        </w:tc>
        <w:tc>
          <w:tcPr>
            <w:tcW w:w="26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104</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104</w:t>
            </w:r>
          </w:p>
        </w:tc>
        <w:tc>
          <w:tcPr>
            <w:tcW w:w="159" w:type="dxa"/>
            <w:tcBorders/>
            <w:shd w:fill="CCEEFF" w:val="clear"/>
            <w:vAlign w:val="bottom"/>
          </w:tcPr>
          <w:p>
            <w:pPr>
              <w:pStyle w:val="TableContents"/>
              <w:bidi w:val="0"/>
              <w:spacing w:before="0" w:after="283"/>
              <w:jc w:val="left"/>
              <w:rPr/>
            </w:pPr>
            <w:r>
              <w:rPr/>
              <w:t> </w:t>
            </w:r>
          </w:p>
        </w:tc>
      </w:tr>
      <w:tr>
        <w:trPr/>
        <w:tc>
          <w:tcPr>
            <w:tcW w:w="413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35" w:type="dxa"/>
            <w:tcBorders/>
          </w:tcPr>
          <w:p>
            <w:pPr>
              <w:pStyle w:val="TableContents"/>
              <w:bidi w:val="0"/>
              <w:spacing w:before="0" w:after="0"/>
              <w:jc w:val="left"/>
              <w:rPr>
                <w:rFonts w:ascii="Times New Roman" w:hAnsi="Times New Roman"/>
                <w:sz w:val="20"/>
              </w:rPr>
            </w:pPr>
            <w:r>
              <w:rPr>
                <w:rFonts w:ascii="Times New Roman" w:hAnsi="Times New Roman"/>
                <w:sz w:val="20"/>
              </w:rPr>
              <w:t>Total debt, principal amount</w:t>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34,747</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37,997</w:t>
            </w:r>
          </w:p>
        </w:tc>
        <w:tc>
          <w:tcPr>
            <w:tcW w:w="159" w:type="dxa"/>
            <w:tcBorders/>
            <w:vAlign w:val="bottom"/>
          </w:tcPr>
          <w:p>
            <w:pPr>
              <w:pStyle w:val="TableContents"/>
              <w:bidi w:val="0"/>
              <w:spacing w:before="0" w:after="283"/>
              <w:jc w:val="left"/>
              <w:rPr/>
            </w:pPr>
            <w:r>
              <w:rPr/>
              <w:t> </w:t>
            </w:r>
          </w:p>
        </w:tc>
      </w:tr>
      <w:tr>
        <w:trPr/>
        <w:tc>
          <w:tcPr>
            <w:tcW w:w="413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issuance costs and net unamortized discount(2)</w:t>
            </w:r>
          </w:p>
        </w:tc>
        <w:tc>
          <w:tcPr>
            <w:tcW w:w="26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(281</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(295</w:t>
            </w:r>
          </w:p>
        </w:tc>
        <w:tc>
          <w:tcPr>
            <w:tcW w:w="159" w:type="dxa"/>
            <w:tcBorders/>
            <w:shd w:fill="CCEEFF" w:val="clear"/>
            <w:vAlign w:val="bottom"/>
          </w:tcPr>
          <w:p>
            <w:pPr>
              <w:pStyle w:val="TableContents"/>
              <w:bidi w:val="0"/>
              <w:spacing w:before="0" w:after="283"/>
              <w:jc w:val="left"/>
              <w:rPr/>
            </w:pPr>
            <w:r>
              <w:rPr/>
              <w:t>) </w:t>
            </w:r>
          </w:p>
        </w:tc>
      </w:tr>
      <w:tr>
        <w:trPr/>
        <w:tc>
          <w:tcPr>
            <w:tcW w:w="413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35" w:type="dxa"/>
            <w:tcBorders/>
          </w:tcPr>
          <w:p>
            <w:pPr>
              <w:pStyle w:val="TableContents"/>
              <w:bidi w:val="0"/>
              <w:spacing w:before="0" w:after="0"/>
              <w:jc w:val="left"/>
              <w:rPr>
                <w:rFonts w:ascii="Times New Roman" w:hAnsi="Times New Roman"/>
                <w:sz w:val="20"/>
              </w:rPr>
            </w:pPr>
            <w:r>
              <w:rPr>
                <w:rFonts w:ascii="Times New Roman" w:hAnsi="Times New Roman"/>
                <w:sz w:val="20"/>
              </w:rPr>
              <w:t>Total debt, carrying value</w:t>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34,466</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37,702</w:t>
            </w:r>
          </w:p>
        </w:tc>
        <w:tc>
          <w:tcPr>
            <w:tcW w:w="159" w:type="dxa"/>
            <w:tcBorders/>
            <w:vAlign w:val="bottom"/>
          </w:tcPr>
          <w:p>
            <w:pPr>
              <w:pStyle w:val="TableContents"/>
              <w:bidi w:val="0"/>
              <w:spacing w:before="0" w:after="283"/>
              <w:jc w:val="left"/>
              <w:rPr/>
            </w:pPr>
            <w:r>
              <w:rPr/>
              <w:t> </w:t>
            </w:r>
          </w:p>
        </w:tc>
      </w:tr>
      <w:tr>
        <w:trPr/>
        <w:tc>
          <w:tcPr>
            <w:tcW w:w="413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 (deficit)</w:t>
            </w:r>
          </w:p>
        </w:tc>
        <w:tc>
          <w:tcPr>
            <w:tcW w:w="26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(1,427</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(1,427</w:t>
            </w:r>
          </w:p>
        </w:tc>
        <w:tc>
          <w:tcPr>
            <w:tcW w:w="159" w:type="dxa"/>
            <w:tcBorders/>
            <w:shd w:fill="CCEEFF" w:val="clear"/>
            <w:vAlign w:val="bottom"/>
          </w:tcPr>
          <w:p>
            <w:pPr>
              <w:pStyle w:val="TableContents"/>
              <w:bidi w:val="0"/>
              <w:spacing w:before="0" w:after="283"/>
              <w:jc w:val="left"/>
              <w:rPr/>
            </w:pPr>
            <w:r>
              <w:rPr/>
              <w:t>) </w:t>
            </w:r>
          </w:p>
        </w:tc>
      </w:tr>
      <w:tr>
        <w:trPr/>
        <w:tc>
          <w:tcPr>
            <w:tcW w:w="413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35"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33,039</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36,275</w:t>
            </w:r>
          </w:p>
        </w:tc>
        <w:tc>
          <w:tcPr>
            <w:tcW w:w="159" w:type="dxa"/>
            <w:tcBorders/>
            <w:vAlign w:val="bottom"/>
          </w:tcPr>
          <w:p>
            <w:pPr>
              <w:pStyle w:val="TableContents"/>
              <w:bidi w:val="0"/>
              <w:spacing w:before="0" w:after="283"/>
              <w:jc w:val="left"/>
              <w:rPr/>
            </w:pPr>
            <w:r>
              <w:rPr/>
              <w:t> </w:t>
            </w:r>
          </w:p>
        </w:tc>
      </w:tr>
      <w:tr>
        <w:trPr/>
        <w:tc>
          <w:tcPr>
            <w:tcW w:w="413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adjusted amount (i) includes the cash proceeds of the principal amount of the notes issued hereby net of approximately $14 million of original issue discount, (ii) includes the cash used towards the full repayment of our outstanding 2026 Notes, and (iii) does not reflect the use of cash and cash equivalents for the payment of underwriting discounts of $22 million and other fees and expenses related to this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adjusted amount does not give effect to debt issuance costs relating to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oc207421_12"/>
      <w:bookmarkEnd w:id="14"/>
      <w:r>
        <w:rPr>
          <w:rFonts w:ascii="Times New Roman" w:hAnsi="Times New Roman"/>
          <w:b/>
          <w:sz w:val="20"/>
        </w:rPr>
        <w:t xml:space="preserve">DESCRIPTION OF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(as defined below) offered by this prospectus supplement are “debt securities” as described in the accompanying prospectus. This description supplements the description of the debt securities found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Issuers will issue $1,250,000,000 aggregate principal amount of 5.100% Senior Notes due 2029 (the “2029 Notes”), $1,250,000,000 aggregate principal amount of 5.400% Senior Notes due 2031 (the “2031 Notes”), $1,500,000,000 aggregate principal amount of 5.600% Senior Notes due 2033 (the “2033 Notes”) and $1,000,000,000 aggregate principal amount of 5.900% Senior Notes due 2037 (the “2037 Notes” and, together with the 2029 Notes, the 2031 Notes and the 2033 Notes, the “Notes” and each, a “series” of Notes), pursuant to an indenture, dated as of January 24, 2023 (the “Base Indenture”), among the Issuers, the Guarantors and The Bank of New York Mellon Trust Company, N.A., as trustee (the “Trustee”). The Base Indenture will be supplemented by a supplemental indenture, to be dated as of the Issue Date, for each series of Notes. Each supplemental indenture will set forth certain specific terms applicable only to the particular series of Notes governed thereby and references to the “Indenture” herein mean the Base Indenture as amended and supplemented by any supplemental indenture. The terms of the Notes will include the terms stated in the Indenture and the terms made part of the Indenture by reference to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Base Indenture does not limit the amount of debt securities that the Issuers may issue thereunder. To the extent permitted by the Indenture, the Issuers may issue debt securities under the Base Indenture up to an aggregate principal amount as they may authorize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only a summary of certain provisions of the Indenture and the Notes, does not purport to be complete and is subject to, and is qualified in its entirety by reference to, all the provisions of the Indenture and the Notes, including the definitions therein of certain terms used below. We urge you to read each of these documents because they, not this description, define your rights as Holders. You may request copies of these agreements at the address of Parent set forth under the heading “Summary.” </w:t>
      </w:r>
    </w:p>
    <w:p>
      <w:pPr>
        <w:pStyle w:val="TextBody"/>
        <w:bidi w:val="0"/>
        <w:spacing w:before="240" w:after="0"/>
        <w:jc w:val="left"/>
        <w:rPr>
          <w:rFonts w:ascii="Times New Roman" w:hAnsi="Times New Roman"/>
          <w:sz w:val="20"/>
        </w:rPr>
      </w:pPr>
      <w:r>
        <w:rPr>
          <w:rFonts w:ascii="Times New Roman" w:hAnsi="Times New Roman"/>
          <w:sz w:val="20"/>
        </w:rPr>
        <w:t xml:space="preserve">Certain terms used in this description are defined under the heading “Certain Definitions.” In this section of the prospectus supplement, references to the “Issuers” are to Dell International and EMC, the co-issuers of the Notes offered hereby, and not any of their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Brief Description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unsecured obligations of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in right of payment to any future subordinated indebtedness of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pari passu in right of payment with all existing and future senior indebtedness of the Issuers, including the revolving credit facility and the existing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senior to the Legacy Notes that are issued by Dell, a Parent Entity of the Issuers, and which are not guaranteed by the Issuers;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liabilities of Subsidiaries of the Issuers, other than indebtedness and liabilities owed to one of the Issuers or Guarantors.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Guarantees </w:t>
      </w:r>
    </w:p>
    <w:p>
      <w:pPr>
        <w:pStyle w:val="TextBody"/>
        <w:bidi w:val="0"/>
        <w:spacing w:before="120" w:after="0"/>
        <w:jc w:val="left"/>
        <w:rPr>
          <w:rFonts w:ascii="Times New Roman" w:hAnsi="Times New Roman"/>
          <w:sz w:val="20"/>
        </w:rPr>
      </w:pPr>
      <w:r>
        <w:rPr>
          <w:rFonts w:ascii="Times New Roman" w:hAnsi="Times New Roman"/>
          <w:sz w:val="20"/>
        </w:rPr>
        <w:t xml:space="preserve">On the Issue Date, the Guarantors, as primary obligors and not merely as sureties, will jointly and severally irrevocably and unconditionally guarantee, on a senior unsecured basis, the performance and full and punctual payment when due, whether at maturity, by acceleration or otherwise, of all obligations of the Issuers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and the Indenture, whether for payment of principal of, premium, if any, or interest on the Notes, expenses, indemnification or otherwise, on the terms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Guarantors on the Issue Date will be Parent, Denali Intermediate and Dell. The Notes will not be guaranteed by any Subsidiaries of the Issuers. The Note Guarantee of each Guarantor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senior unsecured obligation of such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in right of payment to all existing and future subordinated indebtedness of such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pari passu </w:t>
            </w:r>
            <w:r>
              <w:rPr>
                <w:rFonts w:ascii="Times New Roman" w:hAnsi="Times New Roman"/>
                <w:sz w:val="20"/>
              </w:rPr>
              <w:t xml:space="preserve">in right of payment with all existing and future senior indebtedness of such Guarantor, including guarantees of the Obligations under the revolving credit facility and the existing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senior to the Legacy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liabilities of Subsidiaries of the Issuers, other than indebtedness and liabilities owed to one of the Issuers or Guarantors.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Release of Note Guarantees </w:t>
      </w:r>
    </w:p>
    <w:p>
      <w:pPr>
        <w:pStyle w:val="TextBody"/>
        <w:bidi w:val="0"/>
        <w:spacing w:before="120" w:after="0"/>
        <w:jc w:val="left"/>
        <w:rPr>
          <w:rFonts w:ascii="Times New Roman" w:hAnsi="Times New Roman"/>
          <w:sz w:val="20"/>
        </w:rPr>
      </w:pPr>
      <w:r>
        <w:rPr>
          <w:rFonts w:ascii="Times New Roman" w:hAnsi="Times New Roman"/>
          <w:sz w:val="20"/>
        </w:rPr>
        <w:t xml:space="preserve">Each Note Guarantee of a series of Notes by a Guarantor shall provide by its terms that its Obligations under the Indenture with respect to such series and such Note Guarantee shall be automatically and unconditionally released and discharged upon the Issuers exercising the legal defeasance option or covenant defeasance option with respect to such series as described under “Legal Defeasance and Covenant Defeasance” or the Issuers’ obligations under the Indenture with respect to such series being discharged in accordance with the terms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Paying Agent and Registrar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Issuers will maintain one or more paying agents for the Notes. The initial paying agent for the Notes will be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Issuers will also maintain a registrar. The initial registrar will be the Trustee. The registrar will maintain a register reflecting ownership of the Notes outstanding from time to time and will make payments on and facilitate transfer of Notes on behalf of the Issuers. </w:t>
      </w:r>
    </w:p>
    <w:p>
      <w:pPr>
        <w:pStyle w:val="TextBody"/>
        <w:bidi w:val="0"/>
        <w:spacing w:before="240" w:after="0"/>
        <w:jc w:val="left"/>
        <w:rPr>
          <w:rFonts w:ascii="Times New Roman" w:hAnsi="Times New Roman"/>
          <w:sz w:val="20"/>
        </w:rPr>
      </w:pPr>
      <w:r>
        <w:rPr>
          <w:rFonts w:ascii="Times New Roman" w:hAnsi="Times New Roman"/>
          <w:sz w:val="20"/>
        </w:rPr>
        <w:t xml:space="preserve">The Issuers may change the paying agents or the registrars without prior notice to the Holders. Parent or any of its Subsidiaries may act as a paying agent or registrar.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may transfer or exchange Notes in accordance with the Indenture. The registrar and the Trustee may require a Holder to furnish appropriate endorsements and transfer documents in connection with a transfer of Notes. Holders will be required to pay all taxes and fees required by law and due on transfer. The Issuers are not required to transfer or exchange any Note selected for redemption or tendered (and not withdrawn) for repurchase in connection with a Change of Control Offer, an Alternate Offer or other tender offer. Also, the Issuers are not required to transfer or exchange any Note for a period of 15 days before a selection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will be treated as the owner of the Note for all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and Maturity </w:t>
      </w:r>
    </w:p>
    <w:p>
      <w:pPr>
        <w:pStyle w:val="TextBody"/>
        <w:bidi w:val="0"/>
        <w:spacing w:before="120" w:after="0"/>
        <w:jc w:val="left"/>
        <w:rPr>
          <w:rFonts w:ascii="Times New Roman" w:hAnsi="Times New Roman"/>
          <w:sz w:val="20"/>
        </w:rPr>
      </w:pPr>
      <w:r>
        <w:rPr>
          <w:rFonts w:ascii="Times New Roman" w:hAnsi="Times New Roman"/>
          <w:sz w:val="20"/>
        </w:rPr>
        <w:t xml:space="preserve">The Issuers will issue the 2029 Notes initially with an aggregate principal amount of $1,250,000,000, the 2031 Notes initially with an aggregate principal amount of $1,250,000,000, the 2033 Notes initially with an aggregate principal amount of $1,500,000,000 and the 2037 Notes initially with an aggregate principal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$1,000,000,000. The 2029 Notes will mature on September 15, 2029, the 2031 Notes will mature on September 15, 2031, the 2033 Notes will mature on September 15, 2033 and the 2037 Notes will mature on April 1, 2037. The Issuers may issue additional Notes of a series from time to time after this offering under the Indenture (“Additional Notes”). The Notes of a series offered hereby and any Additional Notes of such series subsequently issued under the Indenture will be treated as a single class for all purposes under the Indenture, including waivers, amendments, redemptions and offers to purchase; </w:t>
      </w:r>
      <w:r>
        <w:rPr>
          <w:rFonts w:ascii="Times New Roman" w:hAnsi="Times New Roman"/>
          <w:i/>
          <w:sz w:val="20"/>
        </w:rPr>
        <w:t xml:space="preserve">provided </w:t>
      </w:r>
      <w:r>
        <w:rPr>
          <w:rFonts w:ascii="Times New Roman" w:hAnsi="Times New Roman"/>
          <w:sz w:val="20"/>
        </w:rPr>
        <w:t xml:space="preserve">that if any Additional Notes of a series are not fungible with the Notes of such series for U.S. federal income tax purposes, such Additional Notes of such series will have a separate CUSIP number and ISIN from the Notes of such series. Unless the context requires otherwise, references to “Notes” of a series for all purposes of the Indenture, the Note Guarantees and this “Description of Notes” include any Additional Notes of such series that are actually issued.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Interest on the 2029 Notes will accrue at the rate of 5.100% per annum and will be payable in cash semi-annually in arrears on March 15 and September 15 of each year commencing on March 15, 2027, to the Holders of record as of the close of business (if applicable) on the immediately preceding March 1 and September 1 (whether or not a Business Day). Interest on the 2031 Notes will accrue at the rate of 5.400% per annum and will be payable in cash semi-annually in arrears on March 15 and September 15 of each year commencing on March 15, 2027, to the Holders of record as of the close of business (if applicable) on the immediately preceding March 1 and September 1 (whether or not a Business Day). Interest on the 2033 Notes will accrue at the rate of 5.600% per annum and will be payable in cash semi-annually in arrears on March 15 and September 15 of each year commencing on March 15, 2027, to the Holders of record as of the close of business (if applicable) on the immediately preceding March 1 and September 1 (whether or not a Business Day). Interest on the 2037 Notes will accrue at the rate of 5.900% per annum and will be payable in cash semi-annually in arrears on April 1 and October 1 of each year commencing on April 1, 2027, to the Holders of record as of the close of business (if applicable) on the immediately preceding March 15 and September 15 (whether or not a Business Day). Interest on the Notes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Principal of, premium, if any, and interest on the Notes will be payable at the office or agency of the Paying Agent maintained for such purpose as described under “Paying Agent and Registrar for the Notes” or, at the option of the Issuers, payment of interest may be made by check mailed to the Holders at their respective addresses set forth in the register of Holders; </w:t>
      </w:r>
      <w:r>
        <w:rPr>
          <w:rFonts w:ascii="Times New Roman" w:hAnsi="Times New Roman"/>
          <w:i/>
          <w:sz w:val="20"/>
        </w:rPr>
        <w:t xml:space="preserve">provided </w:t>
      </w:r>
      <w:r>
        <w:rPr>
          <w:rFonts w:ascii="Times New Roman" w:hAnsi="Times New Roman"/>
          <w:sz w:val="20"/>
        </w:rPr>
        <w:t xml:space="preserve">that all payments of principal, premium, if any, and interest with respect to the Notes represented by one or more global notes registered in the name of or held by DTC or its nominee will be made in accordance with DTC’s applicable procedures. Until otherwise designated by the Issuers, the Issuers’ office or agency will be the office of the Trustee maintained for such purpose. If any interest payment date, the maturity date or any earlier required repurchase or redemption date falls on a day that is a Legal Holiday, the required payment will be made on the next succeeding Business Day and no interest on such payment will accrue in respect of the delay. </w:t>
      </w:r>
    </w:p>
    <w:p>
      <w:pPr>
        <w:pStyle w:val="TextBody"/>
        <w:bidi w:val="0"/>
        <w:spacing w:before="240" w:after="0"/>
        <w:jc w:val="left"/>
        <w:rPr>
          <w:rFonts w:ascii="Times New Roman" w:hAnsi="Times New Roman"/>
          <w:sz w:val="20"/>
        </w:rPr>
      </w:pPr>
      <w:r>
        <w:rPr>
          <w:rFonts w:ascii="Times New Roman" w:hAnsi="Times New Roman"/>
          <w:sz w:val="20"/>
        </w:rPr>
        <w:t xml:space="preserve">Each of the 2029 Notes, the 2031 Notes, the 2033 Notes and the 2037 Notes will constitute a separate series of notes for purposes of the Indenture. The Notes will be issued in minimum denominations of $2,000 and any integral multiple of $1,000 in excess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August 15, 2029, in the case of the 2029 Notes (one month prior to the maturity date of the 2029 Notes) (the “2029 Notes par call date”), August 15, 2031, in the case of the 2031 Notes (one month prior to the maturity date of the 2031 Notes) (the “2031 Notes par call date”), July 15, 2033, in the case of the 2033 Notes (two months prior to the maturity date of the 2033 Notes) (the “2033 Notes par call date”) and January 1, 2037, in the case of the 2037 Notes (three months prior to the maturity date of the 2037 Notes) (the “2037 Notes par call date” and, together with the 2029 Notes par call date, the 2031 Notes par call date and the 2033 Notes par call date, each a “par call date”), the Issuers may redeem the Notes at their option, in whole or in part,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10 basis points (in the case of the 2029 Notes), 15 basis points (in the case of the 2031 Notes), 15 basis points (in the case of the 2033 Notes) and 20 basis points (in the case of the 2037 Notes) less (b)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the Issuers may redeem the Notes, in whole or in part, at any time and from time to time, at a redemption price equal to 100% of the principal amount of the Notes being redeemed plus accrued and unpaid interest thereon to, but excluding, the redemption date.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the Issuers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Issuers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Issuers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Issuers’ actions and determinations in determining the redemption price shall be conclusive and binding for all purposes, absent manifest error. The Trustee shall have no obligation to determine the redemption price or to verify the calculation of the redemption price. </w:t>
      </w:r>
    </w:p>
    <w:p>
      <w:pPr>
        <w:pStyle w:val="TextBody"/>
        <w:bidi w:val="0"/>
        <w:spacing w:before="360" w:after="0"/>
        <w:jc w:val="left"/>
        <w:rPr>
          <w:rFonts w:ascii="Times New Roman" w:hAnsi="Times New Roman"/>
          <w:b/>
          <w:sz w:val="20"/>
        </w:rPr>
      </w:pPr>
      <w:r>
        <w:rPr>
          <w:rFonts w:ascii="Times New Roman" w:hAnsi="Times New Roman"/>
          <w:b/>
          <w:sz w:val="20"/>
        </w:rPr>
        <w:t xml:space="preserve">Mandatory Redemption; Offers to Purchase; Open Market Purchases </w:t>
      </w:r>
    </w:p>
    <w:p>
      <w:pPr>
        <w:pStyle w:val="TextBody"/>
        <w:bidi w:val="0"/>
        <w:spacing w:before="120" w:after="0"/>
        <w:jc w:val="left"/>
        <w:rPr>
          <w:rFonts w:ascii="Times New Roman" w:hAnsi="Times New Roman"/>
          <w:sz w:val="20"/>
        </w:rPr>
      </w:pPr>
      <w:r>
        <w:rPr>
          <w:rFonts w:ascii="Times New Roman" w:hAnsi="Times New Roman"/>
          <w:sz w:val="20"/>
        </w:rPr>
        <w:t xml:space="preserve">The Issuers are not required to make any mandatory redemption or sinking fund payments with respect to the Notes. In addition, other than as required under “Change of Control Triggering Event,” the Issuers will not be required to offer to repurchase or redeem or otherwise modify the terms of any of the Notes upon a change in control of, or other events involving, Parent or any of its Subsidiaries which may adversely affect the creditworthiness of the Notes. The Issuers and their Affiliates may at any time and from time to time acquire the Notes by means other than a redemption, whether pursuant to a tender offer, purchases in the open market, in privately negotiated transactions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provide that if a Change of Control Triggering Event occurs with respect to a series of Notes, unless, prior to or concurrently with the time the Issuers are required to make a Change of Control Offer, the Issuers have mailed or delivered, or otherwise sent through electronic transmission, a redemption notice with respect to all the outstanding Notes of such series as described under “Optional Redemption” or “Satisfaction and Discharge,” the Issuers will make an offer to purchase all of the Notes of such series pursuant to the offer described below (the “Change of Control Offer”) at a price in cash equal to 101% of the aggregate principal amount thereof (or such higher amount as the Issuers may determine (any Change of Control Offer at a higher amount, an “Alternate Offer”)) (such price, the “Change of Control Payment”) plus accrued and unpaid interest, if any, to, but excluding the date of purchase, subject to the right of Holders of record on the relevant record date to receive interest due on the relevant interest payment date. Within 30 days following any Change of Control Triggering Event with respect to a series of Notes, the Issuers will send notice of such Change of Control Offer by first-class mail, with a copy to the Trustee, to each Holder of Notes of such series to the address of such Holder appearing in the security register or otherwise in accordance with the procedures of DTC, with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 Change of Control Offer is being made pursuant to the covenant entitled “Change of Control Triggering Event,” and that all Notes of such series properly tendered pursuant to such Change of Control Offer will be accepted for payment by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and the purchase date, which will be no earlier than 20 Business Days and no later than 60 days from the date such notice is sent (the “Change of Control Payment Date”); </w:t>
            </w:r>
            <w:r>
              <w:rPr>
                <w:rFonts w:ascii="Times New Roman" w:hAnsi="Times New Roman"/>
                <w:i/>
                <w:sz w:val="20"/>
              </w:rPr>
              <w:t>provided</w:t>
            </w:r>
            <w:r>
              <w:rPr>
                <w:rFonts w:ascii="Times New Roman" w:hAnsi="Times New Roman"/>
                <w:sz w:val="20"/>
              </w:rPr>
              <w:t xml:space="preserve">, that the Change of Control Payment Date may be delayed, in the Issuers’ discretion, until such time (including more than 60 days after the date such notice is sent) as any or all such conditions referred to in clause (7) below shall be satisfied or waived;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any Note of such series not properly tendered will remain outstanding and continue to accrue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unless the Issuers default in the payment of the Change of Control Payment plus accrued and unpaid interest on all properly tendered Notes of such series, all Notes of such series accepted for payment pursuant to the Change of Control Offer will cease to accrue interest on the Change of Control Payment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Holders electing to have any Notes of such series purchased pursuant to a Change of Control Offer will be required to surrender such Notes of such series, with the form entitled “Option of Holder to Elect Purchase” on the reverse of such Notes completed or otherwise in accordance with the procedures of DTC, to the paying agent specified in the notice at the address specified in the notice prior to the close of business on the third Business Day preceding the Change of Control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if less than all of such Holder’s Notes of such series are tendered for purchase, such Holder will be issued new Notes of such series (or, in the case of global notes, such Notes shall be reduced by such amount of Notes of such series that the Holder has tendered) and such new Notes will be equal in aggregate principal amount to the unpurchased portion of the Notes of such series surrendered (the unpurchased portion of the Notes of such series must be equal to $2,000 or an integral multiple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notice is sent prior to the occurrence of a Change of Control Triggering Event, stating that the Change of Control Offer is conditional on the occurrence of such Change of Control Triggering Event or such other conditions specified therein and describing each such condition, and, if applicable, stating that, in the Issuers’ discretion, the Change of Control Payment Date may be delayed until such time as any or all such conditions shall be satisfied or waived (including more than 60 days after the notice is mailed or delivered), or that such purchase may not occur and such notice may be rescinded in the event that the Issuers reasonably believe that any or all such conditions (including the occurrence of the Change of Control Triggering Event) will not be satisfied or waived by the Change of Control Payment Date, or by the Change of Control Payment Date as so delayed;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instructions, as determined by the Issuers, consistent with this covenant, that a Holder must follow.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the Notes of a series are in global form and the Issuers make an offer to purchase all of the Notes of such series pursuant to the Change of Control Offer, a Holder of such series of Notes may exercise its option to elect for the purchase of the Notes of such series through the facilities of DTC, subject to its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Issuers will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the Indenture, the Issuers will comply with the applicable securities laws and regulations and shall not be deemed to have breached its obligations described in the Indenture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the Issuers will, to the extent permitted by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issued by them or portions thereof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Change of Control Payment in respect of all Notes or portions thereof so tendered, plus accrued and unpaid interest thereon,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for cancellation the Notes so accepted together with an Officer’s Certificate to the Trustee stating that such Notes or portions thereof have been tendered to and purchased by the Issuers.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revolving credit facility provides, and any future credit agreements or other agreements relating to indebtedness to which the Issuers (or any of their Affiliates) become parties may provide, that certain change of control events with respect to Parent would constitute an event of default thereunder. If Parent experiences a change of control that triggers an event of default under the revolving credit facility and/or any indebtedness governed by such other agreements, we could seek a waiver of such event of default or seek to refinance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revolving credit facility and/or such other agreements. In the event we do not obtain such a waiver or refinance the revolving credit facility and/or such other agreements, such event of default could result in amounts outstanding under the revolving credit facility and/or such other agreements being declared due and payable. </w:t>
      </w:r>
    </w:p>
    <w:p>
      <w:pPr>
        <w:pStyle w:val="TextBody"/>
        <w:bidi w:val="0"/>
        <w:spacing w:before="240" w:after="0"/>
        <w:jc w:val="left"/>
        <w:rPr>
          <w:rFonts w:ascii="Times New Roman" w:hAnsi="Times New Roman"/>
          <w:sz w:val="20"/>
        </w:rPr>
      </w:pPr>
      <w:r>
        <w:rPr>
          <w:rFonts w:ascii="Times New Roman" w:hAnsi="Times New Roman"/>
          <w:sz w:val="20"/>
        </w:rPr>
        <w:t>Our ability to pay cash to the Holders of Notes following the occurrence of a Change of Control Triggering Event may be limited by our then-existing financial resources. Therefore, sufficient funds may not be available when necessary to make any required repurchases. See “</w:t>
      </w:r>
      <w:r>
        <w:rPr>
          <w:rFonts w:ascii="Times New Roman" w:hAnsi="Times New Roman"/>
          <w:i/>
          <w:sz w:val="20"/>
        </w:rPr>
        <w:t>Risk Factors—Risks Related to the Notes and the Offering—We may not be able to finance a change of control offer as required by the Indenture that will govern the notes offered 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Change of Control Triggering Event purchase feature of the Notes may in certain circumstances make it more difficult or discourage a sale or takeover of Parent, and, thus, the removal of incumbent management. The Change of Control Triggering Event purchase feature is a result of negotiations between the underwriters and us. We have no present intention to engage in a transaction involving a Change of Control, although it is possible that we could decide to do so in the future. Subject to the limitations discussed below, we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our capital structure or credit ratings. </w:t>
      </w:r>
    </w:p>
    <w:p>
      <w:pPr>
        <w:pStyle w:val="TextBody"/>
        <w:bidi w:val="0"/>
        <w:spacing w:before="240" w:after="0"/>
        <w:jc w:val="left"/>
        <w:rPr>
          <w:rFonts w:ascii="Times New Roman" w:hAnsi="Times New Roman"/>
          <w:sz w:val="20"/>
        </w:rPr>
      </w:pPr>
      <w:r>
        <w:rPr>
          <w:rFonts w:ascii="Times New Roman" w:hAnsi="Times New Roman"/>
          <w:sz w:val="20"/>
        </w:rPr>
        <w:t xml:space="preserve">The Issuers will not be required to make a Change of Control Offer if a third party makes the Change of Control Offer (including, for the avoidance of doubt, an Alternate Offer) in the manner, at the times and otherwise in compliance with the requirements set forth in the Indenture applicable to a Change of Control Offer made by the Issuers and purchases all Notes validly tendered and not withdrawn under such Change of Control Offer. Notwithstanding anything to the contrary herein, a Change of Control Offer (including, for the avoidance of doubt, an Alternate Offer) may be made in advance of a Change of Control Triggering Event, conditional upon such Change of Control Triggering Event or such other conditions specified therein, if a definitive agreement is in place for the Change of Control at the time of making of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Notes of any series, if Holders of not less than 90% in aggregate principal amount of the outstanding Notes of such series validly tender and do not withdraw such Notes in a Change of Control Offer and the Issuers, or any third party making a Change of Control Offer in lieu of the Issuers as described above, purchases all of the Notes validly tendered and not withdrawn by such Holders, the Issuers or such third party will have the right, upon not less than 10 nor more than 60 days’ prior notice, given not more than 30 days following such purchase pursuant to the Change of Control Offer described above, to redeem all Notes of such series that remain outstanding following such purchase on a date (the “Second Change of Control Payment Date”) at a price in cash equal to the Change of Control Payment (excluding any early tender premium or similar premium and any accrued and unpaid interest paid to any Holder pursuant to such Change of Control Payment) in respect of the Second Change of Control Payment Date, including, to the extent not included in the Change of Control Payment, accrued and unpaid interest, if any, thereon, to, but excluding, the Second Change of Control Payment Date, subject to the right of Holders of record of Notes of such series on the relevant record date to receive interest due on the relevant interest payment date falling on or prior to the Second Change of Control Payment Date. </w:t>
      </w:r>
    </w:p>
    <w:p>
      <w:pPr>
        <w:pStyle w:val="TextBody"/>
        <w:bidi w:val="0"/>
        <w:spacing w:before="240" w:after="0"/>
        <w:jc w:val="left"/>
        <w:rPr>
          <w:rFonts w:ascii="Times New Roman" w:hAnsi="Times New Roman"/>
          <w:sz w:val="20"/>
        </w:rPr>
      </w:pPr>
      <w:r>
        <w:rPr>
          <w:rFonts w:ascii="Times New Roman" w:hAnsi="Times New Roman"/>
          <w:sz w:val="20"/>
        </w:rPr>
        <w:t>The definition of “Change of Control” includes a disposition of all or substantially all of the assets of Parent and its Subsidiaries, taken as a whole, to any Person other than any Permitted Holders. 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 disposition of “all or substantially all” of the assets of Parent and its Subsidiaries, taken as a whole. As a result, it may be unclear as to whether a Change of Control has occurred and whether a Holder of Notes may require the Issuers to make an offer to repurchase the Notes as described above. See “</w:t>
      </w:r>
      <w:r>
        <w:rPr>
          <w:rFonts w:ascii="Times New Roman" w:hAnsi="Times New Roman"/>
          <w:i/>
          <w:sz w:val="20"/>
        </w:rPr>
        <w:t>Risk Factors—Risks Related to the Notes and the Offering—Holders of the notes may not be able to determine when a change of control giving rise to their right to have the notes repurchased has occurred following a sale of “substantially all” of our assets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provisions of the Indenture relating to the Issuers’ obligation to make a Change of Control Offer with respect to the Notes of any series upon a Change of Control Triggering Event may be waived or modified at any time with the written consent of the Holders of a majority in aggregate principal amount of the Notes of such series then outstanding. A Change of Control Offer (including, for the avoidance of doubt, an Alternate Offer) may be made at the same time as consents are solicited with respect to an amendment, supplement or waiver of the Indenture, the Notes and/or the Note Guarantees so long as the tender of Notes by a Holder is not conditioned upon the delivery of consents by such Holder. In addition, the Issuers or any third party approved in writing by the Issuers that is making the Change of Control Offer (including, for the avoidance of doubt, an Alternate Offer) may increase or decrease the Change of Control Payment (or decline to pay any early tender or similar premium) being offered to Holders at any time in its sole discretion, so long as the Change of Control Payment is at least equal to 101% of the aggregate principal amount of the Notes being repurchased, plus accrued and unpaid interest thereon. </w:t>
      </w:r>
    </w:p>
    <w:p>
      <w:pPr>
        <w:pStyle w:val="TextBody"/>
        <w:bidi w:val="0"/>
        <w:spacing w:before="360" w:after="0"/>
        <w:jc w:val="left"/>
        <w:rPr>
          <w:rFonts w:ascii="Times New Roman" w:hAnsi="Times New Roman"/>
          <w:b/>
          <w:sz w:val="20"/>
        </w:rPr>
      </w:pPr>
      <w:r>
        <w:rPr>
          <w:rFonts w:ascii="Times New Roman" w:hAnsi="Times New Roman"/>
          <w:b/>
          <w:sz w:val="20"/>
        </w:rPr>
        <w:t xml:space="preserve">Selection and Notice </w:t>
      </w:r>
    </w:p>
    <w:p>
      <w:pPr>
        <w:pStyle w:val="TextBody"/>
        <w:bidi w:val="0"/>
        <w:spacing w:before="120" w:after="0"/>
        <w:jc w:val="left"/>
        <w:rPr>
          <w:rFonts w:ascii="Times New Roman" w:hAnsi="Times New Roman"/>
          <w:sz w:val="20"/>
        </w:rPr>
      </w:pPr>
      <w:r>
        <w:rPr>
          <w:rFonts w:ascii="Times New Roman" w:hAnsi="Times New Roman"/>
          <w:sz w:val="20"/>
        </w:rPr>
        <w:t xml:space="preserve">In the case of a partial redemption or purchase, selection of the Notes of a series for redemption or purchase will be made by lot. No Notes of a principal amount of $2,000 or less will be redeemed or purchased in part. If any Note of a series is to be redeemed or purchased in part only, the notice of redemption or purchase that relates to the Note will state the portion of the principal amount of the Note to be redeemed or purchased. A new Note of such series in a principal amount equal to the unredeemed or unpurchased portion of the Note will be issued in the name of the Holder of the Note upon surrender for cancellation of the original Note; </w:t>
      </w:r>
      <w:r>
        <w:rPr>
          <w:rFonts w:ascii="Times New Roman" w:hAnsi="Times New Roman"/>
          <w:i/>
          <w:sz w:val="20"/>
        </w:rPr>
        <w:t xml:space="preserve">provided </w:t>
      </w:r>
      <w:r>
        <w:rPr>
          <w:rFonts w:ascii="Times New Roman" w:hAnsi="Times New Roman"/>
          <w:sz w:val="20"/>
        </w:rPr>
        <w:t xml:space="preserve">that the new Note will be only issued in denominations of $2,000 and any integral multiple of $1,000 in excess thereof. For so long as the Notes are held by DTC (or another depositary), the redemption or purchase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Notices of redemption or offer to purchase shall be delivered electronically or mailed by first-class mail, postage prepaid, at least 10 days, but except as set forth in the immediately succeeding paragraph, not more than 60 days before the redemption date or purchase date to each Holder at such Holder’s registered address or otherwise in accordance with the procedures of DTC, except that notices of redemption may be delivered or mailed more than 60 days prior to a redemption date if the notice is issued in connection with a defeasance of any series of Notes or a satisfaction and discharge of the Indenture with respect to any series of Notes.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of, or any offer to purchase, the Notes may, at the Issuers’ discretion, be given in connection with another transaction (or series of related transactions) and prior to the completion or the occurrence thereof, and any such redemption or purchase may, at the Issuers’ discretion, be subject to one or more conditions precedent, including, but not limited to, completion or occurrence of the related transaction or event, as the case may be. In addition, if such redemption or purchase is subject to satisfaction of one or more conditions precedent, such notice shall describe each such condition, and if applicable, shall state that, in the Issuers’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by the redemption date or purchase date or by the redemption date or purchase date as so delayed, or such notice may be rescinded at any time in the Issuers’ discretion if the Issuers reasonably believe that any or all of such conditions will not be satisfied. In addition, the Issuers may provide in such notice or offer that payment of the redemption or purchase price and performance of the Issuers’ obligations with respect to such redemption or offer to purchase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Notes called for redemption or purchase become due on the date fixed for redemption or purchase, unless such redemption or purchase is conditioned on the happening of a future event. On and after the redemption or purchase date, unless the Issuers default in payment of the redemption or purchase price, interest shall cease to accrue on Notes or portions of them called for redemption or purchase, unless such redemption or purchase remains conditioned on the occurrence of a future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Issuers may redeem Notes pursuant to one or more of the relevant provisions in the Indenture, and a single notice of redemption may be delivered with respect to redemptions made pursuant to different provisions. </w:t>
      </w:r>
    </w:p>
    <w:p>
      <w:pPr>
        <w:pStyle w:val="TextBody"/>
        <w:bidi w:val="0"/>
        <w:spacing w:before="240" w:after="0"/>
        <w:jc w:val="left"/>
        <w:rPr>
          <w:rFonts w:ascii="Times New Roman" w:hAnsi="Times New Roman"/>
          <w:sz w:val="20"/>
        </w:rPr>
      </w:pPr>
      <w:r>
        <w:rPr>
          <w:rFonts w:ascii="Times New Roman" w:hAnsi="Times New Roman"/>
          <w:sz w:val="20"/>
        </w:rPr>
        <w:t xml:space="preserve">Any such notice may provide that redemptions made pursuant to different provisions will have different redemption dates and, with respect to redemptions that occur on the same date, may specify the order in which such redemptions are deemed to occur.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Limitation on Liens </w:t>
      </w:r>
    </w:p>
    <w:p>
      <w:pPr>
        <w:pStyle w:val="TextBody"/>
        <w:bidi w:val="0"/>
        <w:spacing w:before="120" w:after="0"/>
        <w:jc w:val="left"/>
        <w:rPr>
          <w:rFonts w:ascii="Times New Roman" w:hAnsi="Times New Roman"/>
          <w:sz w:val="20"/>
        </w:rPr>
      </w:pPr>
      <w:r>
        <w:rPr>
          <w:rFonts w:ascii="Times New Roman" w:hAnsi="Times New Roman"/>
          <w:sz w:val="20"/>
        </w:rPr>
        <w:t xml:space="preserve">The Issuers will not, and will not permit any of their Restricted Subsidiaries to, directly or indirectly, create, incur or assume any Lien (except Permitted Liens) on any of their or any Restricted Subsidiary’s Principal Property (whether such Principal Property is now existing or owned or hereafter created or acquired) that secures indebtedness for borrowed money, unless the Notes are equally and ratably secured with (or, at an Issuer’s option, on a senior basis to) the indebtedness so secured.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immediately preceding paragraph, the Issuers and their Restricted Subsidiaries may, without equally and ratably securing the Notes, create, incur or assume any Lien which would otherwise be prohibited by the foregoing paragraph if, after giving effect thereto and at the time of determination, Aggregate Debt of the Issuers and their Restricted Subsidiaries secured by Liens on any of their respective Principal Properties does not exceed at any one time outstanding the greater of (x) $4,300 million and (y) 15%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Any Lien created for the benefit of the Holders of any series of Notes pursuant to the second paragraph under this “Limitation on Liens” covenant shall provide by its terms that such Lien shall be automatically and unconditionally released and discharged upon the release and discharge of the Lien that gave rise to the obligation to secure the Notes of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Issuers will not, and will not permit any of their Restricted Subsidiaries to, enter into any Sale and Lease-Back Transaction with respect to any Principal Property unless (a) the Issuers or such Restricted Subsidiary would be entitled to incur Indebtedness secured by a Lien on the Principal Property involved in such transaction at least equal in amount to the Attributable Indebtedness with respect to such Sale and Lease-Back Transaction without equally and ratably securing the Notes pursuant to the first paragraph under “—Limitation on Liens,” or (b) the Issuers shall apply an amount equal to the net proceeds of the Attributable Indebtedness with respect to such Sale and Lease-Back Transaction within 365 days after such Sale and Lease-Back Transaction to the defeasance or retirement of any series of Notes or other indebtedness of the Issuers or a Restricted Subsidiary or to the purchase, construction or development of other assets or property.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Issuers and their Restricted Subsidiaries may enter into any Sale and Lease-Back Transaction which would otherwise be prohibited by the foregoing paragraph if, after giving effect thereto and at the time of determination, Aggregate Debt does not exceed at any one time outstanding the greater of (x) $4,300 million and (y) 15% of Consolidated Net Tangible Assets.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certain defined terms to be used in the Indenture. For purposes of the Indenture, unless otherwise specifically indicated, the term “consolidated” with respect to any Person refers to such Person on a consolidated basis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 </w:t>
      </w:r>
    </w:p>
    <w:p>
      <w:pPr>
        <w:pStyle w:val="TextBody"/>
        <w:bidi w:val="0"/>
        <w:spacing w:before="240" w:after="0"/>
        <w:jc w:val="left"/>
        <w:rPr/>
      </w:pPr>
      <w:r>
        <w:rPr/>
        <w:t>“</w:t>
      </w:r>
      <w:r>
        <w:rPr>
          <w:rFonts w:ascii="Times New Roman" w:hAnsi="Times New Roman"/>
          <w:i/>
          <w:sz w:val="20"/>
        </w:rPr>
        <w:t>Aggregate Debt</w:t>
      </w:r>
      <w:r>
        <w:rPr>
          <w:rFonts w:ascii="Times New Roman" w:hAnsi="Times New Roman"/>
          <w:sz w:val="20"/>
        </w:rPr>
        <w:t xml:space="preserve">” means, as of the date of determination, the sum of (1) the aggregate principal amount of Indebtedness of the Issuers and their Restricted Subsidiaries secured by Liens (other than Permitted Liens) that is not permitted by the first paragraph under “Certain Covenants—Limitation on Liens” and (2) the Attributable Indebtedness of the Issuers and their Restricted Subsidiaries in respect of Sale and Lease-Back Transactions entered into pursuant to the second paragraph of “Certain Covenants—Limitation on Sale and Lease-Back Transactions.” </w:t>
      </w:r>
    </w:p>
    <w:p>
      <w:pPr>
        <w:pStyle w:val="TextBody"/>
        <w:bidi w:val="0"/>
        <w:spacing w:before="240" w:after="0"/>
        <w:jc w:val="left"/>
        <w:rPr/>
      </w:pPr>
      <w:r>
        <w:rPr/>
        <w:t>“</w:t>
      </w:r>
      <w:r>
        <w:rPr>
          <w:rFonts w:ascii="Times New Roman" w:hAnsi="Times New Roman"/>
          <w:i/>
          <w:sz w:val="20"/>
        </w:rPr>
        <w:t>Attributable Indebtedness</w:t>
      </w:r>
      <w:r>
        <w:rPr>
          <w:rFonts w:ascii="Times New Roman" w:hAnsi="Times New Roman"/>
          <w:sz w:val="20"/>
        </w:rPr>
        <w:t xml:space="preserve">” when used in connection with a Sale and Lease-Back Transaction relating to a Principal Property means, at the time of determination, the lesser of (1) the fair market value of property or assets involved in the Sale and Lease-Back Transaction, (2) the present value of the total net amount of rent required to be paid under such lease during the remaining term thereof (including any renewal term or period for which such lease has been extended), computed by discounting from the respective due dates to such date such total net amount of rent at the rate of interest set forth or implicit in the terms of such lease or, if not practicable to determine such rate, the rate per annum equal to the weighted average interest rate per annum borne by the Notes of each series outstanding pursuant to the Indenture compounded semi-annually, or (3) if the obligation with respect to the Sale and Lease-Back Transaction constitutes a Financing Lease Obligation, the amount equal to the capitalized amount of such obligation determined in accordance with GAAP and included in the financial statements of the lessee.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that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net amount determined assuming no such termination.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with respect to a Person means the board of directors (or similar body, including any sole or managing member, as applicable) of such Person or any committee thereof duly authorized to act on behalf of such board of directors (or similar body, including any sole or managing member, as applicable).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each day which is not a Legal Holiday.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of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interest or participation that confers on a Person the right to receive a share of the profits and losses of, or distributions of assets of, the issuing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Change of Control</w:t>
      </w:r>
      <w:r>
        <w:rPr>
          <w:rFonts w:ascii="Times New Roman" w:hAnsi="Times New Roman"/>
          <w:sz w:val="20"/>
        </w:rPr>
        <w:t xml:space="preserve">” means the occurrence of one or more of the following events after the Issue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lease or transfer, in one or a series of related transactions, of all or substantially all of the assets of Parent and its Subsidiaries, taken as a whole, to any Person other than any Permitted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Parent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of more than 50% of the total voting power of the Voting Stock entitled to vote for the election of directors of Parent having a majority of the aggregate votes on the Board of Parent, unless the Permitted Holders otherwise have the right (pursuant to contract, proxy or otherwise), directly or indirectly, to designate or appoint directors of Parent having a majority of the aggregate votes on the Board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consolidates with, or merges with or into, any Person, or any Person consolidates with, or merges with or into, Parent, in any such event pursuant to a transaction in which the outstanding Voting Stock of Parent or the Voting Stock of such other Person is converted into or exchanged for cash, securities or other property, other than any such transaction where the shares of Voting Stock of Parent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of the Issuers shall cease to be a direct or indirect Subsidiary of Parent;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by Parent of a plan providing for its liquidation or dissolution.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or any provision of Section 13d-3 of the Exchange Act, (i) a Person or group shall not be deemed to beneficially own Voting Stock (x)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as a result of veto or approval rights in any joint venture agreement, shareholder agreement or other similar agreement, (ii) if any group includes one or more Permitted Holders, the issued and outstanding Voting Stock of Parent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entitled to vote for the election of directors of such Parent Entity having a majority of the aggregate votes on the Board of such Parent Entity. </w:t>
      </w:r>
    </w:p>
    <w:p>
      <w:pPr>
        <w:pStyle w:val="TextBody"/>
        <w:bidi w:val="0"/>
        <w:spacing w:before="240" w:after="0"/>
        <w:jc w:val="left"/>
        <w:rPr/>
      </w:pPr>
      <w:r>
        <w:rPr/>
        <w:t>“</w:t>
      </w:r>
      <w:r>
        <w:rPr>
          <w:rFonts w:ascii="Times New Roman" w:hAnsi="Times New Roman"/>
          <w:i/>
          <w:sz w:val="20"/>
        </w:rPr>
        <w:t>Change of Control Triggering Event</w:t>
      </w:r>
      <w:r>
        <w:rPr>
          <w:rFonts w:ascii="Times New Roman" w:hAnsi="Times New Roman"/>
          <w:sz w:val="20"/>
        </w:rPr>
        <w:t xml:space="preserve">” means, with respect to any series of Notes, the occurrence of both a Change of Control and a Rating Decline with respect to such series of Notes. </w:t>
      </w:r>
    </w:p>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means, at any time, the aggregate amount of assets (less applicable reserves and other properly deductible items) after deducting therefrom (1) all current liabilities (including, for the avoidance of doubt, Non-Financing Lease Obligations), except for (a) notes and loans payable, (b) current maturities of long-term debt and (c) current maturities of obligations under Financing Lease Obligations (such current liabilities referred to in this clause (1), less the items set forth in sub-clauses (a) through (c), the “</w:t>
      </w:r>
      <w:r>
        <w:rPr>
          <w:rFonts w:ascii="Times New Roman" w:hAnsi="Times New Roman"/>
          <w:i/>
          <w:sz w:val="20"/>
        </w:rPr>
        <w:t>Adjusted Current Liabilities</w:t>
      </w:r>
      <w:r>
        <w:rPr>
          <w:rFonts w:ascii="Times New Roman" w:hAnsi="Times New Roman"/>
          <w:sz w:val="20"/>
        </w:rPr>
        <w:t xml:space="preserve">”), and (2) to the extent included in such aggregate amount of assets, all intangible assets, goodwill, trade names, trademarks, patents, organization and development expenses, unamortized debt discount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expenses and deferred charges (other than capitalized unamortized product development costs, such as, without limitation, capitalized hardware and software development costs) (such items referred to in this clause (2), the “</w:t>
      </w:r>
      <w:r>
        <w:rPr>
          <w:rFonts w:ascii="Times New Roman" w:hAnsi="Times New Roman"/>
          <w:i/>
          <w:sz w:val="20"/>
        </w:rPr>
        <w:t>Intangible Assets</w:t>
      </w:r>
      <w:r>
        <w:rPr>
          <w:rFonts w:ascii="Times New Roman" w:hAnsi="Times New Roman"/>
          <w:sz w:val="20"/>
        </w:rPr>
        <w:t xml:space="preserve">”), all as set forth on the most recent consolidated balance sheet of Parent and its Subsidiaries as of the end of the most recently ended fiscal quarter prior to the applicable date of determination for which financial statements are available; </w:t>
      </w:r>
      <w:r>
        <w:rPr>
          <w:rFonts w:ascii="Times New Roman" w:hAnsi="Times New Roman"/>
          <w:i/>
          <w:sz w:val="20"/>
        </w:rPr>
        <w:t xml:space="preserve">provided </w:t>
      </w:r>
      <w:r>
        <w:rPr>
          <w:rFonts w:ascii="Times New Roman" w:hAnsi="Times New Roman"/>
          <w:sz w:val="20"/>
        </w:rPr>
        <w:t xml:space="preserve">that, for purposes of testing the covenants under the Indenture in connection with any transaction, (i) the assets and Intangible Assets of Parent and its Subsidiaries shall be adjusted to reflect any acquisitions and dispositions of assets or Intangible Assets, as the case may be, that have occurred during the period from the date of the applicable balance sheet through the applicable date of determination, including the transaction being tested under the Indenture and (ii) the Adjusted Current Liabilities of Parent and its Subsidiaries shall be adjusted to reflect any increase or decrease in Adjusted Current Liabilities as a result of such transaction being tested under the Indenture or any acquisitions or dispositions of assets that have occurred during the period from the date of the applicable balance sheet through the applicable date of determination. </w:t>
      </w:r>
    </w:p>
    <w:p>
      <w:pPr>
        <w:pStyle w:val="TextBody"/>
        <w:bidi w:val="0"/>
        <w:spacing w:before="240" w:after="0"/>
        <w:jc w:val="left"/>
        <w:rPr/>
      </w:pPr>
      <w:r>
        <w:rPr/>
        <w:t>“</w:t>
      </w:r>
      <w:r>
        <w:rPr>
          <w:rFonts w:ascii="Times New Roman" w:hAnsi="Times New Roman"/>
          <w:i/>
          <w:sz w:val="20"/>
        </w:rPr>
        <w:t>Dell</w:t>
      </w:r>
      <w:r>
        <w:rPr>
          <w:rFonts w:ascii="Times New Roman" w:hAnsi="Times New Roman"/>
          <w:sz w:val="20"/>
        </w:rPr>
        <w:t xml:space="preserve">” means Dell Inc., a Delaware corporation. </w:t>
      </w:r>
    </w:p>
    <w:p>
      <w:pPr>
        <w:pStyle w:val="TextBody"/>
        <w:bidi w:val="0"/>
        <w:spacing w:before="240" w:after="0"/>
        <w:jc w:val="left"/>
        <w:rPr/>
      </w:pPr>
      <w:r>
        <w:rPr/>
        <w:t>“</w:t>
      </w:r>
      <w:r>
        <w:rPr>
          <w:rFonts w:ascii="Times New Roman" w:hAnsi="Times New Roman"/>
          <w:i/>
          <w:sz w:val="20"/>
        </w:rPr>
        <w:t>Dell International</w:t>
      </w:r>
      <w:r>
        <w:rPr>
          <w:rFonts w:ascii="Times New Roman" w:hAnsi="Times New Roman"/>
          <w:sz w:val="20"/>
        </w:rPr>
        <w:t xml:space="preserve">” means Dell International L.L.C., a Delaware limited liability company. </w:t>
      </w:r>
    </w:p>
    <w:p>
      <w:pPr>
        <w:pStyle w:val="TextBody"/>
        <w:bidi w:val="0"/>
        <w:spacing w:before="240" w:after="0"/>
        <w:jc w:val="left"/>
        <w:rPr/>
      </w:pPr>
      <w:r>
        <w:rPr/>
        <w:t>“</w:t>
      </w:r>
      <w:r>
        <w:rPr>
          <w:rFonts w:ascii="Times New Roman" w:hAnsi="Times New Roman"/>
          <w:i/>
          <w:sz w:val="20"/>
        </w:rPr>
        <w:t>Denali Intermediate</w:t>
      </w:r>
      <w:r>
        <w:rPr>
          <w:rFonts w:ascii="Times New Roman" w:hAnsi="Times New Roman"/>
          <w:sz w:val="20"/>
        </w:rPr>
        <w:t xml:space="preserve">” means Denali Intermediate Inc., a Delaware corporation. </w:t>
      </w:r>
    </w:p>
    <w:p>
      <w:pPr>
        <w:pStyle w:val="TextBody"/>
        <w:bidi w:val="0"/>
        <w:spacing w:before="240" w:after="0"/>
        <w:jc w:val="left"/>
        <w:rPr/>
      </w:pPr>
      <w:r>
        <w:rPr/>
        <w:t>“</w:t>
      </w:r>
      <w:r>
        <w:rPr>
          <w:rFonts w:ascii="Times New Roman" w:hAnsi="Times New Roman"/>
          <w:i/>
          <w:sz w:val="20"/>
        </w:rPr>
        <w:t>Domestic Subsidiary</w:t>
      </w:r>
      <w:r>
        <w:rPr>
          <w:rFonts w:ascii="Times New Roman" w:hAnsi="Times New Roman"/>
          <w:sz w:val="20"/>
        </w:rPr>
        <w:t xml:space="preserve">” means any Subsidiary (other than a Foreign Subsidiary) that is organized or existing under the laws of the United States, any state or territory thereof or the District of Columbia. </w:t>
      </w:r>
    </w:p>
    <w:p>
      <w:pPr>
        <w:pStyle w:val="TextBody"/>
        <w:bidi w:val="0"/>
        <w:spacing w:before="240" w:after="0"/>
        <w:jc w:val="left"/>
        <w:rPr/>
      </w:pPr>
      <w:r>
        <w:rPr/>
        <w:t>“</w:t>
      </w:r>
      <w:r>
        <w:rPr>
          <w:rFonts w:ascii="Times New Roman" w:hAnsi="Times New Roman"/>
          <w:i/>
          <w:sz w:val="20"/>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i/>
          <w:sz w:val="20"/>
        </w:rPr>
        <w:t>EMC</w:t>
      </w:r>
      <w:r>
        <w:rPr>
          <w:rFonts w:ascii="Times New Roman" w:hAnsi="Times New Roman"/>
          <w:sz w:val="20"/>
        </w:rPr>
        <w:t xml:space="preserve">” means EMC Corporation, a Massachusetts corporation. </w:t>
      </w:r>
    </w:p>
    <w:p>
      <w:pPr>
        <w:pStyle w:val="TextBody"/>
        <w:bidi w:val="0"/>
        <w:spacing w:before="240" w:after="0"/>
        <w:jc w:val="left"/>
        <w:rPr/>
      </w:pPr>
      <w:r>
        <w:rPr/>
        <w:t>“</w:t>
      </w:r>
      <w:r>
        <w:rPr>
          <w:rFonts w:ascii="Times New Roman" w:hAnsi="Times New Roman"/>
          <w:i/>
          <w:sz w:val="20"/>
        </w:rPr>
        <w:t>Equity Interests</w:t>
      </w:r>
      <w:r>
        <w:rPr>
          <w:rFonts w:ascii="Times New Roman" w:hAnsi="Times New Roman"/>
          <w:sz w:val="20"/>
        </w:rPr>
        <w:t xml:space="preserve">” means Capital Stock and all warrants, options or other rights to acquire Capital Stock, but excluding any debt security that is convertible into, or exchangeable for, Capital Stock. </w:t>
      </w:r>
    </w:p>
    <w:p>
      <w:pPr>
        <w:pStyle w:val="TextBody"/>
        <w:bidi w:val="0"/>
        <w:spacing w:before="240" w:after="0"/>
        <w:jc w:val="left"/>
        <w:rPr/>
      </w:pPr>
      <w:r>
        <w:rPr/>
        <w:t>“</w:t>
      </w:r>
      <w:r>
        <w:rPr>
          <w:rFonts w:ascii="Times New Roman" w:hAnsi="Times New Roman"/>
          <w:i/>
          <w:sz w:val="20"/>
        </w:rPr>
        <w:t>Financing Lease Obligation</w:t>
      </w:r>
      <w:r>
        <w:rPr>
          <w:rFonts w:ascii="Times New Roman" w:hAnsi="Times New Roman"/>
          <w:sz w:val="20"/>
        </w:rPr>
        <w:t xml:space="preserve">” means an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Inc. and any successor to its rating agency business.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means any Subsidiary that is not organized under the laws of the United States of America or any state or territory thereof or the District of Columbia and any Subsidiary of such Foreign Subsidiary.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Guarantor</w:t>
      </w:r>
      <w:r>
        <w:rPr>
          <w:rFonts w:ascii="Times New Roman" w:hAnsi="Times New Roman"/>
          <w:sz w:val="20"/>
        </w:rPr>
        <w:t xml:space="preserve">” means, with respect to each series of Notes, Parent, Denali Intermediate and Dell until, in each case, such Person is released from its Note Guarantee with respect to such series of Notes in accordance with the terms of the Indenture. </w:t>
      </w:r>
    </w:p>
    <w:p>
      <w:pPr>
        <w:pStyle w:val="TextBody"/>
        <w:bidi w:val="0"/>
        <w:spacing w:before="240" w:after="0"/>
        <w:jc w:val="left"/>
        <w:rPr/>
      </w:pPr>
      <w:r>
        <w:rPr/>
        <w:t>“</w:t>
      </w:r>
      <w:r>
        <w:rPr>
          <w:rFonts w:ascii="Times New Roman" w:hAnsi="Times New Roman"/>
          <w:i/>
          <w:sz w:val="20"/>
        </w:rPr>
        <w:t>Hedging Obligations</w:t>
      </w:r>
      <w:r>
        <w:rPr>
          <w:rFonts w:ascii="Times New Roman" w:hAnsi="Times New Roman"/>
          <w:sz w:val="20"/>
        </w:rPr>
        <w:t>” means, with respect to any Person, the obligations of such Person with respect to (1) any rate swap transactions, basis swaps, credit derivative transactions, forward rate transactions,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i/>
          <w:sz w:val="20"/>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the Person in whose name a Note is registered on the registrar’s books. </w:t>
      </w:r>
    </w:p>
    <w:p>
      <w:pPr>
        <w:pStyle w:val="TextBody"/>
        <w:bidi w:val="0"/>
        <w:spacing w:before="240" w:after="0"/>
        <w:jc w:val="left"/>
        <w:rPr/>
      </w:pPr>
      <w:r>
        <w:rPr/>
        <w:t>“</w:t>
      </w:r>
      <w:r>
        <w:rPr>
          <w:rFonts w:ascii="Times New Roman" w:hAnsi="Times New Roman"/>
          <w:i/>
          <w:sz w:val="20"/>
        </w:rPr>
        <w:t>Investment Grade Rating</w:t>
      </w:r>
      <w:r>
        <w:rPr>
          <w:rFonts w:ascii="Times New Roman" w:hAnsi="Times New Roman"/>
          <w:sz w:val="20"/>
        </w:rPr>
        <w:t xml:space="preserve">” means a rating equal to or higher than Baa3 (or the equivalent) by Moody’s, BBB- (or the equivalent) by S&amp;P and BBB- (or the equivalent) by Fitch, or the equivalent investment grade credit rating from any other Rating Agency substituted for Moody’s, S&amp;P or Fitch pursuant to clause (b) of the definition of “Rating Agency.” </w:t>
      </w:r>
    </w:p>
    <w:p>
      <w:pPr>
        <w:pStyle w:val="TextBody"/>
        <w:bidi w:val="0"/>
        <w:spacing w:before="240" w:after="0"/>
        <w:jc w:val="left"/>
        <w:rPr/>
      </w:pPr>
      <w:r>
        <w:rPr/>
        <w:t>“</w:t>
      </w:r>
      <w:r>
        <w:rPr>
          <w:rFonts w:ascii="Times New Roman" w:hAnsi="Times New Roman"/>
          <w:i/>
          <w:sz w:val="20"/>
        </w:rPr>
        <w:t>Investors</w:t>
      </w:r>
      <w:r>
        <w:rPr>
          <w:rFonts w:ascii="Times New Roman" w:hAnsi="Times New Roman"/>
          <w:sz w:val="20"/>
        </w:rPr>
        <w:t xml:space="preserve">” means each of (1) Michael S. Dell and his Affiliates, related estate planning and charitable trusts and vehicles and his family members, and also upon Michael S. Dell’s death, (a) any Person who was an Affiliate of Michael S. Dell that upon his death directly or indirectly owns Equity Interests in any Parent Entity of Dell, Dell or any Subsidiary and (b) Michael S. Dell’s heirs, executors and/or administrators, (2) MSDC Management L.P., its Affiliates and any funds, partnerships or other co-investment vehicles managed, advised or controlled by the foregoing or their respective Affiliates and (3) Silver Lake Partners IV, L.P., Silver Lake Technology Investors IV, L.P., Silver Lake Technology Investors V, L.P., Silver Lake Partners V DE (AIV), L.P., SL SPV-2, L.P., Silver Lake Group, L.L.C. and their Affiliates and any funds, partnerships or other co-investment vehicles managed, advised or controlled by the foregoing or their respective Affiliates, excluding, in each case, Denali Intermediate and its Subsidiaries and any portfolio companies of any of the foregoing. </w:t>
      </w:r>
    </w:p>
    <w:p>
      <w:pPr>
        <w:pStyle w:val="TextBody"/>
        <w:bidi w:val="0"/>
        <w:spacing w:before="240" w:after="0"/>
        <w:jc w:val="left"/>
        <w:rPr/>
      </w:pPr>
      <w:r>
        <w:rPr/>
        <w:t>“</w:t>
      </w:r>
      <w:r>
        <w:rPr>
          <w:rFonts w:ascii="Times New Roman" w:hAnsi="Times New Roman"/>
          <w:i/>
          <w:sz w:val="20"/>
        </w:rPr>
        <w:t>Issue Date</w:t>
      </w:r>
      <w:r>
        <w:rPr>
          <w:rFonts w:ascii="Times New Roman" w:hAnsi="Times New Roman"/>
          <w:sz w:val="20"/>
        </w:rPr>
        <w:t xml:space="preserve">” means September 15, 2026. </w:t>
      </w:r>
    </w:p>
    <w:p>
      <w:pPr>
        <w:pStyle w:val="TextBody"/>
        <w:bidi w:val="0"/>
        <w:spacing w:before="240" w:after="0"/>
        <w:jc w:val="left"/>
        <w:rPr/>
      </w:pPr>
      <w:r>
        <w:rPr/>
        <w:t>“</w:t>
      </w:r>
      <w:r>
        <w:rPr>
          <w:rFonts w:ascii="Times New Roman" w:hAnsi="Times New Roman"/>
          <w:i/>
          <w:sz w:val="20"/>
        </w:rPr>
        <w:t>Legal Holiday</w:t>
      </w:r>
      <w:r>
        <w:rPr>
          <w:rFonts w:ascii="Times New Roman" w:hAnsi="Times New Roman"/>
          <w:sz w:val="20"/>
        </w:rPr>
        <w:t xml:space="preserve">” means a Saturday, a Sunday or a day on which commercial banking institutions are not required to be open in the State of New York.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with respect to any asset, (1) any mortgage, deed of trust, lien, pledge, hypothecation, encumbrance, charge or security interest in, on or of such asset and (2) the interest of a vendor or a lessor under any conditional sale agreement, Financing Lease Obligation or title retention agreement (or any financing lease having substantially the same economic effect as any of the foregoing) relating to such asset; </w:t>
      </w:r>
      <w:r>
        <w:rPr>
          <w:rFonts w:ascii="Times New Roman" w:hAnsi="Times New Roman"/>
          <w:i/>
          <w:sz w:val="20"/>
        </w:rPr>
        <w:t xml:space="preserve">provided </w:t>
      </w:r>
      <w:r>
        <w:rPr>
          <w:rFonts w:ascii="Times New Roman" w:hAnsi="Times New Roman"/>
          <w:sz w:val="20"/>
        </w:rPr>
        <w:t xml:space="preserve">that in no event shall a Non-Financing Lease Obligation be deemed to constitute a Lien.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and any successor to its rating agency business. </w:t>
      </w:r>
    </w:p>
    <w:p>
      <w:pPr>
        <w:pStyle w:val="TextBody"/>
        <w:bidi w:val="0"/>
        <w:spacing w:before="240" w:after="0"/>
        <w:jc w:val="left"/>
        <w:rPr/>
      </w:pPr>
      <w:r>
        <w:rPr/>
        <w:t>“</w:t>
      </w:r>
      <w:r>
        <w:rPr>
          <w:rFonts w:ascii="Times New Roman" w:hAnsi="Times New Roman"/>
          <w:i/>
          <w:sz w:val="20"/>
        </w:rPr>
        <w:t>Non-Financing Lease Obligation</w:t>
      </w:r>
      <w:r>
        <w:rPr>
          <w:rFonts w:ascii="Times New Roman" w:hAnsi="Times New Roman"/>
          <w:sz w:val="20"/>
        </w:rPr>
        <w:t xml:space="preserve">” 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Non-Financing Lease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Nonrecourse Obligation</w:t>
      </w:r>
      <w:r>
        <w:rPr>
          <w:rFonts w:ascii="Times New Roman" w:hAnsi="Times New Roman"/>
          <w:sz w:val="20"/>
        </w:rPr>
        <w:t xml:space="preserve">” means indebtedness or other Obligations substantially related to (1) the acquisition of assets not previously owned by Dell or any of its Subsidiaries or (2) the financing of a project involving the development or expansion of properties of Dell or any of its Subsidiaries, as to which the obligee with respect to such indebtedness or Obligation has no recourse to Dell or any of its Subsidiaries or any assets of Dell or any of its Subsidiaries other than the assets which were acquired with the proceeds of such transaction or the project financed with the proceeds of such transaction (and the proceeds thereof). </w:t>
      </w:r>
    </w:p>
    <w:p>
      <w:pPr>
        <w:pStyle w:val="TextBody"/>
        <w:bidi w:val="0"/>
        <w:spacing w:before="240" w:after="0"/>
        <w:jc w:val="left"/>
        <w:rPr/>
      </w:pPr>
      <w:r>
        <w:rPr/>
        <w:t>“</w:t>
      </w:r>
      <w:r>
        <w:rPr>
          <w:rFonts w:ascii="Times New Roman" w:hAnsi="Times New Roman"/>
          <w:i/>
          <w:sz w:val="20"/>
        </w:rPr>
        <w:t>Note Guarantee</w:t>
      </w:r>
      <w:r>
        <w:rPr>
          <w:rFonts w:ascii="Times New Roman" w:hAnsi="Times New Roman"/>
          <w:sz w:val="20"/>
        </w:rPr>
        <w:t xml:space="preserve">” means the guarantee by any Guarantor of the Issuers’ Obligations under the Indenture and the Notes. </w:t>
      </w:r>
    </w:p>
    <w:p>
      <w:pPr>
        <w:pStyle w:val="TextBody"/>
        <w:bidi w:val="0"/>
        <w:spacing w:before="240" w:after="0"/>
        <w:jc w:val="left"/>
        <w:rPr/>
      </w:pPr>
      <w:r>
        <w:rPr/>
        <w:t>“</w:t>
      </w:r>
      <w:r>
        <w:rPr>
          <w:rFonts w:ascii="Times New Roman" w:hAnsi="Times New Roman"/>
          <w:i/>
          <w:sz w:val="20"/>
        </w:rPr>
        <w:t>Obligations</w:t>
      </w:r>
      <w:r>
        <w:rPr>
          <w:rFonts w:ascii="Times New Roman" w:hAnsi="Times New Roman"/>
          <w:sz w:val="20"/>
        </w:rPr>
        <w:t xml:space="preserve">” 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premium, penalties, fees, indemnifications, reimbursements, damages and other liabilities, payable under the documentation governing any indebtedness; </w:t>
      </w:r>
      <w:r>
        <w:rPr>
          <w:rFonts w:ascii="Times New Roman" w:hAnsi="Times New Roman"/>
          <w:i/>
          <w:sz w:val="20"/>
        </w:rPr>
        <w:t>provided</w:t>
      </w:r>
      <w:r>
        <w:rPr>
          <w:rFonts w:ascii="Times New Roman" w:hAnsi="Times New Roman"/>
          <w:sz w:val="20"/>
        </w:rPr>
        <w:t xml:space="preserve">, that any of the foregoing (other than principal and interest) shall no longer constitute “Obligations” after payment in full of such principal and interest. </w:t>
      </w:r>
    </w:p>
    <w:p>
      <w:pPr>
        <w:pStyle w:val="TextBody"/>
        <w:bidi w:val="0"/>
        <w:spacing w:before="240" w:after="0"/>
        <w:jc w:val="left"/>
        <w:rPr/>
      </w:pPr>
      <w:r>
        <w:rPr/>
        <w:t>“</w:t>
      </w:r>
      <w:r>
        <w:rPr>
          <w:rFonts w:ascii="Times New Roman" w:hAnsi="Times New Roman"/>
          <w:i/>
          <w:sz w:val="20"/>
        </w:rPr>
        <w:t>Offering</w:t>
      </w:r>
      <w:r>
        <w:rPr>
          <w:rFonts w:ascii="Times New Roman" w:hAnsi="Times New Roman"/>
          <w:sz w:val="20"/>
        </w:rPr>
        <w:t xml:space="preserve">” has the meaning set forth on the cover of the prospectus supplement.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Chairman of the Board, any Manager or Director, the Chief Executive Officer, the Chief Financial Officer, the Chief Operating Officer, the President, any Executive Vice President, Senior Vice President or Vice President, the Treasurer, the Controller or the Secretary or any other officer designated by any such individuals of Parent or any other Person, as the case may be.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on behalf of Parent or an Issuer by an Officer of Parent or an Issuer or on behalf of any other Person, as the case may be, that meets the requirements set forth in the Indenture. </w:t>
      </w:r>
    </w:p>
    <w:p>
      <w:pPr>
        <w:pStyle w:val="TextBody"/>
        <w:bidi w:val="0"/>
        <w:spacing w:before="240" w:after="0"/>
        <w:jc w:val="left"/>
        <w:rPr/>
      </w:pPr>
      <w:r>
        <w:rPr/>
        <w:t>“</w:t>
      </w:r>
      <w:r>
        <w:rPr>
          <w:rFonts w:ascii="Times New Roman" w:hAnsi="Times New Roman"/>
          <w:i/>
          <w:sz w:val="20"/>
        </w:rPr>
        <w:t>Parent</w:t>
      </w:r>
      <w:r>
        <w:rPr>
          <w:rFonts w:ascii="Times New Roman" w:hAnsi="Times New Roman"/>
          <w:sz w:val="20"/>
        </w:rPr>
        <w:t xml:space="preserve">” means Dell Technologies Inc., a Texas corporation, and any successor entity, as permitted by the Indenture. </w:t>
      </w:r>
    </w:p>
    <w:p>
      <w:pPr>
        <w:pStyle w:val="TextBody"/>
        <w:bidi w:val="0"/>
        <w:spacing w:before="240" w:after="0"/>
        <w:jc w:val="left"/>
        <w:rPr/>
      </w:pPr>
      <w:r>
        <w:rPr/>
        <w:t>“</w:t>
      </w:r>
      <w:r>
        <w:rPr>
          <w:rFonts w:ascii="Times New Roman" w:hAnsi="Times New Roman"/>
          <w:i/>
          <w:sz w:val="20"/>
        </w:rPr>
        <w:t>Parent Entity</w:t>
      </w:r>
      <w:r>
        <w:rPr>
          <w:rFonts w:ascii="Times New Roman" w:hAnsi="Times New Roman"/>
          <w:sz w:val="20"/>
        </w:rPr>
        <w:t xml:space="preserve">” means any Person that, with respect to another Person, owns more than 50% of the total voting power of the Voting Stock entitled to vote for the election of directors of such other Person having a majority of the aggregate votes on the Board of such other Person. </w:t>
      </w:r>
    </w:p>
    <w:p>
      <w:pPr>
        <w:pStyle w:val="TextBody"/>
        <w:bidi w:val="0"/>
        <w:spacing w:before="240" w:after="0"/>
        <w:jc w:val="left"/>
        <w:rPr/>
      </w:pPr>
      <w:r>
        <w:rPr/>
        <w:t>“</w:t>
      </w:r>
      <w:r>
        <w:rPr>
          <w:rFonts w:ascii="Times New Roman" w:hAnsi="Times New Roman"/>
          <w:i/>
          <w:sz w:val="20"/>
        </w:rPr>
        <w:t>Permitted Holders</w:t>
      </w:r>
      <w:r>
        <w:rPr>
          <w:rFonts w:ascii="Times New Roman" w:hAnsi="Times New Roman"/>
          <w:sz w:val="20"/>
        </w:rPr>
        <w:t xml:space="preserve">” means (1) each of the Investors and members of management of Parent and its Subsidiaries who are holders of Equity Interests of Parent on the Issue Date and any group (within the meaning of Section 13(d)(3) or Section 14(d)(2) of the Exchange Act) of which any of the foregoing or any Permitted Holder specified in the last sentence of this definition are members and any member of such group; </w:t>
      </w:r>
      <w:r>
        <w:rPr>
          <w:rFonts w:ascii="Times New Roman" w:hAnsi="Times New Roman"/>
          <w:i/>
          <w:sz w:val="20"/>
        </w:rPr>
        <w:t>provided</w:t>
      </w:r>
      <w:r>
        <w:rPr>
          <w:rFonts w:ascii="Times New Roman" w:hAnsi="Times New Roman"/>
          <w:sz w:val="20"/>
        </w:rPr>
        <w:t xml:space="preserve">, that, in the case of such group and any member of such group and without giving effect to the existence of such group or any other group, such Investors, members of management and Person or group specified in the last sentence of this definition, collectively, own, directly or indirectly, more than 50% of the total voting power of the Voting Stock entitled to vote for the election of directors of Parent having a majority of the aggregate votes on the Board of Parent held by such group, (2) any Permitted Parent and (3) any Permitted Plan. Any Person or group (within the meaning of Section 13(d)(3) or Section 14(d)(2) of the Exchange Act) whose acquisition of beneficial ownership or assets or properties of Parent constitutes a Change of Control Triggering Event in respect of which a Change of Control Offer is made in accordance with the requirements of the Indenture will thereafter, together with its Affiliates, constitute an additional Permitted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Permitted Liens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effect as of the Issue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Obligations in respect of Notes outstanding on the Issue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on property at the time of its acquisition (by a merger, consolidation or amalgamation or otherwise) or existing on the property or shares of stock or other assets of any Person at the time such Person becomes a Subsidiary (whether or not such existing Liens thereon were given to secure the payment of all or any part of the purchase price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goods the purchase price of which is financed by a documentary letter of credit issued for the account of Parent or any of its Subsidiaries or Liens on bills of lading, drafts or other documents of title arising by operation of law or pursuant to the standard terms of agreements relating to letters of credit, bank guarantees and other similar instruments and specific items of inventory or other goods and proceeds of Parent or any of its Subsidiaries securing Parent’s or such Subsidiary’s accounts payable or similar trade obligations in respect of bankers’ acceptances or documentary or trade letters of credit issued or created for the account of Parent or such Subsidiary to facilitate the purchase, shipment or storage of such inventory or other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rights of set-off, banker’s liens, netting agreements and other Liens arising by operation of law or by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 (b) Liens securing obligations under letters of credit or (c) Liens securing, or otherwise arising from, judgements;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from Uniform Commercial Code financing statements, including precautionary financing statements, or any similar filings made in respect of Non-Financing Leases or consignments entered into by Parent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Hedging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or assets used to defease or to irrevocably satisfy and discharge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created in connection with a project financed with, and created to secure, a Nonrecourse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relating to future escrow arrangements securing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solely on any cash earnest money deposits made by Parent or any of its Subsidiaries in connection with any letter of intent or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any indebtedness (including Financing Lease Obligations) incurred to finance the purchase, lease, construction, installation, replacement, repair or improvement of property (real or personal), equipment or any other asset, whether through the direct purchase of assets or the Capital Stock of any Person owning such assets, so long as such indebtedness exists at the date of such purchase, lease or improvement or is created within 24 months thereafter; </w:t>
            </w:r>
            <w:r>
              <w:rPr>
                <w:rFonts w:ascii="Times New Roman" w:hAnsi="Times New Roman"/>
                <w:i/>
                <w:sz w:val="20"/>
              </w:rPr>
              <w:t>provided</w:t>
            </w:r>
            <w:r>
              <w:rPr>
                <w:rFonts w:ascii="Times New Roman" w:hAnsi="Times New Roman"/>
                <w:sz w:val="20"/>
              </w:rPr>
              <w:t xml:space="preserve">, that Liens securing indebtedness permitted to be incurred pursuant to this clause (12) extend only to the assets purchased with the proceeds of such indebtedness, accessions to such assets and the proceeds and products thereof, any lease of such assets (including accessions thereto) and the proceeds and products thereof and customary security deposits in respect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individual financings of equipment provided by one lender may be cross collateralized to other financings of equipment provided by such lender;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Parent or any of its Subsidiaries or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any modification, refinancing, refunding, extension, renewal or replacement (or successive refinancing, refunding, extensions, renewals or replacements) as a whole, or in part, of any indebtedness secured by any Lien referred to in this definition of “Permitted Liens” (including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accrued but unpaid interest thereon and any dividend, premium (including tender premiums), defeasance costs, underwriting discounts and any fees, costs and expenses (including original issue discount, upfront fees or similar fees) incurred in connection with such modification, refinancing, refunding, extension, renewal or replacement); </w:t>
            </w:r>
            <w:r>
              <w:rPr>
                <w:i/>
              </w:rPr>
              <w:t>provided</w:t>
            </w:r>
            <w:r>
              <w:rPr/>
              <w:t xml:space="preserve">, </w:t>
            </w:r>
            <w:r>
              <w:rPr>
                <w:i/>
              </w:rPr>
              <w:t>however</w:t>
            </w:r>
            <w:r>
              <w:rPr/>
              <w:t xml:space="preserve">, that such new Lien shall be limited to all or part of the same property that secured the original Lien (plus accessions, additions and improvements on such property, including after-acquired property that is (a) affixed or incorporated into the property covered by such Lien, (b)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(c) the proceeds and products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definition, (i) a Lien need not be incurred solely by reference to one category of Permitted Liens described in this definition but are permitted to be incurred in part under any combination thereof and of any other available exemption and (ii) in the event that a Lien (or any portion thereof) meets the criteria of one or more of the categories of Permitted Liens, the Issuers shall, in their sole discretion, classify or reclassify such Lien (or any portion thereof) in any manner that complies with this definition.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the term “indebtedness” shall be deemed to include interest on such indebtedness. </w:t>
      </w:r>
    </w:p>
    <w:p>
      <w:pPr>
        <w:pStyle w:val="TextBody"/>
        <w:bidi w:val="0"/>
        <w:spacing w:before="240" w:after="0"/>
        <w:jc w:val="left"/>
        <w:rPr/>
      </w:pPr>
      <w:r>
        <w:rPr/>
        <w:t>“</w:t>
      </w:r>
      <w:r>
        <w:rPr>
          <w:rFonts w:ascii="Times New Roman" w:hAnsi="Times New Roman"/>
          <w:i/>
          <w:sz w:val="20"/>
        </w:rPr>
        <w:t>Permitted Parent</w:t>
      </w:r>
      <w:r>
        <w:rPr>
          <w:rFonts w:ascii="Times New Roman" w:hAnsi="Times New Roman"/>
          <w:sz w:val="20"/>
        </w:rPr>
        <w:t xml:space="preserve">” means any Parent Entity that at the time it became a Parent Entity of Parent was a Permitted Holder pursuant to clause (1) of the definition thereof and was not formed in connection with, or in contemplation of, a transaction that would otherwise constitute a Change of Control. </w:t>
      </w:r>
    </w:p>
    <w:p>
      <w:pPr>
        <w:pStyle w:val="TextBody"/>
        <w:bidi w:val="0"/>
        <w:spacing w:before="240" w:after="0"/>
        <w:jc w:val="left"/>
        <w:rPr/>
      </w:pPr>
      <w:r>
        <w:rPr/>
        <w:t>“</w:t>
      </w:r>
      <w:r>
        <w:rPr>
          <w:rFonts w:ascii="Times New Roman" w:hAnsi="Times New Roman"/>
          <w:i/>
          <w:sz w:val="20"/>
        </w:rPr>
        <w:t>Permitted Plan</w:t>
      </w:r>
      <w:r>
        <w:rPr>
          <w:rFonts w:ascii="Times New Roman" w:hAnsi="Times New Roman"/>
          <w:sz w:val="20"/>
        </w:rPr>
        <w:t xml:space="preserve">” means any employee benefits plan of Parent or its Affiliates and any Person acting in its capacity as trustee, agent or other fiduciary or administrator of any such plan.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limited liability company, partnership, joint venture, association, joint stock company,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i/>
          <w:sz w:val="20"/>
        </w:rPr>
        <w:t>Principal Property</w:t>
      </w:r>
      <w:r>
        <w:rPr>
          <w:rFonts w:ascii="Times New Roman" w:hAnsi="Times New Roman"/>
          <w:sz w:val="20"/>
        </w:rPr>
        <w:t xml:space="preserve">” means the land, land improvements, buildings and fixtures (to the extent they constitute real property interests) (including any leasehold interest therein) constituting the principal corporate office, any manufacturing plant or any manufacturing facility (whether now owned or hereafter acquired) and the equipment located thereon which (1) is owned by either of the Issuers or any of their respective Subsidiaries; (2) has not been determined in good faith by the Boards of the Issuers not to be materially important to the total business conducted by the Issuers and their Subsidiaries taken as a whole; and (3)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 plant or facilities, as the case may be). </w:t>
      </w:r>
    </w:p>
    <w:p>
      <w:pPr>
        <w:pStyle w:val="TextBody"/>
        <w:bidi w:val="0"/>
        <w:spacing w:before="240" w:after="0"/>
        <w:jc w:val="left"/>
        <w:rPr/>
      </w:pPr>
      <w:r>
        <w:rPr/>
        <w:t>“</w:t>
      </w:r>
      <w:r>
        <w:rPr>
          <w:rFonts w:ascii="Times New Roman" w:hAnsi="Times New Roman"/>
          <w:i/>
          <w:sz w:val="20"/>
        </w:rPr>
        <w:t>Rating Agency</w:t>
      </w:r>
      <w:r>
        <w:rPr>
          <w:rFonts w:ascii="Times New Roman" w:hAnsi="Times New Roman"/>
          <w:sz w:val="20"/>
        </w:rPr>
        <w:t xml:space="preserve">” means (1) S&amp;P, Moody’s and Fitch or (2) if S&amp;P, Moody’s or Fitch or each of them shall not make a corporate rating with respect to the Issuers (or any Guarantor) or a rating on any series of the Notes publicly available, a nationally recognized statistical rating agency or agencies, as the case may be, selected by Parent, which shall be substituted for any or all of S&amp;P, Moody’s or Fitch, as the case may be, with respect to such corporate rating or the rating of such series of Notes, as the case may be. </w:t>
      </w:r>
    </w:p>
    <w:p>
      <w:pPr>
        <w:pStyle w:val="TextBody"/>
        <w:bidi w:val="0"/>
        <w:spacing w:before="240" w:after="0"/>
        <w:jc w:val="left"/>
        <w:rPr/>
      </w:pPr>
      <w:r>
        <w:rPr/>
        <w:t>“</w:t>
      </w:r>
      <w:r>
        <w:rPr>
          <w:rFonts w:ascii="Times New Roman" w:hAnsi="Times New Roman"/>
          <w:i/>
          <w:sz w:val="20"/>
        </w:rPr>
        <w:t>Rating Decline</w:t>
      </w:r>
      <w:r>
        <w:rPr>
          <w:rFonts w:ascii="Times New Roman" w:hAnsi="Times New Roman"/>
          <w:sz w:val="20"/>
        </w:rPr>
        <w:t xml:space="preserve">” means, with respect to any series of Notes, the occurrence of a decrease in the rating of the Notes of such series by one or more gradations by any two of three Rating Agencies (including gradations within the rating categories, as well as between categories), within 60 days after the earliest of (x) a 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 the date of public notice of the occurrence of a Change of Control and (z) public notice of the intention of Parent to effect a Change of Control (which 60-day period shall be extended so long as the rating of such series of Notes is under publicly announced ratings review for possible downgrade by either of such two Rating Agencies, it being understood that a change in ratings outlook shall not extend such 60-day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Rating Decline otherwise arising by virtue of a particular reduction in rating will not be deemed to have occurred in respect of a particular Change of Control (and thus will not be deemed a Rating Decline for purposes of the definition of Change of Control Triggering Event) unless each of such two Rating Agencies making the reduction in rating to which this definition would otherwise apply announces or publicly confirms or informs the Trustee in writing at Parent’s or its request that the reduction was the result, in whole or in part, of any event or circumstance comprised of or arising as a result of, or in respect of, the applicable Change of Control (whether or not the applicable Change of Control has occurred at the time of the Rating Decline);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notwithstanding the foregoing, a Ratings Decline shall not be deemed to have occurred so long as such series of Notes has an Investment Grade Rating from at least two of three Rating Agencies.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(1) any Subsidiary of an Issuer that (a) is a Wholly-Owned Subsidiary, (b) is a Domestic Subsidiary and (c) directly owns or directly leases any Principal Property and (2) any other Subsidiary that the Board of any Issuer may designate as a Restricted Subsidiary; </w:t>
      </w:r>
      <w:r>
        <w:rPr>
          <w:rFonts w:ascii="Times New Roman" w:hAnsi="Times New Roman"/>
          <w:i/>
          <w:sz w:val="20"/>
        </w:rPr>
        <w:t>provided</w:t>
      </w:r>
      <w:r>
        <w:rPr>
          <w:rFonts w:ascii="Times New Roman" w:hAnsi="Times New Roman"/>
          <w:sz w:val="20"/>
        </w:rPr>
        <w:t xml:space="preserve">, that “Restricted Subsidiary” shall not include Dell Financial Services L.L.C. or any other Subsidiary that is principally engaged in financing receivables, securitization transactions, factoring or other similar transactions.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S&amp;P Global Ratings Inc. and any successor to its rating agency business. </w:t>
      </w:r>
    </w:p>
    <w:p>
      <w:pPr>
        <w:pStyle w:val="TextBody"/>
        <w:bidi w:val="0"/>
        <w:spacing w:before="240" w:after="0"/>
        <w:jc w:val="left"/>
        <w:rPr/>
      </w:pPr>
      <w:r>
        <w:rPr/>
        <w:t>“</w:t>
      </w:r>
      <w:r>
        <w:rPr>
          <w:rFonts w:ascii="Times New Roman" w:hAnsi="Times New Roman"/>
          <w:i/>
          <w:sz w:val="20"/>
        </w:rPr>
        <w:t>Sale and Lease-Back Transaction</w:t>
      </w:r>
      <w:r>
        <w:rPr>
          <w:rFonts w:ascii="Times New Roman" w:hAnsi="Times New Roman"/>
          <w:sz w:val="20"/>
        </w:rPr>
        <w:t xml:space="preserve">” means any arrangement with any Person providing for the leasing by an Issuer or any of its Restricted Subsidiaries of any Principal Property, which property has been or is to be sold or transferred by such Issuer or such Restricted Subsidiary to such Person, other than (1) any such transaction involving a lease for a term of not more than three years, (2) any such transaction between any Issuer and any Subsidiary of any Issuer or between Subsidiaries of any Issuer, (3) any such transaction executed by the time of or within 365 days after the latest of the acquisition, the completion of construction or improvement or the commencement of commercial operation of such Principal Property or (4) any such transaction entered into before the Issue Date or entered into by a Restricted Subsidiary before the time it became a Restricted Subsidiary.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partnership, joint venture, limited liability company or similar entity of which: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than 50%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or any Subsidiary of such Person is a controlling general partner or otherwise controls such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entity that is owned at a 50% or less level (as described above) shall not be a “Subsidiary” for any purpose under the Indenture, regardless of whether such entity is consolidated on Parent’s or any of its Subsidiaries’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Trustee</w:t>
      </w:r>
      <w:r>
        <w:rPr>
          <w:rFonts w:ascii="Times New Roman" w:hAnsi="Times New Roman"/>
          <w:sz w:val="20"/>
        </w:rPr>
        <w:t xml:space="preserve">” means The Bank of New York Mellon Trust Company, N.A. until a successor replaces it and, thereafter, means the successor.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Person as of any date means the Capital Stock of such Person that is at the time entitled to vote in the election of the Board of such Person. </w:t>
      </w:r>
    </w:p>
    <w:p>
      <w:pPr>
        <w:pStyle w:val="TextBody"/>
        <w:bidi w:val="0"/>
        <w:spacing w:before="240" w:after="0"/>
        <w:jc w:val="left"/>
        <w:rPr/>
      </w:pPr>
      <w:r>
        <w:rPr/>
        <w:t>“</w:t>
      </w:r>
      <w:r>
        <w:rPr>
          <w:rFonts w:ascii="Times New Roman" w:hAnsi="Times New Roman"/>
          <w:i/>
          <w:sz w:val="20"/>
        </w:rPr>
        <w:t>Wholly-Owned Subsidiary</w:t>
      </w:r>
      <w:r>
        <w:rPr>
          <w:rFonts w:ascii="Times New Roman" w:hAnsi="Times New Roman"/>
          <w:sz w:val="20"/>
        </w:rPr>
        <w:t xml:space="preserve">” of any Person means a Subsidiary of such Person, 100% of the outstanding Equity Interests of which (other than directors’ qualifying shares) shall at the time be owned by such Person or by one or more Wholly-Owned Subsidiaries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oc207421_13"/>
      <w:bookmarkEnd w:id="15"/>
      <w:r>
        <w:rPr>
          <w:rFonts w:ascii="Times New Roman" w:hAnsi="Times New Roman"/>
          <w:b/>
          <w:sz w:val="20"/>
        </w:rPr>
        <w:t xml:space="preserve">BOOK ENTRY; DELIVERY AND FORM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represented by one or more fully registered global notes (“Global Notes”). Each such global note will be deposited with, or on behalf of, The Depository Trust Company (“DTC”) or any successor thereto and registered in the name of Cede &amp; Co. (DTC’s nominee). Except as set forth below, the notes will be issued in registered, global form in minimum denominations of $2,000 and integral multiples of $1,000 in excess of $2,000. Notes will be issued at the closing of the Offering only against payment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Investors may hold interests in a Global Note through DTC in the United States if they are participants in DTC or indirectly hold such interests through organizations that are participants in DTC. Clearstream Banking S.A. (“Clearstream, Luxembourg”) and Euroclear Bank S.A./N.V., as operator of the Euroclear System (“Euroclear”), will hold interests on behalf of their participants through customers’ securities accounts in Clearstream, Luxembourg’s and Euroclear’s name on the books of their respective depositaries, which in turn will hold such interests in customers’ securities accounts in the depositaries’ names on the books of DTC. </w:t>
      </w:r>
    </w:p>
    <w:p>
      <w:pPr>
        <w:pStyle w:val="TextBody"/>
        <w:bidi w:val="0"/>
        <w:spacing w:before="240" w:after="0"/>
        <w:jc w:val="left"/>
        <w:rPr>
          <w:rFonts w:ascii="Times New Roman" w:hAnsi="Times New Roman"/>
          <w:sz w:val="20"/>
        </w:rPr>
      </w:pPr>
      <w:r>
        <w:rPr>
          <w:rFonts w:ascii="Times New Roman" w:hAnsi="Times New Roman"/>
          <w:sz w:val="20"/>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the limited circumstances described below. See “—</w:t>
      </w:r>
      <w:r>
        <w:rPr>
          <w:rFonts w:ascii="Times New Roman" w:hAnsi="Times New Roman"/>
          <w:i/>
          <w:sz w:val="20"/>
        </w:rPr>
        <w:t xml:space="preserve">Exchange of Global </w:t>
      </w:r>
      <w:r>
        <w:rPr>
          <w:rFonts w:ascii="Times New Roman" w:hAnsi="Times New Roman"/>
          <w:sz w:val="20"/>
        </w:rPr>
        <w:t xml:space="preserve">Notes </w:t>
      </w:r>
      <w:r>
        <w:rPr>
          <w:rFonts w:ascii="Times New Roman" w:hAnsi="Times New Roman"/>
          <w:i/>
          <w:sz w:val="20"/>
        </w:rPr>
        <w:t>for Certificated Notes</w:t>
      </w:r>
      <w:r>
        <w:rPr>
          <w:rFonts w:ascii="Times New Roman" w:hAnsi="Times New Roman"/>
          <w:sz w:val="20"/>
        </w:rPr>
        <w:t xml:space="preserve">.” Except in the limited circumstances described below, owners of beneficial interests in the Global Notes will not be entitled to receive physical delivery of notes in certificated form. </w:t>
      </w:r>
    </w:p>
    <w:p>
      <w:pPr>
        <w:pStyle w:val="TextBody"/>
        <w:bidi w:val="0"/>
        <w:spacing w:before="360" w:after="0"/>
        <w:jc w:val="left"/>
        <w:rPr>
          <w:rFonts w:ascii="Times New Roman" w:hAnsi="Times New Roman"/>
          <w:b/>
          <w:sz w:val="20"/>
        </w:rPr>
      </w:pPr>
      <w:r>
        <w:rPr>
          <w:rFonts w:ascii="Times New Roman" w:hAnsi="Times New Roman"/>
          <w:b/>
          <w:sz w:val="20"/>
        </w:rPr>
        <w:t xml:space="preserve">Depository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operations and procedures of DTC, Euroclear and Clearstream, Luxembourg is provided solely as a matter of convenience. These operations and procedures are solely within the control of the respective settlement systems and are subject to changes by them. We take no responsibility for these operations and procedures and urge investors to contact the system or their participants directly to discuss these matters.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has also advised us that, pursuant to procedures established by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the Global Notes, DTC will credit the accounts of the Participants designated by the underwriters with portions of the principal amount of the Global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these interests in the Global Notes will be shown on, and the transfer of ownership of these interests will be effected only through, records maintained by DTC (with respect to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Participants) or by the Participants and the Indirect Participants (with respect to other owners of beneficial interests in the Global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in the Global Notes who are Participants may hold their interests therein directly through DTC. Investors in the Global Notes who are not Participants may hold their interests therein indirectly through organizations (including Euroclear and Clearstream, Luxembourg) that are Participants. Citibank, N.A. acts as depositary for Clearstream, Luxembourg, and JPMorgan Chase Bank acts as depositary for Euroclear. All interests in a Global Note, including those held through Euroclear or Clearstream, Luxembourg, may be subject to the procedures and requirements of DTC. Those interests held through Euroclear or Clearstream, Luxembourg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r>
        <w:rPr>
          <w:rFonts w:ascii="Times New Roman" w:hAnsi="Times New Roman"/>
          <w:b/>
          <w:sz w:val="20"/>
        </w:rPr>
        <w:t>Except as described below, owners of interests in the Global Notes will not have notes registered in their names, will not receive physical delivery of notes in certificated form and will not be considered the registered owners or “holders” thereof under the Indenture that will govern the notes for any purpose.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Payments in respect of the principal of, and interest and premium, if any, on, a Global Note registered in the name of DTC or its nominee will be payable to DTC in its capacity as the registered holder under the Indenture. Under the terms of the Indenture, we and the trustee thereunder will treat the persons in whose names the notes, including the Global Notes, are registered as the owners of the notes for the purpose of receiving payments and for all other purposes. Consequently, neither we nor any agent of ours or either trustee has or will have any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matter relating to the actions and practices of DTC or any of its Participants or Indirect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our responsibility or the responsibility of DTC or either trustee. Neither we nor the trustee will be liable for any delay by DTC or any of the Participants or the Indirect Participants in identifying the beneficial owners of the notes, and we and the trustee may conclusively rely on and will be protected in relying on instructions from DTC or its nominee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the Participants will be effected in accordance with DTC’s procedures and will be settled in same-day funds, and transfers between participants in Euroclear and Clearstream, Luxembourg will be effected in accordance with their respective rules and operating procedures.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the Participants, on the one hand, and Euroclear or Clearstream, Luxembourg participants, on the other hand, will be effected through DTC in accordance with DTC’s rules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behalf of Euroclear or Clearstream, Luxembourg, as the case may be, by its respective depositary. However, such cross-market transactions will require delivery of instructions to Euroclear or Clearstream, Luxembourg, as the case may be, by the counterparty in such system in accordance with the rules and procedures and within the established deadlines (Brussels time) of such system. Euroclear or Clearstream, Luxembourg,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Luxembourg participants may not deliver instructions directly to the depositories for Euroclear or Clearstream, Luxembourg.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any of the notes, DTC reserves the right to exchange the Global Notes in respect of such notes for legended notes in certificated form and to distribute such notes to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Although DTC, Euroclear, and Clearstream, Luxembourg have agreed to the foregoing procedures to facilitate transfers of interests in the Global Notes among participants in DTC, Euroclear, and Clearstream, Luxembourg, they are under no obligation to perform or to continue to perform such procedures, and may discontinue such procedures at any time. Neither we nor the trustee nor any of our or its agents will have any responsibility for the performance by DTC, Euroclear, or Clearstream, Luxembourg or their respective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of Global Notes for 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A Global Note is exchangeable for Certificated Notes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(1) notifies us that it is unwilling or unable to continue as depositary for the Global Notes or (2) has ceased to be a clearing agency registered under the Exchange Act and, in either case, we fail to appoint a successor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occurred and is continuing an event of default with respect to such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Same Day Settlement and Payment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in respect of the notes represented by the Global Notes (including principal, premium, if any, and interest) by wire transfer of immediately available funds to the accounts specified by DTC or its nominee. We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DTC’s Same-Day Funds Settlement System, and any permitted secondary market trading activity in such notes will, therefore, be required by DTC to be settled in immediately available funds. We expect that secondary trading in any Certificated Notes will also be settled in immediately available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of time-zone differences, credits of interests in the Global Notes received in Clearstream, Luxembourg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Luxembourg or Euroclear participants on such business day. Cash received in Clearstream, Luxembourg or Euroclear as a result of sales of interests in the Global Notes by or through a Clearstream, Luxembourg participant or a Euroclear Participant to a DTC Participant will be received with value on the DTC settlement date but will be available in the relevant Clearstream, Luxembourg or Euroclear cash account only as of the business day following settlement in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oc207421_14"/>
      <w:bookmarkEnd w:id="16"/>
      <w:r>
        <w:rPr>
          <w:rFonts w:ascii="Times New Roman" w:hAnsi="Times New Roman"/>
          <w:b/>
          <w:sz w:val="20"/>
        </w:rPr>
        <w:t xml:space="preserve">CERTAIN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United States federal income tax consequences of the purchase, ownership and disposition of the notes as of the date hereof. This summary deals only with notes that are held as capital assets (within the meaning of Section 1221 of the Code) by persons who purchase the notes for cash upon original issuance at their “issue price” (the first price at which a substantial amount of notes of the applicable series is sold for money to investors, excluding sales to bond houses, brokers or similar persons or organizations acting in the capacity of an underwriter, placement agent or wholesaler).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represent a detailed description of the United States federal income tax consequences applicable to you if you are a person subject to special tax treatment under the United States federal income tax laws, including if you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real estate investment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passive foreign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holding the notes as part of a hedging, integrated, conversion or constructive sale transaction or a straddle;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trader in securities that has elected the mark-to-market method of accounting for your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liable for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(as defined below) that holds notes through a non-U.S. broker or other non-U.S. intermediary;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partnership or other pass-through entity (or an investor in such entity) for United States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required to accelerate the recognition of any item of gross income with respect to the notes as a result of such income being recognized on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(as defined below) whose “functional currency” is not the U.S. dollar;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this summary does not represent a detailed description of the United States federal income tax consequences applicable to you if you are a holder of our 2026 Notes.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based upon the provisions of the Code, United States Treasury regulations, administrative rulings and judicial decisions thereunder as of the date hereof. Those authorities may be changed, perhaps retroactively, so as to result in United States federal income tax consequences different from those discussed below. In addition, we have not sought any rulings from the Internal Revenue Service (“IRS”) regarding the matters discussed below, and there can be no assurance that the IRS will not take positions concerning the tax consequences of the purchase, ownership or disposition of the notes that are different from those discussed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entity classified as a partnership for United States federal income tax purposes holds notes, the tax treatment of a partner will generally depend upon the status of the partner and the activities of the partnership. If you are a partnership or a partner in a partnership considering an investment in the notes, you should consult your tax advisors.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represent a detailed description of the United States federal income tax consequences to you in light of your particular circumstances and does not address the effects of any other United States federal tax laws (such as the Medicare contribution tax on net investment income) or any state, local or non-United States tax laws. It is not intended to be, and should not be construed to be, legal or tax advice to any particular purchaser of notes. </w:t>
      </w:r>
    </w:p>
    <w:p>
      <w:pPr>
        <w:pStyle w:val="TextBody"/>
        <w:bidi w:val="0"/>
        <w:spacing w:before="240" w:after="0"/>
        <w:jc w:val="left"/>
        <w:rPr>
          <w:rFonts w:ascii="Times New Roman" w:hAnsi="Times New Roman"/>
          <w:b/>
          <w:sz w:val="20"/>
        </w:rPr>
      </w:pPr>
      <w:r>
        <w:rPr>
          <w:rFonts w:ascii="Times New Roman" w:hAnsi="Times New Roman"/>
          <w:b/>
          <w:sz w:val="20"/>
        </w:rPr>
        <w:t xml:space="preserve">If you are considering the purchase of notes, you should consult your own tax advisors concerning the particular United States federal income tax consequences to you of the purchase, ownership and disposition of the notes, as well as any consequences to you arising under other United States federal tax laws and the laws of any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United States federal income tax consequences that will apply to you if you are a U.S. Holder.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“U.S. Holder” means a beneficial owner of a note that is, for United States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(a) is subject to the primary supervision of a court within the United States and one or more United States persons have the authority to control all substantial decisions of the trust or (b) has a valid election in effect under applicable United States Treasury regulations to be treated as a United States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Payments of Stated Interest </w:t>
      </w:r>
    </w:p>
    <w:p>
      <w:pPr>
        <w:pStyle w:val="TextBody"/>
        <w:bidi w:val="0"/>
        <w:spacing w:before="120" w:after="0"/>
        <w:jc w:val="left"/>
        <w:rPr>
          <w:rFonts w:ascii="Times New Roman" w:hAnsi="Times New Roman"/>
          <w:sz w:val="20"/>
        </w:rPr>
      </w:pPr>
      <w:r>
        <w:rPr>
          <w:rFonts w:ascii="Times New Roman" w:hAnsi="Times New Roman"/>
          <w:sz w:val="20"/>
        </w:rPr>
        <w:t xml:space="preserve">Stated interest on a note will generally be taxable to you as ordinary income at the time it is paid or accrued, in accordance with your method of accounting for United States federal income tax purposes. We expect, and this summary assumes, that the notes will not be issued with more than a de minimis amount of original issue discount for United States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Retirement, Redemption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retirement, redemption or other taxable disposition of a note, you will generally recognize gain or loss in an amount equal to the difference, if any, between the amount realized upon the sale, exchange, retirement, redemption or other taxable disposition (less any amount attributable to any accrued but unpaid stated interest, which will be taxable as ordinary income for United States federal income tax purposes to the extent not previously included in income) and the adjusted tax basis of the note. Your adjusted tax basis in a note will, in general, be your cost for that note. Any gain or loss will be capital gain or loss and will generally be long-term capital gain or loss if you have held the note for more than one year. Long-term capital gains of non-corporate U.S. Holders are eligible for reduced rates of taxation. The deductibility of capital losses is subject to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 general, information reporting will apply to payments of interest and to the proceeds of a sale or other taxable disposition (including a retirement or redemption) of a note paid to you (unless you are an exempt recipient). Backup withholding may apply to payments described in the preceding sentence if you fail to provide a correct taxpayer identification number or a certification that you are not subject to backup withholding, or if you fail to report in full dividend and interest income.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your United States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United States federal income tax consequences that will apply to you if you are a Non-U.S. Holder. </w:t>
      </w:r>
    </w:p>
    <w:p>
      <w:pPr>
        <w:pStyle w:val="TextBody"/>
        <w:bidi w:val="0"/>
        <w:spacing w:before="240" w:after="0"/>
        <w:jc w:val="left"/>
        <w:rPr/>
      </w:pPr>
      <w:r>
        <w:rPr/>
        <w:t>“</w:t>
      </w:r>
      <w:r>
        <w:rPr>
          <w:rFonts w:ascii="Times New Roman" w:hAnsi="Times New Roman"/>
          <w:sz w:val="20"/>
        </w:rPr>
        <w:t xml:space="preserve">Non-U.S. Holder” means a beneficial owner of a note, other than an entity treated as a partnership for United States federal income tax purposes, that is not a U.S. Holder (as defined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States Federal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concerning backup withholding and FATCA, United States federal withholding tax will not apply to any payment of interest on a note under the “portfolio interest” rule,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is not effectively connected with your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actually or constructively own stock possessing 10% or more of the total combined voting power of all classes of the voting stock (within the meaning of the Code and applicable United States Treasury regulations) of Dell Inc. or EMC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that is actually or constructively related to Dell Inc. or EMC Corporation through stock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bank whose receipt of interest on a note is described in Section 881(c)(3)(A)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you provide your name and address on an applicable IRS Form W-8 (or other applicable form), and certify, under penalties of perjury, that you are not a United States person as defined under the Code or (b) you hold the note through certain foreign intermediaries and satisfy the certification requirements of applicable United States Treasury regulations. Special certification rules apply to Non-U.S. Holders that are pass-through entities rather than corporations or individuals.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cannot satisfy the requirements of the “portfolio interest” exception described above, payments of interest made to you will be subject to a 30% United States federal withholding tax, unless you provide the applicable withholding agent with a properly executed (a) IRS Form W-8BEN or W-8BEN-E (or other applicable form) claiming an exemption from or reduction in withholding under the benefit of an applicable income tax treaty or (b) IRS Form W-8ECI (or other applicable form) stating that interest paid on the note is not subject to withholding tax because it is effectively connected with your conduct of a trade or business in the United States (as discussed below under “—United States Federal Income Tax”). Alternative documentation may be applicable in certain situations. The 30% United States federal withholding tax generally will not apply to any payment of principal or gain that you recognize on the sale, exchange, retirement, redemption or other disposition of a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United States Federal Income Tax </w:t>
      </w:r>
    </w:p>
    <w:p>
      <w:pPr>
        <w:pStyle w:val="TextBody"/>
        <w:bidi w:val="0"/>
        <w:spacing w:before="120" w:after="0"/>
        <w:jc w:val="left"/>
        <w:rPr>
          <w:rFonts w:ascii="Times New Roman" w:hAnsi="Times New Roman"/>
          <w:sz w:val="20"/>
        </w:rPr>
      </w:pPr>
      <w:r>
        <w:rPr>
          <w:rFonts w:ascii="Times New Roman" w:hAnsi="Times New Roman"/>
          <w:sz w:val="20"/>
        </w:rPr>
        <w:t xml:space="preserve">If interest on the notes is effectively connected with your conduct of a trade or business in the United States (and, if required by an applicable income tax treaty, is attributable to a United States permanent establishment), you generally will be subject to United States federal income tax on such interest on a net income basis in generally the same manner as if you were a United States person as defined under the Code. In addition, if you are a corporation, you may be subject to a branch profits tax equal to 30% (or a lower rate under an applicable income tax treaty) of your effectively connected earnings and profits attributable to such interest, subject to adjustments. Interest received in respect of the notes that is effectively connected with a U.S. trade or business (whether or not an income tax treaty applies) will be exempt from the 30% United States federal withholding tax, provided the certification requirements discussed above in “—United States Federal Withholding Tax” are satisfied.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of backup withholding below, any gain recognized on the sale, exchange, retirement, redemption or other taxable disposition of a note generally will not be subject to United States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trade or business in the United States (and, if required by an applicable income tax treaty, is attributable to a United States permanent establishment), in which case such gain generally will be subject to United States federal income tax (and possibly branch profits tax) in generally the same manner as effectively connected interest income is taxed as described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is present in the United States for 183 days or more in the taxable year of such disposition, and certain other conditions are met, in which case you will be subject to a 30% United States federal income tax on any gain recognized (except as otherwise provided by an applicable income tax treaty), which may be offset by certain United States-source capital losses.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to the IRS will generally apply to payments of interest made to you and the amount of tax, if any, withheld with respect to such payments. Copies of the information returns reporting such interest payments and any withholding may also be made available to the tax authorities in the country in which you reside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In general, you will not be subject to backup withholding with respect to payments of interest on the notes provided that the applicable withholding agent has received from you the required certification that you are a Non-U.S. Holder described above in the fifth bullet point under “—Consequences to Non-U.S. Holders—United States Federal Withholding Tax,” or you otherwise establish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depending on the circumstances, backup withholding will apply to the proceeds of a sale or other taxable disposition (including a retirement or redemption) of notes within the United States or conducted through certain United States-related financial intermediaries, unless you certify under penalties of perjury that you are a Non-U.S. Holder (and the payor does not have actual knowledge or reason to know that you are a United States person as defined under the Code), or you otherwise establish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your United States federal income tax liability, provided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(such Sections commonly referred to as “FATCA”), a 30% United States federal withholding tax may apply to any interest income paid on the notes to (i) a “foreign financial institution” (as specifically defined in the Code) that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that avoids withholding, or (ii) a “non-financial foreign entity” (as specifically defined in the Code) that does not provide sufficient documentation, typically on IRS Form W-8BEN-E, evidencing either (x) an exemption from FATCA, or (y) adequate information regarding certain substantial United States beneficial owners of such entity (if any). These rules generally apply regardless of whether the foreign financial institution or non-financial foreign entity is the beneficial owner of the notes or an intermediary. If an interest payment is both subject to withholding under FATCA and subject to the withholding tax discussed above under “—Consequences to Non-U.S. Holders—United States Federal Withholding Tax,” the withholding under FATCA may be credited against, and therefore reduce, such other withholding tax. While withholding under FATCA would also have applied to payments of gross proceeds from the sale or other taxable disposition of the notes, proposed United States Treasury regulations, upon which taxpayers may rely until final regulations are issued, eliminate FATCA withholding on payments of gross proceeds. You should consult your own tax advisors regarding these rules and whether they may be relevant to your ownership and disposition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toc207421_15"/>
      <w:bookmarkEnd w:id="17"/>
      <w:r>
        <w:rPr>
          <w:rFonts w:ascii="Times New Roman" w:hAnsi="Times New Roman"/>
          <w:b/>
          <w:sz w:val="20"/>
        </w:rPr>
        <w:t xml:space="preserve">CERTAIN ERISA CONSIDERATIONS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certain considerations associated with the purchase of the notes by (i) “employee benefit plans” within the meaning of Section 3(3) of the U.S. Employee Retirement Income Security Act of 1974, as amended (“ERISA”) that are subject to Title I of ERISA, (ii) plans, individual retirement accounts and other arrangements that are subject to Section 4975 of the Code or provisions under any federal, state, local, non-U.S. or other laws or regulations that are similar to the fiduciary responsibility and/or prohibited transaction provisions of Title I of ERISA or Section 4975 of the Code (collectively, “Similar Laws”), and (iii) entities whose underlying assets are considered to include the assets of any of the foregoing described in clauses (i) or (ii) pursuant to ERISA or other applicable law (each of the foregoing described in clauses (i), (ii) and (iii) referred to as a “Plan”).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 xml:space="preserve">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any authority or control over the management or disposition of the assets of a Covered Plan, or who renders investment advice for a fee or other compensation to such a Covered Plan, is generally considered to be a fiduciary of the Covered Plan.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and prohibited transaction provisions of ERISA, the Code and any other applicable Similar Laws. </w:t>
      </w:r>
    </w:p>
    <w:p>
      <w:pPr>
        <w:pStyle w:val="TextBody"/>
        <w:bidi w:val="0"/>
        <w:spacing w:before="240" w:after="0"/>
        <w:jc w:val="left"/>
        <w:rPr>
          <w:rFonts w:ascii="Times New Roman" w:hAnsi="Times New Roman"/>
          <w:sz w:val="20"/>
        </w:rPr>
      </w:pPr>
      <w:r>
        <w:rPr>
          <w:rFonts w:ascii="Times New Roman" w:hAnsi="Times New Roman"/>
          <w:sz w:val="20"/>
        </w:rPr>
        <w:t xml:space="preserve">Each Plan should consider the fact that none of the issuers, the guarantors, the underwriters nor any of their respective affiliates will act as a fiduciary to any Plan with respect to any decisions with respect to the notes, including any decision whether to acquire notes and is not undertaking to provide impartial investment advice, or to give advice in a fiduciary capacity, with respect to taking or not taking action in connection with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Covered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Covered Plan that engages in such a non-exempt prohibited transaction may be subject to penalties and liabilities under ERISA and the Code. Plans that are “governmental plans” (as defined in Section 3(32) of ERISA or Section 414(d) of the Code), certain “church plans” (as defined in Section 3(33) of ERISA or Section 414(e) of the Code), and non-U.S. plans (as described in Section 4(b)(4) of ERISA) are not subject to the fiduciary responsibility requirements of ERISA or the prohibited transaction provisions of ERISA or Section 4975 of the Code but may be subject to similar prohibitions under other applicable Similar Laws. The acquisition and/or holding of the notes by a Covered Plan with respect to which any of the issuers, the guarantors, the underwriters or any of their respective affiliates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(“PTCEs”) that may apply to the acquisition and holding of the notes. These class exemptions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In addition, Section 408(b)(17) of ERISA and Section 4975(d)(20) of the Code provide relief from the prohibited transaction provisions of ERISA and Section 4975 of the Code for certain transactions between a Covered Plan and a person or entity that is a party in interest or disqualified person with respect to the Covered Plan solely by reason of providing services to the Covered Plan or a relationship with such a service provider, provided that neither the person transacting with the Covered Plan nor any of its affiliates has or exercises any discretionary authority or control or renders any investment advice with respect to the assets of the Covered Plan involved in the transaction and provided further that the Covered Plan receives no less than and pays no more than “adequate consideration” (within the meaning of Section 408(b)(17) of ERISA and Section 4975(f)(10) of the Code) in connection with the transaction. Each of the above noted exemptions contains certain conditions and limitations on its application. Fiduciaries of Plans considering acquiring and/or holding the notes in reliance on any of these or any other exemption should carefully review the exemption to ensure it is applicable. There can be no assurance that all of the conditions of any such exemptions will be satisfied.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foregoing, the notes should not be purchased or held by any person investing “plan assets” of any Plan, unless such purchase and holding will not constitute or result in a non-exempt prohibited transaction under ERISA or the Code or a similar violation of any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by acceptance of the notes (or any interest therein), each purchaser and subsequent transferee of the notes (or any interest therein) will be deemed to have represented and warranted that either (i) no portion of the assets used by or on behalf of such purchaser or transferee to acquire or hold the notes (or any interest therein) constitutes assets of any Plan or (ii)(a) the acquisition and holding of the notes (or any interest therein) by such purchaser or transferee will not constitute or result in a non-exempt prohibited transaction under Section 406 of ERISA or Section 4975 of the Code or a similar violation under any applicable Similar Laws, and (b) none of the issuers, the guarantors, the underwriters nor any of their respective affiliates is its fiduciary with respect to all decisions with respect to the notes, including whether to invest in and/or hold the notes.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 inclusive and should not be construed as legal advice. Due to the complexity of these rules and the penalties that may be imposed upon persons involved in non-exempt prohibited transactions, it is particularly important that fiduciaries or other persons considering purchasing the notes on behalf of, or with the assets of, any Plan, consult with their counsel regarding the potential applicability of ERISA, Section 4975 of the Code and any Similar Laws to such investment and whether an exemption would be applicable to the purchase and holding of the notes. Each purchaser or subsequent transferee has exclusive responsibility for ensuring that their purchase and holding of the notes (or any interest therein) does not violate the fiduciary responsibility rules of ERISA or the prohibited transaction rules of ERISA or the Code or the provisions of applicable Similar Laws. The sale of any notes to a Plan is in no respect a representation by us, the underwriters or any of our or their affiliates or representatives that such an investment meets all relevant legal requirements with respect to investments by Plans generally or any particular Plan or that such investment is appropriate for Plans generally or any particular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upptoc207421_16"/>
      <w:bookmarkEnd w:id="18"/>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BofA Securities, Inc., Citigroup Global Markets Inc., Goldman Sachs &amp; Co. LLC, HSBC Securities (USA) Inc., J.P. Morgan Securities LLC, TD Securities (USA) LLC and Wells Fargo Securities, LLC are acting as joint book-running managers and representatives of each of the underwriters named below. Subject to the terms and conditions set forth in the underwriting agreement among us and the underwriters, we have agreed to sell to the underwriters, and each of the underwriters has agreed, severally and not jointly, to purchase from us, the principal amount of notes set forth opposite its name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79"/>
        <w:gridCol w:w="74"/>
        <w:gridCol w:w="140"/>
        <w:gridCol w:w="1452"/>
        <w:gridCol w:w="60"/>
        <w:gridCol w:w="74"/>
        <w:gridCol w:w="140"/>
        <w:gridCol w:w="1452"/>
        <w:gridCol w:w="60"/>
        <w:gridCol w:w="74"/>
        <w:gridCol w:w="140"/>
        <w:gridCol w:w="1452"/>
        <w:gridCol w:w="60"/>
        <w:gridCol w:w="74"/>
        <w:gridCol w:w="140"/>
        <w:gridCol w:w="1452"/>
        <w:gridCol w:w="65"/>
      </w:tblGrid>
      <w:tr>
        <w:trPr/>
        <w:tc>
          <w:tcPr>
            <w:tcW w:w="2479"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4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74" w:type="dxa"/>
            <w:tcBorders/>
            <w:vAlign w:val="bottom"/>
          </w:tcPr>
          <w:p>
            <w:pPr>
              <w:pStyle w:val="TableContents"/>
              <w:bidi w:val="0"/>
              <w:spacing w:before="0" w:after="283"/>
              <w:jc w:val="left"/>
              <w:rPr/>
            </w:pPr>
            <w:r>
              <w:rPr/>
              <w:t> </w:t>
            </w:r>
          </w:p>
        </w:tc>
        <w:tc>
          <w:tcPr>
            <w:tcW w:w="1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2029 Notes</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2031 Notes</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2033 Notes</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2037 Notes</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93,750,000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93,750,000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112,500,000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75,000,000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93,750,000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93,750,000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112,500,000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75,000,000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93,750,000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93,750,000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112,500,000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75,000,000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93,750,000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93,750,000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112,500,000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75,000,000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93,750,000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93,750,000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112,500,000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75,000,000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93,750,000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93,750,000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112,500,000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75,000,000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93,750,000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93,750,000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112,500,000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75,000,000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93,750,000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93,750,000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112,500,000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75,000,000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45,000,000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30,000,000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45,000,000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30,000,000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45,000,000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30,000,000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45,000,000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30,000,000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45,000,000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30,000,000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45,000,000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30,000,000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45,000,000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30,000,000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45,000,000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30,000,000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SG Americas Securities, LLC</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45,000,000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30,000,000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UBS Securities LLC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45,000,000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30,000,000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15,000,000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15,000,000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Santander US Capital Markets LLC</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15,000,000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15,000,000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Standard Chartered Bank</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15,000,000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15,000,000</w:t>
            </w:r>
          </w:p>
        </w:tc>
        <w:tc>
          <w:tcPr>
            <w:tcW w:w="65" w:type="dxa"/>
            <w:tcBorders/>
            <w:vAlign w:val="bottom"/>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Blaylock Van, LLC</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6,250,000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6,250,000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5,000,000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tcPr>
          <w:p>
            <w:pPr>
              <w:pStyle w:val="TableContents"/>
              <w:bidi w:val="0"/>
              <w:spacing w:before="0" w:after="0"/>
              <w:jc w:val="left"/>
              <w:rPr>
                <w:rFonts w:ascii="Times New Roman" w:hAnsi="Times New Roman"/>
                <w:sz w:val="20"/>
              </w:rPr>
            </w:pPr>
            <w:r>
              <w:rPr>
                <w:rFonts w:ascii="Times New Roman" w:hAnsi="Times New Roman"/>
                <w:sz w:val="20"/>
              </w:rPr>
              <w:t>Samuel A. Ramirez &amp; Company, Inc.</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6,250,000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6,250,000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7,500,000</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5,000,000</w:t>
            </w:r>
          </w:p>
        </w:tc>
        <w:tc>
          <w:tcPr>
            <w:tcW w:w="65" w:type="dxa"/>
            <w:tcBorders/>
            <w:vAlign w:val="bottom"/>
          </w:tcPr>
          <w:p>
            <w:pPr>
              <w:pStyle w:val="TableContents"/>
              <w:bidi w:val="0"/>
              <w:spacing w:before="0" w:after="283"/>
              <w:jc w:val="left"/>
              <w:rPr/>
            </w:pPr>
            <w:r>
              <w:rPr/>
              <w:t> </w:t>
            </w:r>
          </w:p>
        </w:tc>
      </w:tr>
      <w:tr>
        <w:trPr/>
        <w:tc>
          <w:tcPr>
            <w:tcW w:w="2479"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5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1,250,000,000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1,250,000,000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1,500,000,000</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2" w:type="dxa"/>
            <w:tcBorders/>
            <w:shd w:fill="CCEEFF" w:val="clear"/>
            <w:vAlign w:val="bottom"/>
          </w:tcPr>
          <w:p>
            <w:pPr>
              <w:pStyle w:val="TableContents"/>
              <w:bidi w:val="0"/>
              <w:spacing w:before="0" w:after="283"/>
              <w:jc w:val="right"/>
              <w:rPr/>
            </w:pPr>
            <w:r>
              <w:rPr/>
              <w:t>1,000,000,000</w:t>
            </w:r>
          </w:p>
        </w:tc>
        <w:tc>
          <w:tcPr>
            <w:tcW w:w="65" w:type="dxa"/>
            <w:tcBorders/>
            <w:shd w:fill="CCEEFF" w:val="clear"/>
            <w:vAlign w:val="bottom"/>
          </w:tcPr>
          <w:p>
            <w:pPr>
              <w:pStyle w:val="TableContents"/>
              <w:bidi w:val="0"/>
              <w:spacing w:before="0" w:after="283"/>
              <w:jc w:val="left"/>
              <w:rPr/>
            </w:pPr>
            <w:r>
              <w:rPr/>
              <w:t> </w:t>
            </w:r>
          </w:p>
        </w:tc>
      </w:tr>
      <w:tr>
        <w:trPr/>
        <w:tc>
          <w:tcPr>
            <w:tcW w:w="2479"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5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to purchase the notes are subject to approval of legal matters by counsel and to other conditions. The underwriters must purchase all of the notes if they purchase any of the notes. The offering of the notes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Notes sold by the underwriters to the public will initially be offered at the initial public offering prices set forth on the cover of this prospectus supplement. After the initial offering, the public offering prices, concessions or any other term of the offering may be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the underwriting discounts that we are to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21"/>
        <w:gridCol w:w="508"/>
        <w:gridCol w:w="142"/>
        <w:gridCol w:w="1183"/>
        <w:gridCol w:w="285"/>
      </w:tblGrid>
      <w:tr>
        <w:trPr/>
        <w:tc>
          <w:tcPr>
            <w:tcW w:w="4821"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821"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 us</w:t>
            </w:r>
          </w:p>
        </w:tc>
        <w:tc>
          <w:tcPr>
            <w:tcW w:w="285" w:type="dxa"/>
            <w:tcBorders/>
            <w:vAlign w:val="bottom"/>
          </w:tcPr>
          <w:p>
            <w:pPr>
              <w:pStyle w:val="TableContents"/>
              <w:bidi w:val="0"/>
              <w:spacing w:before="0" w:after="283"/>
              <w:jc w:val="left"/>
              <w:rPr/>
            </w:pPr>
            <w:r>
              <w:rPr/>
              <w:t> </w:t>
            </w:r>
          </w:p>
        </w:tc>
      </w:tr>
      <w:tr>
        <w:trPr/>
        <w:tc>
          <w:tcPr>
            <w:tcW w:w="4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2029 Note</w:t>
            </w:r>
          </w:p>
        </w:tc>
        <w:tc>
          <w:tcPr>
            <w:tcW w:w="5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0.250</w:t>
            </w:r>
          </w:p>
        </w:tc>
        <w:tc>
          <w:tcPr>
            <w:tcW w:w="285" w:type="dxa"/>
            <w:tcBorders/>
            <w:shd w:fill="CCEEFF" w:val="clear"/>
            <w:vAlign w:val="bottom"/>
          </w:tcPr>
          <w:p>
            <w:pPr>
              <w:pStyle w:val="TableContents"/>
              <w:bidi w:val="0"/>
              <w:spacing w:before="0" w:after="283"/>
              <w:jc w:val="left"/>
              <w:rPr/>
            </w:pPr>
            <w:r>
              <w:rPr/>
              <w:t>% </w:t>
            </w:r>
          </w:p>
        </w:tc>
      </w:tr>
      <w:tr>
        <w:trPr/>
        <w:tc>
          <w:tcPr>
            <w:tcW w:w="4821" w:type="dxa"/>
            <w:tcBorders/>
          </w:tcPr>
          <w:p>
            <w:pPr>
              <w:pStyle w:val="TableContents"/>
              <w:bidi w:val="0"/>
              <w:spacing w:before="0" w:after="0"/>
              <w:jc w:val="left"/>
              <w:rPr>
                <w:rFonts w:ascii="Times New Roman" w:hAnsi="Times New Roman"/>
                <w:sz w:val="20"/>
              </w:rPr>
            </w:pPr>
            <w:r>
              <w:rPr>
                <w:rFonts w:ascii="Times New Roman" w:hAnsi="Times New Roman"/>
                <w:sz w:val="20"/>
              </w:rPr>
              <w:t>Per 2031 Note</w:t>
            </w:r>
          </w:p>
        </w:tc>
        <w:tc>
          <w:tcPr>
            <w:tcW w:w="5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0.400</w:t>
            </w:r>
          </w:p>
        </w:tc>
        <w:tc>
          <w:tcPr>
            <w:tcW w:w="285" w:type="dxa"/>
            <w:tcBorders/>
            <w:vAlign w:val="bottom"/>
          </w:tcPr>
          <w:p>
            <w:pPr>
              <w:pStyle w:val="TableContents"/>
              <w:bidi w:val="0"/>
              <w:spacing w:before="0" w:after="283"/>
              <w:jc w:val="left"/>
              <w:rPr/>
            </w:pPr>
            <w:r>
              <w:rPr/>
              <w:t>% </w:t>
            </w:r>
          </w:p>
        </w:tc>
      </w:tr>
      <w:tr>
        <w:trPr/>
        <w:tc>
          <w:tcPr>
            <w:tcW w:w="4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2033 Note</w:t>
            </w:r>
          </w:p>
        </w:tc>
        <w:tc>
          <w:tcPr>
            <w:tcW w:w="5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0.500</w:t>
            </w:r>
          </w:p>
        </w:tc>
        <w:tc>
          <w:tcPr>
            <w:tcW w:w="285" w:type="dxa"/>
            <w:tcBorders/>
            <w:shd w:fill="CCEEFF" w:val="clear"/>
            <w:vAlign w:val="bottom"/>
          </w:tcPr>
          <w:p>
            <w:pPr>
              <w:pStyle w:val="TableContents"/>
              <w:bidi w:val="0"/>
              <w:spacing w:before="0" w:after="283"/>
              <w:jc w:val="left"/>
              <w:rPr/>
            </w:pPr>
            <w:r>
              <w:rPr/>
              <w:t>% </w:t>
            </w:r>
          </w:p>
        </w:tc>
      </w:tr>
      <w:tr>
        <w:trPr/>
        <w:tc>
          <w:tcPr>
            <w:tcW w:w="4821" w:type="dxa"/>
            <w:tcBorders/>
          </w:tcPr>
          <w:p>
            <w:pPr>
              <w:pStyle w:val="TableContents"/>
              <w:bidi w:val="0"/>
              <w:spacing w:before="0" w:after="0"/>
              <w:jc w:val="left"/>
              <w:rPr>
                <w:rFonts w:ascii="Times New Roman" w:hAnsi="Times New Roman"/>
                <w:sz w:val="20"/>
              </w:rPr>
            </w:pPr>
            <w:r>
              <w:rPr>
                <w:rFonts w:ascii="Times New Roman" w:hAnsi="Times New Roman"/>
                <w:sz w:val="20"/>
              </w:rPr>
              <w:t>Per 2037 Note</w:t>
            </w:r>
          </w:p>
        </w:tc>
        <w:tc>
          <w:tcPr>
            <w:tcW w:w="5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0.600</w:t>
            </w:r>
          </w:p>
        </w:tc>
        <w:tc>
          <w:tcPr>
            <w:tcW w:w="285" w:type="dxa"/>
            <w:tcBorders/>
            <w:vAlign w:val="bottom"/>
          </w:tcPr>
          <w:p>
            <w:pPr>
              <w:pStyle w:val="TableContents"/>
              <w:bidi w:val="0"/>
              <w:spacing w:before="0" w:after="283"/>
              <w:jc w:val="left"/>
              <w:rPr/>
            </w:pPr>
            <w:r>
              <w:rPr/>
              <w:t>% </w:t>
            </w:r>
          </w:p>
        </w:tc>
      </w:tr>
      <w:tr>
        <w:trPr/>
        <w:tc>
          <w:tcPr>
            <w:tcW w:w="4821"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4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21,625,000</w:t>
            </w:r>
          </w:p>
        </w:tc>
        <w:tc>
          <w:tcPr>
            <w:tcW w:w="285" w:type="dxa"/>
            <w:tcBorders/>
            <w:shd w:fill="CCEEFF" w:val="clear"/>
            <w:vAlign w:val="bottom"/>
          </w:tcPr>
          <w:p>
            <w:pPr>
              <w:pStyle w:val="TableContents"/>
              <w:bidi w:val="0"/>
              <w:spacing w:before="0" w:after="283"/>
              <w:jc w:val="left"/>
              <w:rPr/>
            </w:pPr>
            <w:r>
              <w:rPr/>
              <w:t> </w:t>
            </w:r>
          </w:p>
        </w:tc>
      </w:tr>
      <w:tr>
        <w:trPr/>
        <w:tc>
          <w:tcPr>
            <w:tcW w:w="4821"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our share of the total expenses of the offering, excluding the underwriting discount, will be approximately $13.6 million.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issuers and the guarantors have agreed to indemnify the several underwriters against liabilities that could arise including liabilities under the Securities Act or to contribute to payments that the underwriters may be required to make because of any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new securities for which there are currently no markets. The notes will not be listed on any securities exchange or automated quotation system. Although the underwriters have informed us that they intend to make a market in the notes of each series, they are not obligated to do so, and they may discontinue market-making activities at any time without notice. Accordingly, we cannot assure you that liquid markets for the notes will develop or, if such markets develop, that they will be maintained.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against payment therefor on or about September 15, 2026, which is the fourth business day following the date of pricing of the notes (this settlement cycle being referred to as “T+4”). Since trades in the secondary market generally settle in one business day, purchasers who wish to trade their notes on any date prior to the first business day before delivery will be required, by virtue of the fact that the notes initially will settle in T+4, to specify an alternative settlement cycle at the time of any such trade to prevent a failed settlement. Purchasers of the notes who wish to trade the notes on any date prior to the first business day before delivery should consult their own advisors.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notes in the open market. Purchases and sales in the open market may include short sales, purchases to cover short positions and stabilizing purchases.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involve secondary market sales by the underwriters of a greater number of notes than they are required to purchase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involve bids to purchase the notes so long as the stabilizing bids do not exceed a specified maximum.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Covering transactions involve purchases of the notes in the open market after the distribution has been completed in order to cover short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Penalty bids permit the underwriters to reclaim a selling concession from a syndicate member when the underwriters, in covering short positions or making a stabilizing purchase, repurchase notes originally sold by that syndicate member to cover 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Purchases to cover short positions and stabilizing purchases, as well as other purchases by the underwriters for their own accounts, may have the effect of preventing or retarding a decline in the market prices of the notes. These over-allotments, stabilizing transactions, covering transactions and penalty bids may cause the prices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notes to be higher than they would otherwise be in the absence of these transactions. These transactions, if commenced, may be discontinued at any time. The underwriters may conduct these transactions in the over-the-counter market or otherwise. If the underwriters commence any of these transactions, they may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respective affiliates have provided and/or may provide in the future, investment banking, commercial banking and other financial services for us and our affiliates in the ordinary course of business, for which they have received and will receive customary compensation. Affiliates of certain of the underwriters act as agents and/or lenders under the revolving credit facility, and have received fees in connection with such roles. Certain of the underwriters or their affiliates also act as lenders and/or agents under certain of our structured financing debt and/or are holders of our other debt, including our 2026 Notes, and upon application of the net proceeds of this Offering to redeem such notes, such underwriters or their affiliates will receive a portion of the net proceeds of this Offering to the extent they are holders of such notes. In addition, a member of the Dell Technologies board of directors is also a director of Goldman Sachs Group Inc., an affiliate of one of the underwriters. BNY Mellon Capital Markets, LLC, one of the underwriters participating in the Offering, is an affiliate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including serving as counterparties to certain derivative and hedging arrangements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and such investment and securities activities may involve our securities and/or instruments. If the underwriters or their affiliates have a lending relationship with us, certain of those underwriters or their affiliates routinely hedge, certain of the underwriters or their affiliates are likely to hedge or otherwise reduce, and certain other of these underwriters or their affiliates may hedge, their credit exposure to us consistent with their customary risk management policies. The underwriters and their affiliates may hedge such exposure by entering into transactions which consist of either the purchase of credit default swaps or the creation of short positions in our securities or the securities of our affiliates, including potentially the notes offered hereby. Any such credit default swaps or short positions could adversely affect future trading prices of the notes offered hereby. The underwriters and/or their respective affiliates may also communicate independent investment recommendations, market color or trading ideas and/or publish or express independent research views in respect of such assets, securities or instruments and may at any time hold for their own account and for the accounts of their customers,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underwriter that is not a U.S.-registered broker-dealer intends to effect sales of the notes in the U.S., it will do so through one or more U.S.-registered broker-dealers in accordance with the applicable U.S. securities laws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(“EEA”). For these purposes, (a)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 (10) of Article 4(1) of MiFID II; or (iii) not a qualified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defined in Regulation (EU) 2017/1129 (as amended, the “Prospectus Regulation”); and (b) the expression an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or superseded,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600/2014 as it forms part of domestic law by virtue of the European Union (Withdrawal) Act 2018 (“EUWA”); nor (ii) a qualified investor as defined in paragraph 15 of Schedule 1 to the Public Offers and Admissions to Trading Regulations 2024 (the “POATRs”). For the purpose of this provision, the expression “an offer” includes the communication in any form and by any means of sufficient information on the terms of the offer and the notes to be offered so as to enable an investor to decide to purchase or subscribe for the notes”. Consequently, no disclosure document required by the UK Financial Conduct Authority (“FCA”) Product Disclosure sourcebook (“DISC”) for offering, selling or distributing consumer composite investments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and the accompanying prospectus have been prepared on the basis that any offer of notes in the UK will be made pursuant to an exception from the prohibition on offers of notes to the public under the POATRs. Neither this prospectus supplement nor the accompanying prospectus is a prospectus for the purposes of the POATRs or the FCA Prospectus Rules: Admission to Trading on a Regulated Market sourcebook. </w:t>
      </w:r>
    </w:p>
    <w:p>
      <w:pPr>
        <w:pStyle w:val="TextBody"/>
        <w:bidi w:val="0"/>
        <w:spacing w:before="240" w:after="0"/>
        <w:jc w:val="left"/>
        <w:rPr>
          <w:rFonts w:ascii="Times New Roman" w:hAnsi="Times New Roman"/>
          <w:sz w:val="20"/>
        </w:rPr>
      </w:pPr>
      <w:r>
        <w:rPr>
          <w:rFonts w:ascii="Times New Roman" w:hAnsi="Times New Roman"/>
          <w:sz w:val="20"/>
        </w:rPr>
        <w:t xml:space="preserve">In the UK, this prospectus supplement and any other material in relation to the notes described herein is only being distributed to, and is only directed at, (i) persons having professional experience in matters relating to investments falling within Article 19(5) of the Financial Services and Markets Act 2000 (Financial Promotion) Order 2005 (as amended, the “Financial Promotion Order”), (ii) persons falling within Article 49(2)(a) to (d) (“high net worth companies, unincorporated associations etc.”) of the Financial Promotion Order, (iii) persons outside the UK or (iv)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(all such persons together being referred to as “relevant persons”). In the UK, any investment or investment activity to which this prospectus supplement relates is available only to, and will be engaged in only with, relevant persons. Any person in the UK that is not a relevant person should not act or rely on this prospectus supplement or its contents.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notes. The notes may not be publicly offered, sold or advertised, directly or indirectly, in, into or from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In particular, this prospectus supplement and the accompanying prospectus will not be filed with, and the offer of the notes will not be supervised by, the Swiss Financial Market Supervisory Authority, and the offer of the notes has not been and will not be authorized under the Swiss Federal Act on Collective Investment Schemes (the “CISA”). The investor protection afforded to acquirers of interests in collective investment schemes under the CISA does not extend to acquirers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relate to an Exempt Offer in accordance with the Markets Rules 2012 of the Dubai Financial Services Authority (“DFSA”). This prospectus supplement and the accompanying prospectus are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this prospectus supplement or the accompanying prospectus.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Dubai International Financial Centre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represents, warrants and agrees that (i) it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Law of Japan (the “Financial Instruments and Exchange Law”). The underwriters have agreed that they have not, directly or indirectly, offered or sold and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registered as a prospectus with the Monetary Authority of Singapore. Accordingly, each underwriter has represented and agreed that 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notes,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 – Solely for the purposes of its obligations pursuant to sections 309B(1)(a) and 309B(1)(c) of the SFA, the issuers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purchasing, or deemed to be purchasing, as principal that are accredited investors, as defined in National Instrument 45-106 Prospectus Exemptions or subsection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 a misrepresentation, provided that the remedies for rescission or damages are exercised by the purchaser within the time limit prescribed by the securities legislation of the purchaser’s province or territory. </w:t>
      </w:r>
    </w:p>
    <w:p>
      <w:pPr>
        <w:pStyle w:val="TextBody"/>
        <w:bidi w:val="0"/>
        <w:spacing w:before="240" w:after="0"/>
        <w:jc w:val="left"/>
        <w:rPr>
          <w:rFonts w:ascii="Times New Roman" w:hAnsi="Times New Roman"/>
          <w:sz w:val="20"/>
        </w:rPr>
      </w:pPr>
      <w:r>
        <w:rPr>
          <w:rFonts w:ascii="Times New Roman" w:hAnsi="Times New Roman"/>
          <w:sz w:val="20"/>
        </w:rPr>
        <w:t xml:space="preserve">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the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with the Financial Supervisory Commission of Taiwan, the Republic of China (“Taiwan”) pursuant to applicable 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supptoc207421_17"/>
      <w:bookmarkEnd w:id="1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will be passed upon for us by Simpson Thacher &amp; Bartlett LLP, New York, New York. An investment vehicle comprised of several partners of Simpson Thacher &amp; Bartlett LLP, members of their families, related persons and others own interests representing less than 1% of the capital commitments of funds affiliated with Silver Lake Management Company III, L.L.C. and Silver Lake Management Company IV, L.L.C. Certain legal matters in connection with the Offering will be passed upon for the underwriters by Cravath, Swaine &amp; Moore LLP, New York, New York. </w:t>
      </w:r>
    </w:p>
    <w:p>
      <w:pPr>
        <w:pStyle w:val="TextBody"/>
        <w:bidi w:val="0"/>
        <w:spacing w:before="480" w:after="0"/>
        <w:jc w:val="center"/>
        <w:rPr>
          <w:rFonts w:ascii="Times New Roman" w:hAnsi="Times New Roman"/>
          <w:b/>
          <w:sz w:val="20"/>
        </w:rPr>
      </w:pPr>
      <w:bookmarkStart w:id="20" w:name="supptoc207421_18"/>
      <w:bookmarkEnd w:id="2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10-K for the year ended January 30, 2026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60445" cy="4864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3560445" cy="4864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Dell International L.L.C. </w:t>
      </w:r>
    </w:p>
    <w:p>
      <w:pPr>
        <w:pStyle w:val="TextBody"/>
        <w:bidi w:val="0"/>
        <w:spacing w:before="0" w:after="0"/>
        <w:jc w:val="center"/>
        <w:rPr>
          <w:rFonts w:ascii="Times New Roman" w:hAnsi="Times New Roman"/>
          <w:b/>
          <w:sz w:val="48"/>
        </w:rPr>
      </w:pPr>
      <w:r>
        <w:rPr>
          <w:rFonts w:ascii="Times New Roman" w:hAnsi="Times New Roman"/>
          <w:b/>
          <w:sz w:val="48"/>
        </w:rPr>
        <w:t xml:space="preserve">EMC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120" w:after="0"/>
        <w:jc w:val="center"/>
        <w:rPr>
          <w:rFonts w:ascii="Times New Roman" w:hAnsi="Times New Roman"/>
          <w:b/>
          <w:sz w:val="28"/>
        </w:rPr>
      </w:pPr>
      <w:r>
        <w:rPr>
          <w:rFonts w:ascii="Times New Roman" w:hAnsi="Times New Roman"/>
          <w:b/>
          <w:sz w:val="28"/>
        </w:rPr>
        <w:t xml:space="preserve">Guarantees of 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rFonts w:ascii="Times New Roman" w:hAnsi="Times New Roman"/>
          <w:sz w:val="20"/>
        </w:rPr>
      </w:pPr>
      <w:r>
        <w:rPr>
          <w:rFonts w:ascii="Times New Roman" w:hAnsi="Times New Roman"/>
          <w:sz w:val="20"/>
        </w:rPr>
        <w:t xml:space="preserve">Dell International L.L.C. (“Dell International”) and EMC Corporation (“EMC” and, together with Dell International, the “Issuers”) may, from time to time, offer and sell debt securities. Debt securities issued by the Issuers may be guaranteed by Dell Technologies (as defined below) and any of the additional Registrant Guarantors named in the Table of Additional Registrant Guarantors (the “additional Registrant Guarantors”). Any debt securities issued will be the senior unsecured obligations of the Issuers, Dell Technologies and, as applicable, one or more of the additional Registrant Guarantors. </w:t>
      </w:r>
    </w:p>
    <w:p>
      <w:pPr>
        <w:pStyle w:val="TextBody"/>
        <w:bidi w:val="0"/>
        <w:spacing w:before="240" w:after="0"/>
        <w:jc w:val="both"/>
        <w:rPr>
          <w:rFonts w:ascii="Times New Roman" w:hAnsi="Times New Roman"/>
          <w:sz w:val="20"/>
        </w:rPr>
      </w:pPr>
      <w:r>
        <w:rPr>
          <w:rFonts w:ascii="Times New Roman" w:hAnsi="Times New Roman"/>
          <w:sz w:val="20"/>
        </w:rPr>
        <w:t xml:space="preserve">The Issuers may offer and sell these debt securities separately or together, in one or more series and in amounts, at prices and on terms described in one or more offerings. When the Issuers decide to sell a particular series of these debt securities, the terms of the debt securities, including the initial offering price and the aggregate amount of the offering, will be provided in one or more supplements to this prospectus. A prospectus supplement may also add, update or change information contained in this prospectus. </w:t>
      </w:r>
    </w:p>
    <w:p>
      <w:pPr>
        <w:pStyle w:val="TextBody"/>
        <w:bidi w:val="0"/>
        <w:spacing w:before="240" w:after="0"/>
        <w:jc w:val="both"/>
        <w:rPr>
          <w:rFonts w:ascii="Times New Roman" w:hAnsi="Times New Roman"/>
          <w:sz w:val="20"/>
        </w:rPr>
      </w:pPr>
      <w:r>
        <w:rPr>
          <w:rFonts w:ascii="Times New Roman" w:hAnsi="Times New Roman"/>
          <w:sz w:val="20"/>
        </w:rPr>
        <w:t>The debt securities may be sold to or through one or more underwriters, dealers and agents, or directly to purchasers, on a continuous or delayed basis. The prospectus supplement for each offering of debt securities will describe in detail the plan of distribution for that offering. For general information about the distribution of securities offered, please see “</w:t>
      </w:r>
      <w:r>
        <w:rPr>
          <w:rFonts w:ascii="Times New Roman" w:hAnsi="Times New Roman"/>
          <w:i/>
          <w:sz w:val="20"/>
        </w:rPr>
        <w:t>Plan of Distribution</w:t>
      </w:r>
      <w:r>
        <w:rPr>
          <w:rFonts w:ascii="Times New Roman" w:hAnsi="Times New Roman"/>
          <w:sz w:val="20"/>
        </w:rPr>
        <w:t xml:space="preserve">” in this prospectus. </w:t>
      </w:r>
    </w:p>
    <w:p>
      <w:pPr>
        <w:pStyle w:val="TextBody"/>
        <w:bidi w:val="0"/>
        <w:spacing w:before="240" w:after="0"/>
        <w:jc w:val="both"/>
        <w:rPr/>
      </w:pPr>
      <w:r>
        <w:rPr>
          <w:rFonts w:ascii="Times New Roman" w:hAnsi="Times New Roman"/>
          <w:b/>
          <w:sz w:val="24"/>
        </w:rPr>
        <w:t>Investing in securities registered hereby involves risks. See “</w:t>
      </w:r>
      <w:hyperlink w:anchor="toc207421_12">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beginning on page 7 of this prospectus and any similar section contained in the applicable prospectus supplement concerning factors you should consider before investing in any securities. </w:t>
      </w:r>
    </w:p>
    <w:p>
      <w:pPr>
        <w:pStyle w:val="TextBody"/>
        <w:bidi w:val="0"/>
        <w:spacing w:before="240" w:after="0"/>
        <w:jc w:val="both"/>
        <w:rPr>
          <w:rFonts w:ascii="Times New Roman" w:hAnsi="Times New Roman"/>
          <w:sz w:val="20"/>
        </w:rPr>
      </w:pPr>
      <w:r>
        <w:rPr>
          <w:rFonts w:ascii="Times New Roman" w:hAnsi="Times New Roman"/>
          <w:sz w:val="20"/>
        </w:rPr>
        <w:t xml:space="preserve">Neither the United States (the “U.S.”) Securities and Exchange Commission (the “SEC”) nor any state securities commission has approved or disapproved of these securities or passed upon the accuracy or adequacy of this prospectus. Any representation to the contrary is a criminal offense. </w:t>
      </w:r>
    </w:p>
    <w:p>
      <w:pPr>
        <w:pStyle w:val="TextBody"/>
        <w:bidi w:val="0"/>
        <w:spacing w:before="240" w:after="0"/>
        <w:jc w:val="center"/>
        <w:rPr>
          <w:rFonts w:ascii="Times New Roman" w:hAnsi="Times New Roman"/>
          <w:sz w:val="20"/>
        </w:rPr>
      </w:pPr>
      <w:r>
        <w:rPr>
          <w:rFonts w:ascii="Times New Roman" w:hAnsi="Times New Roman"/>
          <w:sz w:val="20"/>
        </w:rPr>
        <w:t xml:space="preserve">The date of this prospectus is June 11,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2">
              <w:r>
                <w:rPr>
                  <w:rStyle w:val="InternetLink"/>
                  <w:rFonts w:ascii="Times New Roman" w:hAnsi="Times New Roman"/>
                  <w:sz w:val="20"/>
                </w:rPr>
                <w:t>Cautionary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3">
              <w:r>
                <w:rPr>
                  <w:rStyle w:val="InternetLink"/>
                  <w:rFonts w:ascii="Times New Roman" w:hAnsi="Times New Roman"/>
                  <w:sz w:val="20"/>
                </w:rPr>
                <w:t>Industry and Market Data</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4">
              <w:r>
                <w:rPr>
                  <w:rStyle w:val="InternetLink"/>
                  <w:rFonts w:ascii="Times New Roman" w:hAnsi="Times New Roman"/>
                  <w:sz w:val="20"/>
                </w:rPr>
                <w:t>Trademarks and Other Intellectual Property Rights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5">
              <w:r>
                <w:rPr>
                  <w:rStyle w:val="InternetLink"/>
                  <w:rFonts w:ascii="Times New Roman" w:hAnsi="Times New Roman"/>
                  <w:sz w:val="20"/>
                </w:rPr>
                <w:t>Basis of Presentation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6">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7">
              <w:r>
                <w:rPr>
                  <w:rStyle w:val="InternetLink"/>
                  <w:rFonts w:ascii="Times New Roman" w:hAnsi="Times New Roman"/>
                  <w:sz w:val="20"/>
                </w:rPr>
                <w:t>Incorporation of Certain Information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8">
              <w:r>
                <w:rPr>
                  <w:rStyle w:val="InternetLink"/>
                  <w:rFonts w:ascii="Times New Roman" w:hAnsi="Times New Roman"/>
                  <w:sz w:val="20"/>
                </w:rPr>
                <w:t>Dell Technologies Inc.</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9">
              <w:r>
                <w:rPr>
                  <w:rStyle w:val="InternetLink"/>
                  <w:rFonts w:ascii="Times New Roman" w:hAnsi="Times New Roman"/>
                  <w:sz w:val="20"/>
                </w:rPr>
                <w:t>Dell International L.L.C., EMC Corporation and the Additional Registrant Guarantors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0">
              <w:r>
                <w:rPr>
                  <w:rStyle w:val="InternetLink"/>
                  <w:rFonts w:ascii="Times New Roman" w:hAnsi="Times New Roman"/>
                  <w:sz w:val="20"/>
                </w:rPr>
                <w:t>Corporate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1">
              <w:r>
                <w:rPr>
                  <w:rStyle w:val="InternetLink"/>
                  <w:rFonts w:ascii="Times New Roman" w:hAnsi="Times New Roman"/>
                  <w:sz w:val="20"/>
                </w:rPr>
                <w:t>Recent Developments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2">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3">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4">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5">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6">
              <w:r>
                <w:rPr>
                  <w:rStyle w:val="InternetLink"/>
                  <w:rFonts w:ascii="Times New Roman" w:hAnsi="Times New Roman"/>
                  <w:sz w:val="20"/>
                </w:rPr>
                <w:t>Validity of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207421_17">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b/>
          <w:sz w:val="20"/>
        </w:rPr>
      </w:pPr>
      <w:r>
        <w:rPr>
          <w:rFonts w:ascii="Times New Roman" w:hAnsi="Times New Roman"/>
          <w:b/>
          <w:sz w:val="20"/>
        </w:rPr>
        <w:t xml:space="preserve">We have not authorized anyone to provide any information or make any representations other than those contained in this prospectus, the related registration statement, in any applicable prospectus supplement, free writing prospectus or in the materials that we have incorporated by reference into this prospectus and any applicable prospectus supplement. We have not authorized anyone to provide you with different information. The Issuers are not making an offer of these securities in any jurisdiction where the offer is not permitted. You should not assume that the information in this prospectus, any applicable prospectus supplement, any such free writing prospectus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207421_1"/>
      <w:bookmarkEnd w:id="21"/>
      <w:r>
        <w:rPr>
          <w:rFonts w:ascii="Times New Roman" w:hAnsi="Times New Roman"/>
          <w:b/>
          <w:sz w:val="20"/>
        </w:rPr>
        <w:t xml:space="preserve">ABOUT THIS PROSPECTUS </w:t>
      </w:r>
    </w:p>
    <w:p>
      <w:pPr>
        <w:pStyle w:val="TextBody"/>
        <w:bidi w:val="0"/>
        <w:spacing w:before="240" w:after="0"/>
        <w:jc w:val="both"/>
        <w:rPr>
          <w:rFonts w:ascii="Times New Roman" w:hAnsi="Times New Roman"/>
          <w:sz w:val="20"/>
        </w:rPr>
      </w:pPr>
      <w:r>
        <w:rPr>
          <w:rFonts w:ascii="Times New Roman" w:hAnsi="Times New Roman"/>
          <w:sz w:val="20"/>
        </w:rPr>
        <w:t>This prospectus is part of an automatic “shelf” registration statement on Form S-3 that the Issuers, Dell Technologies and the additional Registrant Guarantors filed with the SEC, as Dell Technologies is a “well-known seasoned issuer” as defined in Rule 405 under the Securities Act of 1933, as amended (the “Securities Act”). This prospectus provides you with a general description of the securities the Issuers, Dell Technologies and the additional Registrant Guarantors may offer. Each time this prospectus is used to offer securities, a prospectus supplement will be provided and, if applicable, a pricing supplement. The prospectus supplement and any applicable pricing supplement will describe the specific amounts, prices and other material terms of the securities being offered at that time. The prospectus supplement and any applicable pricing supplement may also add, update or change the information in this prospectus. You should read this prospectus, the applicable prospectus supplement and any applicable pricing supplement, together with the information contained in the documents referred to under the heading “</w:t>
      </w:r>
      <w:r>
        <w:rPr>
          <w:rFonts w:ascii="Times New Roman" w:hAnsi="Times New Roman"/>
          <w:i/>
          <w:sz w:val="20"/>
        </w:rPr>
        <w:t>Where You Can Find More Information</w:t>
      </w:r>
      <w:r>
        <w:rPr>
          <w:rFonts w:ascii="Times New Roman" w:hAnsi="Times New Roman"/>
          <w:sz w:val="20"/>
        </w:rPr>
        <w:t xml:space="preserve">.” If there is any inconsistency between information in this prospectus and any prospectus supplement or free writing prospectus, you should rely on the information in the applicable prospectus supplement or free writing prospectus. </w:t>
      </w:r>
    </w:p>
    <w:p>
      <w:pPr>
        <w:pStyle w:val="TextBody"/>
        <w:bidi w:val="0"/>
        <w:spacing w:before="480" w:after="0"/>
        <w:jc w:val="center"/>
        <w:rPr>
          <w:rFonts w:ascii="Times New Roman" w:hAnsi="Times New Roman"/>
          <w:b/>
          <w:sz w:val="20"/>
        </w:rPr>
      </w:pPr>
      <w:bookmarkStart w:id="22" w:name="toc207421_2"/>
      <w:bookmarkEnd w:id="22"/>
      <w:r>
        <w:rPr>
          <w:rFonts w:ascii="Times New Roman" w:hAnsi="Times New Roman"/>
          <w:b/>
          <w:sz w:val="20"/>
        </w:rPr>
        <w:t xml:space="preserve">CAUTIONARY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and the documents incorporated by reference herein contain “forward-looking statements” within the meaning of Section 27A of the Securities Act and Section 21E of the Securities Exchange Act of 1934, as amended (the “Exchange Act”). The words “may,” “will,” “anticipate,” “estimate,” “expect,” “intend,” “plan,” “aim,” “seek,”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in our Annual Report (the “Annual Report”) on Form 10-K for the fiscal year ended January 30, 2026, in this prospectus and in our other periodic and current reports filed with the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 </w:t>
      </w:r>
    </w:p>
    <w:p>
      <w:pPr>
        <w:pStyle w:val="TextBody"/>
        <w:bidi w:val="0"/>
        <w:spacing w:before="240" w:after="0"/>
        <w:jc w:val="both"/>
        <w:rPr>
          <w:rFonts w:ascii="Times New Roman" w:hAnsi="Times New Roman"/>
          <w:sz w:val="20"/>
        </w:rPr>
      </w:pPr>
      <w:r>
        <w:rPr>
          <w:rFonts w:ascii="Times New Roman" w:hAnsi="Times New Roman"/>
          <w:sz w:val="20"/>
        </w:rPr>
        <w:t xml:space="preserve">These statements regarding future events or our future performance or results inherently are subject to a variety of risks, contingencies and other uncertainties that could cause actual results, performance or achievements to differ materially from those described in or implied by the forward-looking statements. The risks, contingencies and other uncertainties that could cause our business and actual results of operations, financial condition and prospects to differ materially from our expectations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adverse global economic conditions and instability in financial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competitive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operating results of our business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relationships with our product and component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use of single-source or limited-source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nature of demands for artificial intelligence (“AI”)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management of our AI solutions and use of AI in our internal functions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deliver high-quality products, software, and services, or to manage solutions and product and services transitions in an effective manner;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successfully implement our cost efficiency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security incidents, including cyber-attacks;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foreign operations and ability to generate substantial non-U.S. net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 service, customer, and geographic sales mix and seasonal sales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performance of our sales channel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strategic acquisitions and dispositions we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access to the capital markets by us or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weak economic conditions, changing customer mix, and additional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counterparty default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material impairments to our goodwill or 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loss of, or reduction of services or rates under, any contracts with our customers, including government contracts, and our ability to perform such contracts at our estimated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develop and protect our proprietary intellectual property or obtain licenses to intellectual property developed by others on commercially reasonable and competitive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infrastructure disruptions, including disruptions to our information technology and manufacturing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effectively hedge our exposure to fluctuations in foreign currency exchange rates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adverse legislative or regulatory tax changes, expiration of tax holidays or favorable tax rate structures, or unfavorable outcomes in tax audits and other tax compliance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declines in fair value or impairment of portfolio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unfavorable results of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evolving and varied stakeholder expectations and regulatory requirements with respect to sustainability and environmental, social, and governance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climate-related risks and legal, regulatory, or market measures related to climate;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with changing environmental and safety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requirements of anti-corruption laws, economic sanctions and other trade laws, human rights laws and other laws regulating our international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dependence on the services of our Chief Executive Officer and our loss of, or inability to continue to attract, retain and motivate, executive talent and other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level of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other factors discussed under “</w:t>
            </w:r>
            <w:r>
              <w:rPr>
                <w:rFonts w:ascii="Times New Roman" w:hAnsi="Times New Roman"/>
                <w:i/>
                <w:sz w:val="20"/>
              </w:rPr>
              <w:t>Risk Factors</w:t>
            </w:r>
            <w:r>
              <w:rPr>
                <w:rFonts w:ascii="Times New Roman" w:hAnsi="Times New Roman"/>
                <w:sz w:val="20"/>
              </w:rPr>
              <w:t xml:space="preserve">” and elsewhere included in or incorporated by reference into this prospectus.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Because of these risks, contingencies and other uncertainties, you are cautioned not to place undue reliance on these forward-looking statements, which speak only as of the date made. All subsequent written or oral forward-looking statements attributable to us or any person acting on our behalf are expressly qualified in their entirety by the cautionary statements contained or referred to in this section. While we may elect to update forward-looking statements in the future, we specifically disclaim any obligation to do so, even if our expectations change or if new events, circumstances or information arises, and investors should not rely on those forward-looking statements as representing our views as of any date subsequent to the date of this prospectus, except as may be required under applicable federal securities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207421_3"/>
      <w:bookmarkEnd w:id="23"/>
      <w:r>
        <w:rPr>
          <w:rFonts w:ascii="Times New Roman" w:hAnsi="Times New Roman"/>
          <w:b/>
          <w:sz w:val="20"/>
        </w:rPr>
        <w:t xml:space="preserve">INDUSTRY AND MARKET DATA </w:t>
      </w:r>
    </w:p>
    <w:p>
      <w:pPr>
        <w:pStyle w:val="TextBody"/>
        <w:bidi w:val="0"/>
        <w:spacing w:before="240" w:after="0"/>
        <w:jc w:val="both"/>
        <w:rPr>
          <w:rFonts w:ascii="Times New Roman" w:hAnsi="Times New Roman"/>
          <w:sz w:val="20"/>
        </w:rPr>
      </w:pPr>
      <w:r>
        <w:rPr>
          <w:rFonts w:ascii="Times New Roman" w:hAnsi="Times New Roman"/>
          <w:sz w:val="20"/>
        </w:rPr>
        <w:t>This prospectus and the documents incorporated by reference herein include information with respect to market share and other industry-related and statistical information, which are based on information from independent industry organizations and other third-party sources. We also have derived some industry and market information from our internal analysis based upon data available from such independent and third-party sources and our internal research. We believe such information to be accurate as of their respective dates. However, this information is subject to the limits on the availability and reliability of raw data, the voluntary nature of the data gathering process and other limitations and uncertainties. In addition, our internal research is based upon our understanding of industry conditions, and such information has not been verified by any independent sources. We cannot guarantee the accuracy or completeness of any such information contained or incorporated by reference in this prospectus. Such information also involves risks and uncertainties and is subject to change based on various factors, including those discussed under the heading “</w:t>
      </w:r>
      <w:r>
        <w:rPr>
          <w:rFonts w:ascii="Times New Roman" w:hAnsi="Times New Roman"/>
          <w:i/>
          <w:sz w:val="20"/>
        </w:rPr>
        <w:t>Cautionary Note Regarding Forward-Looking Statements</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24" w:name="toc207421_4"/>
      <w:bookmarkEnd w:id="24"/>
      <w:r>
        <w:rPr>
          <w:rFonts w:ascii="Times New Roman" w:hAnsi="Times New Roman"/>
          <w:b/>
          <w:sz w:val="20"/>
        </w:rPr>
        <w:t xml:space="preserve">TRADEMARKS AND OTHER INTELLECTUAL PROPERTY RIGHTS </w:t>
      </w:r>
    </w:p>
    <w:p>
      <w:pPr>
        <w:pStyle w:val="TextBody"/>
        <w:bidi w:val="0"/>
        <w:spacing w:before="240" w:after="0"/>
        <w:jc w:val="both"/>
        <w:rPr>
          <w:rFonts w:ascii="Times New Roman" w:hAnsi="Times New Roman"/>
          <w:sz w:val="20"/>
        </w:rPr>
      </w:pPr>
      <w:r>
        <w:rPr>
          <w:rFonts w:ascii="Times New Roman" w:hAnsi="Times New Roman"/>
          <w:sz w:val="20"/>
        </w:rPr>
        <w:t xml:space="preserve">We own or have rights to trademarks, service marks or trade names that we use in connection with the operation of our business. Certain trademarks and/or trade names are subject to registrations or applications to register with the United States Patent and Trademark Office or the equivalent in certain foreign jurisdictions, while others are not subject to registration but are protected by common law rights. These registered and unregistered marks include our corporate names, logos, and website names used herein. Each trademark, service mark, or trade name by any other company appearing in this prospectus or any accompanying prospectus supplement (or in documents we have incorporated by reference) belongs to its owner. </w:t>
      </w:r>
    </w:p>
    <w:p>
      <w:pPr>
        <w:pStyle w:val="TextBody"/>
        <w:bidi w:val="0"/>
        <w:spacing w:before="240" w:after="0"/>
        <w:jc w:val="both"/>
        <w:rPr>
          <w:rFonts w:ascii="Times New Roman" w:hAnsi="Times New Roman"/>
          <w:sz w:val="20"/>
        </w:rPr>
      </w:pPr>
      <w:r>
        <w:rPr>
          <w:rFonts w:ascii="Times New Roman" w:hAnsi="Times New Roman"/>
          <w:sz w:val="20"/>
        </w:rPr>
        <w:t xml:space="preserve">Solely for convenience, trademarks, service marks, and trade names referred to in this prospectus or any accompanying prospectus supplement (or in documents we have incorporated by reference) may appear without the ®, TM, or SM symbols, but such references are not intended to indicate, in any way, that we will not assert, to the fullest extent under applicable law, our rights or the right of the applicable licensors to these trademarks, service marks or trade names. We do not intend our use or display of other parties’ trademarks, service marks or trade names to imply, and such use or display should not be construed to imply, a relationship with, or endorsement or sponsorship of us by, those other parties. </w:t>
      </w:r>
    </w:p>
    <w:p>
      <w:pPr>
        <w:pStyle w:val="TextBody"/>
        <w:bidi w:val="0"/>
        <w:spacing w:before="480" w:after="0"/>
        <w:jc w:val="center"/>
        <w:rPr>
          <w:rFonts w:ascii="Times New Roman" w:hAnsi="Times New Roman"/>
          <w:b/>
          <w:sz w:val="20"/>
        </w:rPr>
      </w:pPr>
      <w:bookmarkStart w:id="25" w:name="toc207421_5"/>
      <w:bookmarkEnd w:id="25"/>
      <w:r>
        <w:rPr>
          <w:rFonts w:ascii="Times New Roman" w:hAnsi="Times New Roman"/>
          <w:b/>
          <w:sz w:val="20"/>
        </w:rPr>
        <w:t xml:space="preserve">BASIS OF PRESENTATION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includes and incorporates by reference the historical consolidated financial statements and other financial data of Dell Technologies, which may guarantee any debt securities offered pursuant to the registration statement of which this prospectus forms a part. Each of the Issuers is a direct wholly-owned subsidiary of Dell Inc., an additional Registrant Guarantor, and an indirect wholly-owned subsidiary of Dell Technologies. No separate financial information has been provided in this prospectus for Dell International or EMC.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mentioned or unless the context requires otherwise, when used in this prospectus, the terms “Dell Technologies,” “we,” “our,” or “us” refer to Dell Technologies Inc., a Delaware corporation, or, as the context requires, to Dell Technologies Inc.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207421_6"/>
      <w:bookmarkEnd w:id="26"/>
      <w:r>
        <w:rPr>
          <w:rFonts w:ascii="Times New Roman" w:hAnsi="Times New Roman"/>
          <w:b/>
          <w:sz w:val="20"/>
        </w:rPr>
        <w:t xml:space="preserve">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file annual, quarterly, and current reports, proxy statements and other information with the SEC. Our filings with the SEC, including the filings that are incorporated by reference into this prospectus, are available to the public on the SEC’s website at </w:t>
      </w:r>
      <w:r>
        <w:rPr>
          <w:rFonts w:ascii="Times New Roman" w:hAnsi="Times New Roman"/>
          <w:i/>
          <w:sz w:val="20"/>
        </w:rPr>
        <w:t>www.sec.gov</w:t>
      </w:r>
      <w:r>
        <w:rPr>
          <w:rFonts w:ascii="Times New Roman" w:hAnsi="Times New Roman"/>
          <w:sz w:val="20"/>
        </w:rPr>
        <w:t xml:space="preserve">. Investors also may consult our website for more information. Our website is </w:t>
      </w:r>
      <w:r>
        <w:rPr>
          <w:rFonts w:ascii="Times New Roman" w:hAnsi="Times New Roman"/>
          <w:i/>
          <w:sz w:val="20"/>
        </w:rPr>
        <w:t>www.dell.com</w:t>
      </w:r>
      <w:r>
        <w:rPr>
          <w:rFonts w:ascii="Times New Roman" w:hAnsi="Times New Roman"/>
          <w:sz w:val="20"/>
        </w:rPr>
        <w:t xml:space="preserve"> and the Investors page of our website is </w:t>
      </w:r>
      <w:r>
        <w:rPr>
          <w:rFonts w:ascii="Times New Roman" w:hAnsi="Times New Roman"/>
          <w:i/>
          <w:sz w:val="20"/>
        </w:rPr>
        <w:t>https://investors.delltechnologies.com</w:t>
      </w:r>
      <w:r>
        <w:rPr>
          <w:rFonts w:ascii="Times New Roman" w:hAnsi="Times New Roman"/>
          <w:sz w:val="20"/>
        </w:rPr>
        <w:t xml:space="preserve">. The information contained in, or that may be accessed through, our website is not incorporated by reference into this prospectus or any prospectus supplement. </w:t>
      </w:r>
    </w:p>
    <w:p>
      <w:pPr>
        <w:pStyle w:val="TextBody"/>
        <w:bidi w:val="0"/>
        <w:spacing w:before="480" w:after="0"/>
        <w:jc w:val="center"/>
        <w:rPr>
          <w:rFonts w:ascii="Times New Roman" w:hAnsi="Times New Roman"/>
          <w:b/>
          <w:sz w:val="20"/>
        </w:rPr>
      </w:pPr>
      <w:bookmarkStart w:id="27" w:name="toc207421_7"/>
      <w:bookmarkEnd w:id="27"/>
      <w:r>
        <w:rPr>
          <w:rFonts w:ascii="Times New Roman" w:hAnsi="Times New Roman"/>
          <w:b/>
          <w:sz w:val="20"/>
        </w:rPr>
        <w:t xml:space="preserve">INCORPORATION OF CERTAIN INFORMATION BY REFERENCE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is part of the registration statement and does not contain all of the information included in the registration statement. Whenever a reference is made in this prospectus to any contract or other document of Dell Technologies or its subsidiaries, the reference may not be complete and you should refer to the exhibits that are a part of the registration statement for a copy of the contract or document. </w:t>
      </w:r>
    </w:p>
    <w:p>
      <w:pPr>
        <w:pStyle w:val="TextBody"/>
        <w:bidi w:val="0"/>
        <w:spacing w:before="240" w:after="0"/>
        <w:jc w:val="both"/>
        <w:rPr>
          <w:rFonts w:ascii="Times New Roman" w:hAnsi="Times New Roman"/>
          <w:sz w:val="20"/>
        </w:rPr>
      </w:pPr>
      <w:r>
        <w:rPr>
          <w:rFonts w:ascii="Times New Roman" w:hAnsi="Times New Roman"/>
          <w:sz w:val="20"/>
        </w:rPr>
        <w:t xml:space="preserve">We disclose important information to you by referring you to documents that we have previously filed with the SEC or documents that we will file with the SEC in the future. The information incorporated by reference is considered to be part of this prospectus, and later information that we file with the SEC (including any prospectus supplement) will automatically update and supersede this information. We incorporate by reference the documents listed below (other than documents or information deemed to have been furnished and not filed in accordance with SEC rules, unless otherwise expressly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pPr>
            <w:r>
              <w:rPr>
                <w:rFonts w:ascii="Times New Roman" w:hAnsi="Times New Roman"/>
                <w:sz w:val="20"/>
              </w:rPr>
              <w:t xml:space="preserve">Dell Technologies’ Annual Report on </w:t>
            </w:r>
            <w:hyperlink r:id="rId16">
              <w:r>
                <w:rPr>
                  <w:rStyle w:val="InternetLink"/>
                  <w:rFonts w:ascii="Times New Roman" w:hAnsi="Times New Roman"/>
                  <w:sz w:val="20"/>
                </w:rPr>
                <w:t>Form 10-K</w:t>
              </w:r>
            </w:hyperlink>
            <w:r>
              <w:rPr>
                <w:rFonts w:ascii="Times New Roman" w:hAnsi="Times New Roman"/>
                <w:sz w:val="20"/>
              </w:rPr>
              <w:t xml:space="preserve"> for the fiscal year ended January  30, 2026 (including information specifically incorporated by reference into such Annual Report on Form 10-K from our </w:t>
            </w:r>
            <w:hyperlink r:id="rId17">
              <w:r>
                <w:rPr>
                  <w:rStyle w:val="InternetLink"/>
                  <w:rFonts w:ascii="Times New Roman" w:hAnsi="Times New Roman"/>
                  <w:sz w:val="20"/>
                </w:rPr>
                <w:t>Proxy Statement</w:t>
              </w:r>
            </w:hyperlink>
            <w:r>
              <w:rPr>
                <w:rFonts w:ascii="Times New Roman" w:hAnsi="Times New Roman"/>
                <w:sz w:val="20"/>
              </w:rPr>
              <w:t xml:space="preserve"> for our 2026 Annual Meeting of Stockholders filed on May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pPr>
            <w:r>
              <w:rPr>
                <w:rFonts w:ascii="Times New Roman" w:hAnsi="Times New Roman"/>
                <w:sz w:val="20"/>
              </w:rPr>
              <w:t xml:space="preserve">Dell Technologies’ Quarterly Report on </w:t>
            </w:r>
            <w:hyperlink r:id="rId18">
              <w:r>
                <w:rPr>
                  <w:rStyle w:val="InternetLink"/>
                  <w:rFonts w:ascii="Times New Roman" w:hAnsi="Times New Roman"/>
                  <w:sz w:val="20"/>
                </w:rPr>
                <w:t>Form 10-Q</w:t>
              </w:r>
            </w:hyperlink>
            <w:r>
              <w:rPr>
                <w:rFonts w:ascii="Times New Roman" w:hAnsi="Times New Roman"/>
                <w:sz w:val="20"/>
              </w:rPr>
              <w:t xml:space="preserve"> for the quarter ended May 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pPr>
            <w:r>
              <w:rPr>
                <w:rFonts w:ascii="Times New Roman" w:hAnsi="Times New Roman"/>
                <w:sz w:val="20"/>
              </w:rPr>
              <w:t xml:space="preserve">Dell Technologies’ Current Reports on Form 8-K filed with the SEC on </w:t>
            </w:r>
            <w:hyperlink r:id="rId19">
              <w:r>
                <w:rPr>
                  <w:rStyle w:val="InternetLink"/>
                  <w:rFonts w:ascii="Times New Roman" w:hAnsi="Times New Roman"/>
                  <w:sz w:val="20"/>
                </w:rPr>
                <w:t>April  20, 2026</w:t>
              </w:r>
            </w:hyperlink>
            <w:r>
              <w:rPr>
                <w:rFonts w:ascii="Times New Roman" w:hAnsi="Times New Roman"/>
                <w:sz w:val="20"/>
              </w:rPr>
              <w:t xml:space="preserve"> and </w:t>
            </w:r>
            <w:hyperlink r:id="rId20">
              <w:r>
                <w:rPr>
                  <w:rStyle w:val="InternetLink"/>
                  <w:rFonts w:ascii="Times New Roman" w:hAnsi="Times New Roman"/>
                  <w:sz w:val="20"/>
                </w:rPr>
                <w:t>June 10, 2026</w:t>
              </w:r>
            </w:hyperlink>
            <w:r>
              <w:rPr>
                <w:rFonts w:ascii="Times New Roman" w:hAnsi="Times New Roman"/>
                <w:sz w:val="20"/>
              </w:rPr>
              <w:t xml:space="preser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also incorporate by reference all documents that we subsequently file with the SEC pursuant to Section 13(a), 13(c), 14 or 15(d) of the Exchange Act on or after the date of this prospectus and prior to the termination of the offering of the securities hereunder. Nothing in this prospectus shall be deemed to incorporate information furnished but not filed with the SEC, unless specifically noted otherwise. </w:t>
      </w:r>
    </w:p>
    <w:p>
      <w:pPr>
        <w:pStyle w:val="TextBody"/>
        <w:bidi w:val="0"/>
        <w:spacing w:before="240" w:after="0"/>
        <w:jc w:val="both"/>
        <w:rPr>
          <w:rFonts w:ascii="Times New Roman" w:hAnsi="Times New Roman"/>
          <w:sz w:val="20"/>
        </w:rPr>
      </w:pPr>
      <w:r>
        <w:rPr>
          <w:rFonts w:ascii="Times New Roman" w:hAnsi="Times New Roman"/>
          <w:sz w:val="20"/>
        </w:rPr>
        <w:t xml:space="preserve">Any statement made in this prospectus or in a document incorporated by reference into this prospectus will be deemed to be modified or superseded for purposes of this prospectus to the extent that a statement contained in this prospectus or in any other subsequently filed document that also is incorporated by reference modifies or supersedes that statement. Any statement so modified or superseded will not be deemed, except as so modified or superseded, to constitute a part of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You may request a copy of the filings incorporated herein by reference, including exhibits to such documents that are specifically incorporated by reference, at no cost, by writing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Dell Technologies Inc. </w:t>
      </w:r>
    </w:p>
    <w:p>
      <w:pPr>
        <w:pStyle w:val="TextBody"/>
        <w:bidi w:val="0"/>
        <w:spacing w:before="0" w:after="0"/>
        <w:jc w:val="center"/>
        <w:rPr>
          <w:rFonts w:ascii="Times New Roman" w:hAnsi="Times New Roman"/>
          <w:sz w:val="20"/>
        </w:rPr>
      </w:pPr>
      <w:r>
        <w:rPr>
          <w:rFonts w:ascii="Times New Roman" w:hAnsi="Times New Roman"/>
          <w:sz w:val="20"/>
        </w:rPr>
        <w:t xml:space="preserve">One Dell Way </w:t>
      </w:r>
    </w:p>
    <w:p>
      <w:pPr>
        <w:pStyle w:val="TextBody"/>
        <w:bidi w:val="0"/>
        <w:spacing w:before="0" w:after="0"/>
        <w:jc w:val="center"/>
        <w:rPr>
          <w:rFonts w:ascii="Times New Roman" w:hAnsi="Times New Roman"/>
          <w:sz w:val="20"/>
        </w:rPr>
      </w:pPr>
      <w:r>
        <w:rPr>
          <w:rFonts w:ascii="Times New Roman" w:hAnsi="Times New Roman"/>
          <w:sz w:val="20"/>
        </w:rPr>
        <w:t xml:space="preserve">Round Rock, Texas 78682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(512) 728-7800 </w:t>
      </w:r>
    </w:p>
    <w:p>
      <w:pPr>
        <w:pStyle w:val="TextBody"/>
        <w:bidi w:val="0"/>
        <w:spacing w:before="240" w:after="0"/>
        <w:jc w:val="both"/>
        <w:rPr>
          <w:rFonts w:ascii="Times New Roman" w:hAnsi="Times New Roman"/>
          <w:sz w:val="20"/>
        </w:rPr>
      </w:pPr>
      <w:r>
        <w:rPr>
          <w:rFonts w:ascii="Times New Roman" w:hAnsi="Times New Roman"/>
          <w:sz w:val="20"/>
        </w:rPr>
        <w:t>In addition, you may access the documents incorporated by reference herein free of charge on the SEC’s website. See also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207421_8"/>
      <w:bookmarkEnd w:id="28"/>
      <w:r>
        <w:rPr>
          <w:rFonts w:ascii="Times New Roman" w:hAnsi="Times New Roman"/>
          <w:b/>
          <w:sz w:val="20"/>
        </w:rPr>
        <w:t xml:space="preserve">DELL TECHNOLOGIES INC. </w:t>
      </w:r>
    </w:p>
    <w:p>
      <w:pPr>
        <w:pStyle w:val="TextBody"/>
        <w:bidi w:val="0"/>
        <w:spacing w:before="240" w:after="0"/>
        <w:jc w:val="both"/>
        <w:rPr>
          <w:rFonts w:ascii="Times New Roman" w:hAnsi="Times New Roman"/>
          <w:sz w:val="20"/>
        </w:rPr>
      </w:pPr>
      <w:r>
        <w:rPr>
          <w:rFonts w:ascii="Times New Roman" w:hAnsi="Times New Roman"/>
          <w:sz w:val="20"/>
        </w:rPr>
        <w:t xml:space="preserve">Dell Technologies is a leader in the global technology industry focused on providing broad and innovative technology solutions for the data and AI era. These solutions range from client devices and peripherals to infrastructure solutions across servers, networking, and storage to meet the evolving needs of our customers and drive better business outcomes. With our extensive portfolio and commitment to innovation, we design, deploy, and support secure, integrated solutions that extend from the edge to the core to the cloud. We deliver AI-optimized, software-defined, and cloud native infrastructure solutions across a broad partner ecosystem to help customers address evolving information technology (“IT”) needs, drive outcomes, and capture growth as customer spending priorities evolve. </w:t>
      </w:r>
    </w:p>
    <w:p>
      <w:pPr>
        <w:pStyle w:val="TextBody"/>
        <w:bidi w:val="0"/>
        <w:spacing w:before="240" w:after="0"/>
        <w:jc w:val="both"/>
        <w:rPr>
          <w:rFonts w:ascii="Times New Roman" w:hAnsi="Times New Roman"/>
          <w:sz w:val="20"/>
        </w:rPr>
      </w:pPr>
      <w:r>
        <w:rPr>
          <w:rFonts w:ascii="Times New Roman" w:hAnsi="Times New Roman"/>
          <w:sz w:val="20"/>
        </w:rPr>
        <w:t xml:space="preserve">Dell Technologies operates globally in over 170 countries, supported by a world-class organization across key functional areas, including technology and product development, marketing, sales, services, and financing. We have a number of operational advantages that provide a critical foundation for our success. We provide leading end-to-end solutions across our portfolio of products and services. Our go-to-market operations include an extensive direct sales force, with the ability to build deep customer relationships, and a global network of channel partners. Our global services footprint consists of service and support professionals and vendor-managed service centers that support customers across the world. Our world-class supply chain operates at a significant scale with the ability to remain agile in a variety of environments. </w:t>
      </w:r>
    </w:p>
    <w:p>
      <w:pPr>
        <w:pStyle w:val="TextBody"/>
        <w:bidi w:val="0"/>
        <w:spacing w:before="240" w:after="0"/>
        <w:jc w:val="both"/>
        <w:rPr>
          <w:rFonts w:ascii="Times New Roman" w:hAnsi="Times New Roman"/>
          <w:sz w:val="20"/>
        </w:rPr>
      </w:pPr>
      <w:r>
        <w:rPr>
          <w:rFonts w:ascii="Times New Roman" w:hAnsi="Times New Roman"/>
          <w:sz w:val="20"/>
        </w:rPr>
        <w:t xml:space="preserve">We offer customers choice in how they acquire our solutions, including utility, subscription, as-a-Service, leases, loans, and immediate pay models. These options allow our customers to pay upfront or over time, providing them with operational and financial flexibility. </w:t>
      </w:r>
    </w:p>
    <w:p>
      <w:pPr>
        <w:pStyle w:val="TextBody"/>
        <w:bidi w:val="0"/>
        <w:spacing w:before="240" w:after="0"/>
        <w:jc w:val="both"/>
        <w:rPr>
          <w:rFonts w:ascii="Times New Roman" w:hAnsi="Times New Roman"/>
          <w:sz w:val="20"/>
        </w:rPr>
      </w:pPr>
      <w:r>
        <w:rPr>
          <w:rFonts w:ascii="Times New Roman" w:hAnsi="Times New Roman"/>
          <w:sz w:val="20"/>
        </w:rPr>
        <w:t xml:space="preserve">Our vision is to become the most essential technology partner. We help customers address their IT needs and digital transformation objectives as they embrace today’s changing technology landscape. We intend to realize our vision by executing our strategy of leveraging our strengths to extend our leadership positions and capture new growth. </w:t>
      </w:r>
    </w:p>
    <w:p>
      <w:pPr>
        <w:pStyle w:val="TextBody"/>
        <w:bidi w:val="0"/>
        <w:spacing w:before="240" w:after="0"/>
        <w:jc w:val="both"/>
        <w:rPr>
          <w:rFonts w:ascii="Times New Roman" w:hAnsi="Times New Roman"/>
          <w:sz w:val="20"/>
        </w:rPr>
      </w:pPr>
      <w:r>
        <w:rPr>
          <w:rFonts w:ascii="Times New Roman" w:hAnsi="Times New Roman"/>
          <w:sz w:val="20"/>
        </w:rPr>
        <w:t xml:space="preserve">We believe we are well-positioned in our industry and that our results will continue to benefit from our operational advantages, which position us for long-term growth and value creation while keeping our purpose at the forefront of our decision-making: to create technologies that drive human progress. </w:t>
      </w:r>
    </w:p>
    <w:p>
      <w:pPr>
        <w:pStyle w:val="TextBody"/>
        <w:bidi w:val="0"/>
        <w:spacing w:before="240" w:after="0"/>
        <w:jc w:val="both"/>
        <w:rPr>
          <w:rFonts w:ascii="Times New Roman" w:hAnsi="Times New Roman"/>
          <w:sz w:val="20"/>
        </w:rPr>
      </w:pPr>
      <w:r>
        <w:rPr>
          <w:rFonts w:ascii="Times New Roman" w:hAnsi="Times New Roman"/>
          <w:sz w:val="20"/>
        </w:rPr>
        <w:t xml:space="preserve">Technology is rapidly evolving with demand for simple and holistic solutions as companies navigate an increasingly complex IT environment. To meet our customers’ needs, we invest in research and development, sales, and other key areas of our business to deliver superior products and solutions capabilities and to drive sustainable long-term growth. </w:t>
      </w:r>
    </w:p>
    <w:p>
      <w:pPr>
        <w:pStyle w:val="TextBody"/>
        <w:bidi w:val="0"/>
        <w:spacing w:before="240" w:after="0"/>
        <w:jc w:val="both"/>
        <w:rPr>
          <w:rFonts w:ascii="Times New Roman" w:hAnsi="Times New Roman"/>
          <w:sz w:val="20"/>
        </w:rPr>
      </w:pPr>
      <w:r>
        <w:rPr>
          <w:rFonts w:ascii="Times New Roman" w:hAnsi="Times New Roman"/>
          <w:sz w:val="20"/>
        </w:rPr>
        <w:t xml:space="preserve">The impacts of technological advancement and data expansion continue to be a force for progress as artificial intelligence and generative AI have become the next wave of technological innovation. Through each wave of technological progress, we look to advance our capabilities to change the way we work and make decisions, improve business outcomes and the customer experience, and reduce costs by leveraging new technology to optimize business processes. We believe our differentiated operating advantages, our leadership, and our way of doing business provide a foundation to foster growth, drive efficiencies, and capitalize on each successive wave of innovation in a dynamic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207421_9"/>
      <w:bookmarkEnd w:id="29"/>
      <w:r>
        <w:rPr>
          <w:rFonts w:ascii="Times New Roman" w:hAnsi="Times New Roman"/>
          <w:b/>
          <w:sz w:val="20"/>
        </w:rPr>
        <w:t xml:space="preserve">DELL INTERNATIONAL L.L.C., EMC CORPORATION AND THE ADDITIONAL </w:t>
      </w:r>
    </w:p>
    <w:p>
      <w:pPr>
        <w:pStyle w:val="TextBody"/>
        <w:bidi w:val="0"/>
        <w:spacing w:before="0" w:after="0"/>
        <w:jc w:val="center"/>
        <w:rPr>
          <w:rFonts w:ascii="Times New Roman" w:hAnsi="Times New Roman"/>
          <w:b/>
          <w:sz w:val="20"/>
        </w:rPr>
      </w:pPr>
      <w:r>
        <w:rPr>
          <w:rFonts w:ascii="Times New Roman" w:hAnsi="Times New Roman"/>
          <w:b/>
          <w:sz w:val="20"/>
        </w:rPr>
        <w:t xml:space="preserve">REGISTRANT GUARANTORS </w:t>
      </w:r>
    </w:p>
    <w:p>
      <w:pPr>
        <w:pStyle w:val="TextBody"/>
        <w:bidi w:val="0"/>
        <w:spacing w:before="240" w:after="0"/>
        <w:jc w:val="both"/>
        <w:rPr>
          <w:rFonts w:ascii="Times New Roman" w:hAnsi="Times New Roman"/>
          <w:sz w:val="20"/>
        </w:rPr>
      </w:pPr>
      <w:r>
        <w:rPr>
          <w:rFonts w:ascii="Times New Roman" w:hAnsi="Times New Roman"/>
          <w:sz w:val="20"/>
        </w:rPr>
        <w:t xml:space="preserve">Each of Dell International and EMC is a direct wholly-owned subsidiary of Dell Inc. and an indirect wholly-owned consolidated subsidiary of Dell Technologies. With respect to the additional Registrant Guarantors, Denali Intermediate Inc. is a direct wholly-owned consolidated subsidiary of Dell Technologies, and Dell Inc. is a direct wholly-owned subsidiary of Denali Intermediate Inc. and an indirect wholly-owned consolidated subsidiary of Dell Technologies. Dell International, EMC, Denali Intermediate Inc. and Dell Inc. are holding companies that directly or indirectly hold all of the operating subsidiaries of Dell Technologies. </w:t>
      </w:r>
    </w:p>
    <w:p>
      <w:pPr>
        <w:pStyle w:val="TextBody"/>
        <w:bidi w:val="0"/>
        <w:spacing w:before="480" w:after="0"/>
        <w:jc w:val="center"/>
        <w:rPr>
          <w:rFonts w:ascii="Times New Roman" w:hAnsi="Times New Roman"/>
          <w:b/>
          <w:sz w:val="20"/>
        </w:rPr>
      </w:pPr>
      <w:bookmarkStart w:id="30" w:name="toc207421_10"/>
      <w:bookmarkEnd w:id="30"/>
      <w:r>
        <w:rPr>
          <w:rFonts w:ascii="Times New Roman" w:hAnsi="Times New Roman"/>
          <w:b/>
          <w:sz w:val="20"/>
        </w:rPr>
        <w:t xml:space="preserve">CORPORATE INFORMATION </w:t>
      </w:r>
    </w:p>
    <w:p>
      <w:pPr>
        <w:pStyle w:val="TextBody"/>
        <w:bidi w:val="0"/>
        <w:spacing w:before="240" w:after="0"/>
        <w:jc w:val="both"/>
        <w:rPr>
          <w:rFonts w:ascii="Times New Roman" w:hAnsi="Times New Roman"/>
          <w:sz w:val="20"/>
        </w:rPr>
      </w:pPr>
      <w:r>
        <w:rPr>
          <w:rFonts w:ascii="Times New Roman" w:hAnsi="Times New Roman"/>
          <w:sz w:val="20"/>
        </w:rPr>
        <w:t xml:space="preserve">Dell Technologies (under the name Denali Holding Inc.) was incorporated in the State of Delaware in 2013 in connection with the going-private transaction in October 2013 pursuant to which the public stockholders of Dell Inc. received cash for their shares of Dell Inc. common stock. Denali Holding Inc. changed its name to Dell Technologies Inc. on August 25, 2016. In addition, Dell Technologies anticipates changing its jurisdiction of incorporation to Texas, subject to the approval of stockholders. See “Recent Developments.” Our global corporate headquarters is located at One Dell Way, Round Rock, Texas 78682. Our telephone number is (512) 728-7800. Our website is </w:t>
      </w:r>
      <w:r>
        <w:rPr>
          <w:rFonts w:ascii="Times New Roman" w:hAnsi="Times New Roman"/>
          <w:i/>
          <w:sz w:val="20"/>
        </w:rPr>
        <w:t>www.dell.com</w:t>
      </w:r>
      <w:r>
        <w:rPr>
          <w:rFonts w:ascii="Times New Roman" w:hAnsi="Times New Roman"/>
          <w:sz w:val="20"/>
        </w:rPr>
        <w:t xml:space="preserve"> and the Investors page of our website is </w:t>
      </w:r>
      <w:r>
        <w:rPr>
          <w:rFonts w:ascii="Times New Roman" w:hAnsi="Times New Roman"/>
          <w:i/>
          <w:sz w:val="20"/>
        </w:rPr>
        <w:t>https://investors.delltechnologies.com</w:t>
      </w:r>
      <w:r>
        <w:rPr>
          <w:rFonts w:ascii="Times New Roman" w:hAnsi="Times New Roman"/>
          <w:sz w:val="20"/>
        </w:rPr>
        <w:t xml:space="preserve">. Information contained or linked on our website is not part of, and is not incorporated by reference into,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Dell International (under the name New Dell International LLC) was incorporated in the State of Delaware in 2016 in connection with Dell Technologies’ acquisition of EMC. New Dell International LLC changed its name to Dell International L.L.C. on September 8, 2016. Dell Inc. and Denali Intermediate Inc. were incorporated in the State of Delaware in 1987 and 2013, respectively. The principal address of Dell International, Denali Intermediate Inc. and Dell Inc. is One Dell Way, Round Rock, Texas 78682. </w:t>
      </w:r>
    </w:p>
    <w:p>
      <w:pPr>
        <w:pStyle w:val="TextBody"/>
        <w:bidi w:val="0"/>
        <w:spacing w:before="240" w:after="0"/>
        <w:jc w:val="both"/>
        <w:rPr>
          <w:rFonts w:ascii="Times New Roman" w:hAnsi="Times New Roman"/>
          <w:sz w:val="20"/>
        </w:rPr>
      </w:pPr>
      <w:r>
        <w:rPr>
          <w:rFonts w:ascii="Times New Roman" w:hAnsi="Times New Roman"/>
          <w:sz w:val="20"/>
        </w:rPr>
        <w:t xml:space="preserve">EMC was incorporated in Massachusetts in 1979. EMC’s corporate headquarters are located at 176 South Street, Hopkinton, Massachusetts 01748. EMC’s telephone number is (508) 435-1000. </w:t>
      </w:r>
    </w:p>
    <w:p>
      <w:pPr>
        <w:pStyle w:val="TextBody"/>
        <w:bidi w:val="0"/>
        <w:spacing w:before="480" w:after="0"/>
        <w:jc w:val="center"/>
        <w:rPr>
          <w:rFonts w:ascii="Times New Roman" w:hAnsi="Times New Roman"/>
          <w:b/>
          <w:sz w:val="20"/>
        </w:rPr>
      </w:pPr>
      <w:bookmarkStart w:id="31" w:name="toc207421_11"/>
      <w:bookmarkEnd w:id="31"/>
      <w:r>
        <w:rPr>
          <w:rFonts w:ascii="Times New Roman" w:hAnsi="Times New Roman"/>
          <w:b/>
          <w:sz w:val="20"/>
        </w:rPr>
        <w:t xml:space="preserve">RECENT DEVELOPMENTS </w:t>
      </w:r>
    </w:p>
    <w:p>
      <w:pPr>
        <w:pStyle w:val="TextBody"/>
        <w:bidi w:val="0"/>
        <w:spacing w:before="240" w:after="0"/>
        <w:jc w:val="both"/>
        <w:rPr>
          <w:rFonts w:ascii="Times New Roman" w:hAnsi="Times New Roman"/>
          <w:sz w:val="20"/>
        </w:rPr>
      </w:pPr>
      <w:r>
        <w:rPr>
          <w:rFonts w:ascii="Times New Roman" w:hAnsi="Times New Roman"/>
          <w:sz w:val="20"/>
        </w:rPr>
        <w:t xml:space="preserve">On May 3, 2026, Dell Technologies’ board of directors unanimously approved changing the jurisdiction of Dell Technologies’ state of incorporation from Delaware to Texas, subject to the approval of our stockholders (the “Redomestication”). The Redomestication, if approved, will be effected through a conversion of Dell Technologies pursuant to Section 266 of the Delaware General Corporation Law and Title 1, Chapter 10, Subchapter C of the Texas Business Organizations Code pursuant to, and in accordance with, a plan of conversion (the “Plan of Conversion”). By operation of the Plan of Conversion and upon consummation of the Redomestication, among other things, Dell Technologies will continue in existence as a Texas corporation and will continue to operate our business under its current name, “Dell Technologies Inc.” In addition, (i) each issued and outstanding share of our Class A, Class B and Class C common stock will be automatically converted into one outstanding share of Class A, Class B and Class C common stock, respectively, of the Texas corporation; and (ii) each outstanding stock option, restricted stock unit, performance stock unit, other equity award or other right to acquire shares of Class C common stock of the Delaware corporation will continue in existence and automatically become a stock option, restricted stock unit, performance stock unit, other equity award or other right to acquire an equal number of shares, respectively, of Class C common stock of the Texas corporation under the same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207421_12"/>
      <w:bookmarkEnd w:id="32"/>
      <w:r>
        <w:rPr>
          <w:rFonts w:ascii="Times New Roman" w:hAnsi="Times New Roman"/>
          <w:b/>
          <w:sz w:val="20"/>
        </w:rPr>
        <w:t xml:space="preserve">RISK FACTORS </w:t>
      </w:r>
    </w:p>
    <w:p>
      <w:pPr>
        <w:pStyle w:val="TextBody"/>
        <w:bidi w:val="0"/>
        <w:spacing w:before="240" w:after="0"/>
        <w:jc w:val="both"/>
        <w:rPr>
          <w:rFonts w:ascii="Times New Roman" w:hAnsi="Times New Roman"/>
          <w:sz w:val="20"/>
        </w:rPr>
      </w:pPr>
      <w:r>
        <w:rPr>
          <w:rFonts w:ascii="Times New Roman" w:hAnsi="Times New Roman"/>
          <w:sz w:val="20"/>
        </w:rPr>
        <w:t>Investing in any securities offered pursuant to the registration statement of which this prospectus forms a part involves risks. Before making a decision to invest in any securities, you should carefully consider the risk factors discussed in the Annual Report and in other documents that Dell Technologies files with the SEC that update, supplement or supersede such information, all of which are incorporated by reference into this prospectus, as well as the other information contained or incorporated by reference into this prospectus and in any accompanying prospectus supplement. See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oc207421_13"/>
      <w:bookmarkEnd w:id="33"/>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The Issuers intend to use the net proceeds from the sales of securities as set forth in the applicable prospectus supplement and/or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oc207421_14"/>
      <w:bookmarkEnd w:id="34"/>
      <w:r>
        <w:rPr>
          <w:rFonts w:ascii="Times New Roman" w:hAnsi="Times New Roman"/>
          <w:b/>
          <w:sz w:val="20"/>
        </w:rPr>
        <w:t xml:space="preserve">DESCRIPTION OF DEBT SECURITIES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describes certain general terms and provisions of the debt securities. The debt securities covered by this prospectus will be the Issuers’ and, as applicable, Dell Technologies’ and the additional Registrant Guarantors’ senior unsecured obligations. The debt securities will be issued under one or more base indentures, together with related officer’s certificates or supplemental indentures between the Issuers, the guarantors party thereto and The Bank of New York Mellon Trust Company, N.A., as trustee (the “Trustee”), including under the indenture, dated as of January 24, 2023, among the Issuers, the guarantors party thereto (the “Guarantors”) and the Trustee (together with any related supplemental indentures or officer’s certificates, the “Existing Indenture”). We refer herein to each of the Existing Indenture and any other indenture under which debt securities will be issued pursuant to this prospectus as the “Indenture.” The terms of the Indenture and any debt securities issued thereunder will be set forth in the prospectus supplement relating to such debt securities. The prospectus supplement will also indicate whether the general terms and provisions described in this prospectus apply to a particular series of debt securities. </w:t>
      </w:r>
    </w:p>
    <w:p>
      <w:pPr>
        <w:pStyle w:val="TextBody"/>
        <w:bidi w:val="0"/>
        <w:spacing w:before="240" w:after="0"/>
        <w:jc w:val="both"/>
        <w:rPr>
          <w:rFonts w:ascii="Times New Roman" w:hAnsi="Times New Roman"/>
          <w:sz w:val="20"/>
        </w:rPr>
      </w:pPr>
      <w:r>
        <w:rPr>
          <w:rFonts w:ascii="Times New Roman" w:hAnsi="Times New Roman"/>
          <w:sz w:val="20"/>
        </w:rPr>
        <w:t xml:space="preserve">We have summarized some terms of the Existing Indenture below. We expect that the terms of the Indenture, if other than the Existing Indenture (any such other Indentures, a “New Indenture”), will be substantially similar to the Existing Indenture; however, we will describe the specific terms of the debt securities to be issued under any such New Indenture in a supplement to this prospectus. The below summary of the Existing Indenture is not complete. The Existing Indenture is incorporated by reference as an exhibit to the registration statement of which this prospectus is a part. You should read the Existing Indenture for a complete statement of the provisions summarized in this prospectus and for provisions that may be important to you. The Existing Indenture is subject to the provisions of the Trust Indenture Act of 1939, as amended (the “Trust Indenture Act”), that are required to be a part of the Existing Indenture and which are deemed to be incorporated into the Existing Indenture and shall, to the extent applicable, be governed by those provisions. </w:t>
      </w:r>
    </w:p>
    <w:p>
      <w:pPr>
        <w:pStyle w:val="TextBody"/>
        <w:bidi w:val="0"/>
        <w:spacing w:before="240" w:after="0"/>
        <w:jc w:val="both"/>
        <w:rPr>
          <w:rFonts w:ascii="Times New Roman" w:hAnsi="Times New Roman"/>
          <w:sz w:val="20"/>
        </w:rPr>
      </w:pPr>
      <w:r>
        <w:rPr>
          <w:rFonts w:ascii="Times New Roman" w:hAnsi="Times New Roman"/>
          <w:sz w:val="20"/>
        </w:rPr>
        <w:t xml:space="preserve">In this section of the prospectus, references to the “Issuers” are to Dell International and EMC and not any of their Subsidiaries. When we refer to specific sections contained in the Existing Indenture or terms defined in the Existing Indenture, including important terms, which we capitalize here, we use them in this prospectus in the same way we use them in the Existing Indenture, and you should refer to the Existing Indenture itself for detailed, specific, legal descriptions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the Existing Indenture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The Existing Indenture does not limit the amount of debt securities that the Issuers may issue thereunder. To the extent permitted by the Existing Indenture, the Issuers may issue debt securities under the Existing Indenture up to an aggregate principal amount as they may authorize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A prospectus supplement relating to the offering of a series of debt securities will include specific terms relating to that series of debt securities.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title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limit on the aggregate principal amount of the debt securities of the series that may be authenticated and delivered under the Existing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price or prices at which the Issuers will sell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Person to whom any interest on the debt securities of the series shall be payable, if other than the Person in whose name such debt security (or one or more predecessor debt securities) is registered at the close of business on the applicable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date or dates on which the principal and premium, if any, of the debt securities of the series are payable;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interest rate and the method for calculating the interest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dates on which interest will be payable and the related record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place or places where the principal of and any premium and interest on the debt securities of the series will be payable, where the debt securities of such series may be surrendered for registration of transfer or exchange and where notices and demands to or upon the Issuers in respect of the debt securities of such series and the Existing Indenture may be served, and the method of such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period or periods within which, the price or prices at which and the terms and conditions upon which the debt securities of the series may be redeemed at the option of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mandatory or optional sinking fund or analogous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terms, if any, upon which the debt securities of the series may be exchanged for other securities issued by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denominations in which the debt securities of the series will be issuable, if other than denominations of $2,000 and integral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currency, currencies or currency units in which payment of principal of and any premium and interest on the debt securities of the series shall be payable if other than United States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index, formula or other method used to determine the amount of payments of principal of and any premium and interest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principal amount payable at the stated maturity of the debt securities of the series will not be determinable as of any one or more dates prior to the stated maturity, the amount that will be deemed to be the principal amount as of any date for any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applicability of, and any addition to or change in, the covenants or definitions specified in the Existing Indenture as then in effect or in the terms specified in the Existing Indenture as then in effect relating to permitted consolidations, mergers or sales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additions or deletions or changes to the provisions of the Existing Indenture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whether any of the debt securities of such series are to be issuable in temporary or permanent global form or both, and, if so, the depositary for the global securities and the terms and conditions, if any, relating to the exchange of interests in the global securities for the individual securities represented thereby in definitive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trustee and any authenticating or paying agents, transfer agents or registrars;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addition to or change in the events of default with respect to the debt securities of the series and any change in the right of the Trustee or the holders of the debt securities of the series to declare the principal, premium and interest with respect to the debt securities of such series due and payable;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other terms of the debt securities of the series and the related Security Guarantees, if any (whether or not such other terms are consistent or inconsistent with the provisions of the Existing Indenture and any deletions from or modifications or additions to the Existing Indenture in respect of such debt securities of the series or such Security Guarantees, if any). </w:t>
            </w:r>
          </w:p>
        </w:tc>
      </w:tr>
    </w:tbl>
    <w:p>
      <w:pPr>
        <w:pStyle w:val="TextBody"/>
        <w:bidi w:val="0"/>
        <w:spacing w:before="240" w:after="0"/>
        <w:jc w:val="both"/>
        <w:rPr>
          <w:rFonts w:ascii="Times New Roman" w:hAnsi="Times New Roman"/>
          <w:sz w:val="20"/>
        </w:rPr>
      </w:pPr>
      <w:r>
        <w:rPr>
          <w:rFonts w:ascii="Times New Roman" w:hAnsi="Times New Roman"/>
          <w:sz w:val="20"/>
        </w:rPr>
        <w:t xml:space="preserve">Debt securities may be issued as original issue discount securities to be sold at a discount from their principal amount. Furthermore, we may from time to time, without notice to or the consent of the holders of any series of debt securities, create and issue further debt securities of any such series ranking equally with, and having the same terms and conditions as, the debt securities of such series in all respects (or in all respects other than the payment of interest accruing prior to the issue date of such further debt securities); </w:t>
      </w:r>
      <w:r>
        <w:rPr>
          <w:rFonts w:ascii="Times New Roman" w:hAnsi="Times New Roman"/>
          <w:i/>
          <w:sz w:val="20"/>
        </w:rPr>
        <w:t>provided</w:t>
      </w:r>
      <w:r>
        <w:rPr>
          <w:rFonts w:ascii="Times New Roman" w:hAnsi="Times New Roman"/>
          <w:sz w:val="20"/>
        </w:rPr>
        <w:t xml:space="preserve"> that if such additional debt securities are not fungible with the initial debt securities of such series for U.S.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purposes, such additional debt securities will have a separate CUSIP number. United States federal income tax consequences and other special considerations applicable to any future debt securities will be described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both"/>
        <w:rPr>
          <w:rFonts w:ascii="Times New Roman" w:hAnsi="Times New Roman"/>
          <w:sz w:val="20"/>
        </w:rPr>
      </w:pPr>
      <w:r>
        <w:rPr>
          <w:rFonts w:ascii="Times New Roman" w:hAnsi="Times New Roman"/>
          <w:sz w:val="20"/>
        </w:rPr>
        <w:t xml:space="preserve">The debt securities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senior unsecured obligations of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senior in right of payment to any future subordinated indebtedness of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pari passu in right of payment with all existing and future senior indebtedness of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structurally senior to all existing and future indebtedness and other liabilities of any Person that is a direct or indirect parent of the Issuers;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structurally subordinated to all existing and future indebtedness and other liabilities of Subsidiaries of the Issuers, other than indebtedness and liabilities owed to one of the Issuers or Guarantors.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Security Guarantees </w:t>
      </w:r>
    </w:p>
    <w:p>
      <w:pPr>
        <w:pStyle w:val="TextBody"/>
        <w:bidi w:val="0"/>
        <w:spacing w:before="120" w:after="0"/>
        <w:jc w:val="both"/>
        <w:rPr>
          <w:rFonts w:ascii="Times New Roman" w:hAnsi="Times New Roman"/>
          <w:sz w:val="20"/>
        </w:rPr>
      </w:pPr>
      <w:r>
        <w:rPr>
          <w:rFonts w:ascii="Times New Roman" w:hAnsi="Times New Roman"/>
          <w:sz w:val="20"/>
        </w:rPr>
        <w:t xml:space="preserve">Unless the terms of a particular series of debt securities provide otherwise, the Guarantors, as primary obligors and not merely as sureties, will jointly and severally irrevocably and unconditionally guarantee, on a senior unsecured basis, the performance and full and punctual payment when due, whether at maturity, by acceleration or otherwise, of all obligations of the Issuers under any series of debt securities and the Existing Indenture, whether for payment of principal of, premium, if any, or interest on the debt securities of such series, expenses, indemnification or otherwise, on the terms set forth in the Existing Indenture. </w:t>
      </w:r>
    </w:p>
    <w:p>
      <w:pPr>
        <w:pStyle w:val="TextBody"/>
        <w:bidi w:val="0"/>
        <w:spacing w:before="240" w:after="0"/>
        <w:jc w:val="both"/>
        <w:rPr>
          <w:rFonts w:ascii="Times New Roman" w:hAnsi="Times New Roman"/>
          <w:sz w:val="20"/>
        </w:rPr>
      </w:pPr>
      <w:r>
        <w:rPr>
          <w:rFonts w:ascii="Times New Roman" w:hAnsi="Times New Roman"/>
          <w:sz w:val="20"/>
        </w:rPr>
        <w:t xml:space="preserve">As of the date of this prospectus, the Guarantors under the Existing Indenture are Dell Technologies, Denali Intermediate Inc. and Dell Inc. The Security Guarantee of each Guarantor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senior unsecured obligation of such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senior in right of payment to all existing and future subordinated indebtedness of such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pari passu in right of payment with all existing and future senior indebtedness of such Guarantor;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structurally subordinated to all existing and future indebtedness and other liabilities of Subsidiaries of the Issuers, other than indebtedness and liabilities owed to one of the Issuers or Guarantors.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Release of Security Guarantees </w:t>
      </w:r>
    </w:p>
    <w:p>
      <w:pPr>
        <w:pStyle w:val="TextBody"/>
        <w:bidi w:val="0"/>
        <w:spacing w:before="120" w:after="0"/>
        <w:jc w:val="both"/>
        <w:rPr>
          <w:rFonts w:ascii="Times New Roman" w:hAnsi="Times New Roman"/>
          <w:sz w:val="20"/>
        </w:rPr>
      </w:pPr>
      <w:r>
        <w:rPr>
          <w:rFonts w:ascii="Times New Roman" w:hAnsi="Times New Roman"/>
          <w:sz w:val="20"/>
        </w:rPr>
        <w:t>Unless the terms of a particular series of debt securities provide otherwise, each Security Guarantee of a series of debt securities by a Guarantor shall provide by its terms that its obligations under the Existing Indenture with respect to such series and such Security Guarantee shall be automatically and unconditionally released and discharged upon the Issuers exercising the legal defeasance option or covenant defeasance option with respect to such series as described under “</w:t>
      </w:r>
      <w:r>
        <w:rPr>
          <w:rFonts w:ascii="Times New Roman" w:hAnsi="Times New Roman"/>
          <w:i/>
          <w:sz w:val="20"/>
        </w:rPr>
        <w:t>Legal Defeasance and Covenant Defeasance</w:t>
      </w:r>
      <w:r>
        <w:rPr>
          <w:rFonts w:ascii="Times New Roman" w:hAnsi="Times New Roman"/>
          <w:sz w:val="20"/>
        </w:rPr>
        <w:t xml:space="preserve">” or the Issuers’ obligations under the Existing Indenture with respect to such series being discharged in accordance with the terms of the Existing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Amalgamation or Sale of All or Substantially All Assets </w:t>
      </w:r>
    </w:p>
    <w:p>
      <w:pPr>
        <w:pStyle w:val="TextBody"/>
        <w:bidi w:val="0"/>
        <w:spacing w:before="120" w:after="0"/>
        <w:jc w:val="both"/>
        <w:rPr>
          <w:rFonts w:ascii="Times New Roman" w:hAnsi="Times New Roman"/>
          <w:sz w:val="20"/>
        </w:rPr>
      </w:pPr>
      <w:r>
        <w:rPr>
          <w:rFonts w:ascii="Times New Roman" w:hAnsi="Times New Roman"/>
          <w:sz w:val="20"/>
        </w:rPr>
        <w:t xml:space="preserve">The Issuers and the Guarantors will not merge, consolidate or amalgamate with or into or wind up into, (whether or not such Issuer or Guarantor is the surviving Person), consummate a Division as the Dividing Person or sell, assign, transfer, lease, convey or otherwise dispose of all or substantially all of the properties or assets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Dell Technologies and its Subsidiaries, taken as a whole, in one or more related transactions, to any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(x) in the case of a Division where an Issuer or Guarantor is the Dividing Person, each Division Successor shall remain or become an Issuer or a Guarantor, as the case may be, and (y) in all other cases, an Issuer or a Guarantor, as the case may be, is the surviving Person or the Person formed by or surviving any such merger, consolidation or amalgamation (if other than an Issuer or a Guarantor)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(in each of clauses (x) and (y), such Issuer, such Guarantor or such Person, as the case may be, being herein called the “Successor Company”); </w:t>
            </w:r>
            <w:r>
              <w:rPr>
                <w:rFonts w:ascii="Times New Roman" w:hAnsi="Times New Roman"/>
                <w:i/>
                <w:sz w:val="20"/>
              </w:rPr>
              <w:t>provided</w:t>
            </w:r>
            <w:r>
              <w:rPr>
                <w:rFonts w:ascii="Times New Roman" w:hAnsi="Times New Roman"/>
                <w:sz w:val="20"/>
              </w:rPr>
              <w:t xml:space="preserve"> that in the case where the Successor Company of an Issuer is not a corporation, a co-issuer of the debt securities is a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Successor Company, if other than an Issuer or a Guarantor, expressly assumes, in the case of a Guarantor, all the obligations of such Guarantor under the Existing Indenture and its Security Guarantee and, in the case of an Issuer, all of the obligations of such Issuer under the Existing Indenture and the debt securities, in each case, pursuant to supplemental indentures or other documents or instruments in form reasonably satisfactory to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immediately after such transaction, no Event of Default exists.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Successor Company will succeed to, and be substituted for, an Issuer or a Guarantor, as the case may be, under the Existing Indenture, the Security Guarantees and the debt securities, as applicable, and such Issuer or Guarantor, as applicable, will automatically be released and discharged from its obligations under the Existing Indenture, the Security Guarantees and the debt securities, as applicable. Notwithstanding the foregoing,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Subsidiary of Dell Technologies may merge, consolidate or amalgamate with or into or sell, assign, transfer, lease, convey or otherwise dispose of all or part of its properties and assets to Dell Technologies and any of its Subsidiaries (including the Issuers);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Issuer or a Guarantor may merge, consolidate or amalgamate with or into with an Affiliate of such Issuer or such Guarantor, as the case may be, solely for the purpose of reincorporating such Issuer or such Guarantor in the United States, any state thereof, the District of Columbia or any territory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Reports and Other Information </w:t>
      </w:r>
    </w:p>
    <w:p>
      <w:pPr>
        <w:pStyle w:val="TextBody"/>
        <w:bidi w:val="0"/>
        <w:spacing w:before="120" w:after="0"/>
        <w:jc w:val="both"/>
        <w:rPr>
          <w:rFonts w:ascii="Times New Roman" w:hAnsi="Times New Roman"/>
          <w:sz w:val="20"/>
        </w:rPr>
      </w:pPr>
      <w:r>
        <w:rPr>
          <w:rFonts w:ascii="Times New Roman" w:hAnsi="Times New Roman"/>
          <w:sz w:val="20"/>
        </w:rPr>
        <w:t xml:space="preserve">To the extent any debt securities are outstanding, Dell Technologies shall deliver to the Trustee any reports, information and documents that Dell Technologies is required to file with the SEC pursuant to Section 13 or 15(d) of the Exchange Act within 30 days after such report, information or document is required to be filed with the SEC. All such reports, information or documents that Dell Technologies files with the SEC via the SEC’s EDGAR system shall be deemed to be filed with the Trustee and transmitted to holders of debt securities at the time such reports, information or documents are filed via the EDGAR system (or any successor system). </w:t>
      </w:r>
    </w:p>
    <w:p>
      <w:pPr>
        <w:pStyle w:val="TextBody"/>
        <w:bidi w:val="0"/>
        <w:spacing w:before="240" w:after="0"/>
        <w:jc w:val="both"/>
        <w:rPr>
          <w:rFonts w:ascii="Times New Roman" w:hAnsi="Times New Roman"/>
          <w:sz w:val="20"/>
        </w:rPr>
      </w:pPr>
      <w:r>
        <w:rPr>
          <w:rFonts w:ascii="Times New Roman" w:hAnsi="Times New Roman"/>
          <w:sz w:val="20"/>
        </w:rPr>
        <w:t xml:space="preserve">Delivery of the foregoing reports, information and documents to the Trustee is for informational purposes only and the Trustee’s receipt of such shall not constitute constructive or actual knowledge or notice of any information contained therein or determinable from information contained therein, including the Issuers’ compliance with any of their covenants under the Existing Indenture (as to which the Trustee is entitled to rely exclusively on officer’s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both"/>
        <w:rPr>
          <w:rFonts w:ascii="Times New Roman" w:hAnsi="Times New Roman"/>
          <w:sz w:val="20"/>
        </w:rPr>
      </w:pPr>
      <w:r>
        <w:rPr>
          <w:rFonts w:ascii="Times New Roman" w:hAnsi="Times New Roman"/>
          <w:sz w:val="20"/>
        </w:rPr>
        <w:t xml:space="preserve">Unless otherwise specified in the applicable prospectus supplement, each of the following events is defined in the Existing Indenture as an “Event of Default” (whatever the reason therefor and whether or not it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voluntary or involuntary or be effected by operation of law or pursuant to any judgment, decree or order of any court or any order, rule or regulation of any administrative or governmental body) with respect to the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failure to pay the principal of (or premium, if any, on) such series of debt securities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failure to pay any interest installment or Additional Amounts on such series of debt securities when due and payable, which failure continues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failure by the Issuers to comply for 90 days after written notice given by the Trustee or the holders of not less than 30% in aggregate principal amount of the outstanding debt securities of such series with its covenants or other agreements (other than those described in clause (1) or (2) above) contained in the Existing Indenture; </w:t>
            </w:r>
            <w:r>
              <w:rPr>
                <w:rFonts w:ascii="Times New Roman" w:hAnsi="Times New Roman"/>
                <w:i/>
                <w:sz w:val="20"/>
              </w:rPr>
              <w:t>provided</w:t>
            </w:r>
            <w:r>
              <w:rPr>
                <w:rFonts w:ascii="Times New Roman" w:hAnsi="Times New Roman"/>
                <w:sz w:val="20"/>
              </w:rPr>
              <w:t xml:space="preserve"> that in the case of a failure to comply with the provisions described under “— </w:t>
            </w:r>
            <w:r>
              <w:rPr>
                <w:rFonts w:ascii="Times New Roman" w:hAnsi="Times New Roman"/>
                <w:i/>
                <w:sz w:val="20"/>
              </w:rPr>
              <w:t>Reports and Other Information</w:t>
            </w:r>
            <w:r>
              <w:rPr>
                <w:rFonts w:ascii="Times New Roman" w:hAnsi="Times New Roman"/>
                <w:sz w:val="20"/>
              </w:rPr>
              <w:t xml:space="preserve">,” such period of continuance of such default or breach shall be 180 days after written notice described in this clause (3) has been given; </w:t>
            </w:r>
            <w:r>
              <w:rPr>
                <w:rFonts w:ascii="Times New Roman" w:hAnsi="Times New Roman"/>
                <w:i/>
                <w:sz w:val="20"/>
              </w:rPr>
              <w:t>provided</w:t>
            </w:r>
            <w:r>
              <w:rPr>
                <w:rFonts w:ascii="Times New Roman" w:hAnsi="Times New Roman"/>
                <w:sz w:val="20"/>
              </w:rPr>
              <w:t xml:space="preserve"> that no such notice may be given with respect to any action taken, and reported publicly or to the holders of debt securities, more than two years prior to such notice;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certain events of bankruptcy, insolvency or reorganization involving an Issuer (the “bankruptcy provisions”).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Unless otherwise specified in the applicable prospectus supplement, if an Event of Default enumerated above with respect to the debt securities of any series at the time outstanding shall occur and be continuing, then either the Trustee or the holders of at least 30% in aggregate principal amount of the outstanding debt securities of such series may declare the principal, premium, if any, interest and any other monetary obligations on all the debt securities of such series to be due and payable immediately by a notice in writing to the Issuers (and to the Trustee if given by the holders of such debt securities). At any time after such a declaration of acceleration has been made, but before a judgment or decree for payment of the money due has been obtained by the Trustee, the holders of a majority in aggregate principal amount of the outstanding debt securities of such series, by written notice to the Issuers and the Trustee, may, in certain circumstances, rescind and annul such acceleration. If an Event of Default relating to the bankruptcy provisions occurs and is continuing, the principal of and interest on all the debt securities will </w:t>
      </w:r>
      <w:r>
        <w:rPr>
          <w:rFonts w:ascii="Times New Roman" w:hAnsi="Times New Roman"/>
          <w:i/>
          <w:sz w:val="20"/>
        </w:rPr>
        <w:t>ipso facto</w:t>
      </w:r>
      <w:r>
        <w:rPr>
          <w:rFonts w:ascii="Times New Roman" w:hAnsi="Times New Roman"/>
          <w:sz w:val="20"/>
        </w:rPr>
        <w:t xml:space="preserve"> become and be immediately due and payable without any declaration or other act on the part of the Trustee or any holders of debt securities. </w:t>
      </w:r>
    </w:p>
    <w:p>
      <w:pPr>
        <w:pStyle w:val="TextBody"/>
        <w:bidi w:val="0"/>
        <w:spacing w:before="240" w:after="0"/>
        <w:jc w:val="both"/>
        <w:rPr>
          <w:rFonts w:ascii="Times New Roman" w:hAnsi="Times New Roman"/>
          <w:sz w:val="20"/>
        </w:rPr>
      </w:pPr>
      <w:r>
        <w:rPr>
          <w:rFonts w:ascii="Times New Roman" w:hAnsi="Times New Roman"/>
          <w:sz w:val="20"/>
        </w:rPr>
        <w:t xml:space="preserve">Subject to certain restrictions, no holder of any debt securities of any series shall have any right to institute any proceeding with respect to the Existing Indenture or the debt securities of such series or for any remedy thereunder, unless such holder previously shall have given to the Trustee written notice of a continuing Event of Default with respect to the debt securities of such series and unless also the holders of not less than 30% in aggregate principal amount of the outstanding debt securities of such series shall have made written request upon the Trustee, and have offered to the Trustee indemnity satisfactory to the Trustee against the costs, expenses and liabilities to be incurred in compliance with the request, and the Trustee, for 60 days after receipt of such notice, request and offer of indemnity, shall have failed to institute such proceeding and, during such 60-day period, the Trustee shall not have received direction inconsistent with such request in writing by the holders of a majority in aggregate principal amount of the outstanding debt securities of such series. These limitations do not apply, however, to a suit instituted by a holder of a debt security for the enforcement of payment of the principal of, premium, if any, or interest on such note on or after the respective due date expressed in such debt security. </w:t>
      </w:r>
    </w:p>
    <w:p>
      <w:pPr>
        <w:pStyle w:val="TextBody"/>
        <w:bidi w:val="0"/>
        <w:spacing w:before="240" w:after="0"/>
        <w:jc w:val="both"/>
        <w:rPr>
          <w:rFonts w:ascii="Times New Roman" w:hAnsi="Times New Roman"/>
          <w:sz w:val="20"/>
        </w:rPr>
      </w:pPr>
      <w:r>
        <w:rPr>
          <w:rFonts w:ascii="Times New Roman" w:hAnsi="Times New Roman"/>
          <w:sz w:val="20"/>
        </w:rPr>
        <w:t xml:space="preserve">Subject to certain restrictions, the holders of a majority in aggregate principal amount of the outstanding debt securities of a series will have the right to direct the time, method and place of conducting any proceeding for exercising any remedy available to the Trustee or of exercising any trust or power conferred on the Trustee with respect to such series, and the Trustee may act at the direction of holders of debt securities without liability. The Trustee, however, may refuse to follow any direction that conflicts with law or the Existing Indenture or that the Trustee determines is unduly prejudicial to the rights of any other holder of a debt security of such series or that would involve the Trustee in personal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a Default with respect to any series of debt securities occurs and is continuing and the Trustee has received written notice thereof, the Trustee must mail (or otherwise transmit in accordance with the procedures of The Depository Trust Company) to each holder of such series of debt securities notice of the Default within 90 days of having received such notice; </w:t>
      </w:r>
      <w:r>
        <w:rPr>
          <w:rFonts w:ascii="Times New Roman" w:hAnsi="Times New Roman"/>
          <w:i/>
          <w:sz w:val="20"/>
        </w:rPr>
        <w:t>provided</w:t>
      </w:r>
      <w:r>
        <w:rPr>
          <w:rFonts w:ascii="Times New Roman" w:hAnsi="Times New Roman"/>
          <w:sz w:val="20"/>
        </w:rPr>
        <w:t xml:space="preserve">, that, except in the case of a Default in the payment of principal or premium, if any, or interest on any debt security, the Trustee may withhold from the holders of such series of debt securities notice of any continuing Default if and so long as a committee of the Trustee’s responsible officers in good faith determines that withholding the notice is in the interests of the holders of such series of debt securities. The Issuers will be required to deliver to the Trustee, within 120 days after the end of each fiscal year of Dell Technologies, an officer’s certificate indicating whether the signer of the certificate knows of any failure by the Issuers or the Guarantors to comply with all conditions and covenants of the Existing Indenture during such fiscal year.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Supplement and Waiver </w:t>
      </w:r>
    </w:p>
    <w:p>
      <w:pPr>
        <w:pStyle w:val="TextBody"/>
        <w:bidi w:val="0"/>
        <w:spacing w:before="120" w:after="0"/>
        <w:jc w:val="both"/>
        <w:rPr>
          <w:rFonts w:ascii="Times New Roman" w:hAnsi="Times New Roman"/>
          <w:sz w:val="20"/>
        </w:rPr>
      </w:pPr>
      <w:r>
        <w:rPr>
          <w:rFonts w:ascii="Times New Roman" w:hAnsi="Times New Roman"/>
          <w:sz w:val="20"/>
        </w:rPr>
        <w:t xml:space="preserve">To the extent permitted by the Existing Indenture and subject to the following paragraphs, without the consent of any holders of debt securities, the Issuers, the Guarantors and the Trustee may from time to time amend, supplement or modify the Existing Indenture, including to provide for the issuance of additional debt securities under the Existing Indenture (including Additional Securities of such series, if any). </w:t>
      </w:r>
    </w:p>
    <w:p>
      <w:pPr>
        <w:pStyle w:val="TextBody"/>
        <w:bidi w:val="0"/>
        <w:spacing w:before="240" w:after="0"/>
        <w:jc w:val="both"/>
        <w:rPr>
          <w:rFonts w:ascii="Times New Roman" w:hAnsi="Times New Roman"/>
          <w:sz w:val="20"/>
        </w:rPr>
      </w:pPr>
      <w:r>
        <w:rPr>
          <w:rFonts w:ascii="Times New Roman" w:hAnsi="Times New Roman"/>
          <w:sz w:val="20"/>
        </w:rPr>
        <w:t xml:space="preserve">Subject to certain exceptions, modifications and amendments of the Existing Indenture, the debt securities of one or more series and the Security Guarantees may be made by the Issuers, any Guarantor (with respect to its Security Guarantee) and the Trustee with the consent of the holders of not less than a majority in aggregate principal amount of the outstanding debt securities of such series (including Additional Securities of such series, if any) then outstanding voting as a single class (including consents obtained in connection with a purchase of, or a tender offer or exchange offer for, the debt securities of such series), and any past Default or Event of Default with respect to such series of debt securities or compliance in respect of a series of debt securities with any provision of the Existing Indenture, the Security Guarantees or such series of debt securities may be waived with the consent of the holders of not less than a majority in aggregate principal amount of the then outstanding debt securities of such series (including Additional Securities of such series, if any) voting as a single class (including consents obtained in connection with a tender offer or exchange offer for, or purchase of, the debt securities of such series; </w:t>
      </w:r>
      <w:r>
        <w:rPr>
          <w:rFonts w:ascii="Times New Roman" w:hAnsi="Times New Roman"/>
          <w:i/>
          <w:sz w:val="20"/>
        </w:rPr>
        <w:t>provided</w:t>
      </w:r>
      <w:r>
        <w:rPr>
          <w:rFonts w:ascii="Times New Roman" w:hAnsi="Times New Roman"/>
          <w:sz w:val="20"/>
        </w:rPr>
        <w:t xml:space="preserve">, however, that no such modification or amendment may, without the consent of the holder of each outstanding debt security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 the stated maturity of the principal of, or any installment of principal of or interest on,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 the principal amount of, or the rate of interest on,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 any premium, if any, or redemption price payable upon the redemption of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 the amount of the principal of an original discount debt security that would be due and payable upon a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 any place of payment where, or the coin or currency in which, the principal of, premium, if any, or interest on any such debt security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amend the contractual right expressly set forth in the Existing Indenture or any debt security of any holder to institute suit for the enforcement of any payment of principal of, premium, if any, or interest (or Additional Amounts, if any) on such debt security on or after the stated maturity or redemption date of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 the percentage in aggregate principal amount of the outstanding debt securities of any series, the consent of whose holders is required to approve any such modification or amendment or for any waiver of compliance with certain provisions of the Existing Indenture or of certain Defaults;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modify any of the provisions in the Existing Indenture regarding the waiver of past Defaults and the waiver of certain covenants by the holders of each such debt security affected thereby, except to increase any percentage vote required or to provide that certain other provisions of the Existing Indenture may not be modified or waived without the consent of the holder of each debt security affected thereby;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modify any of the above provisions.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the Issuers, the Guarantors (only with respect to its Security Guarantee, and for the avoidance of doubt excluding any amendment or supplement the sole purpose of which is to add an additional Guarantor) and the Trustee may amend or supplement the Existing Indenture or the debt securities of one or more series and any related Security Guarantee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cure any ambiguity or omission or correct any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convey, transfer, assign, mortgage or pledge any property to or with the Trustee, or to make such other provisions in regard to matters or questions arising under the Existing Indenture, in each case as shall not adversely affect the interests of any holders of the debt securities of such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to evidence the succession of another Person to an Issuer or any Guarantor and the assumption by any such successor of the covenants, agreements and obligations of such Issuer or Guarantor, as the case may be, under the debt securities, the Security Guarantees or the Existing Indenture, as described above under “</w:t>
            </w:r>
            <w:r>
              <w:rPr>
                <w:rFonts w:ascii="Times New Roman" w:hAnsi="Times New Roman"/>
                <w:i/>
                <w:sz w:val="20"/>
              </w:rPr>
              <w:t>Merger, Consolidation, Amalgamation or Sale of All or Substantially All Assets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surrender any right or power conferred upon the Issuers with respect to such series or to add further covenants, restrictions, conditions or provisions relating to the Issuers or the Guarantors for the protection of the holders of any series of debt securities, and to add any additional defaults or Events of Default for the Issuers’ or any Guarantor’s failure to comply with any such further covenants, restrictions, conditions or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modify or amend the Existing Indenture (including any supplemental indenture) to make changes as are required for the Existing Indenture to comply with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add Security Guarantees with respect to any or all of the debt securities of such series or to release any Guarantor or Security Guarantee if at the time of such release such Guarantor is not otherwise required to be a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add collateral with respect to any or all of the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provide for the issuance of Additional Securities in accordance with the terms of the Existing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make any change that does not adversely affect the rights of any holder of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evidence and provide for the acceptance of appointment by a successor or separate Trustee with respect to the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comply with the rules of any applicable securities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conform the text of the Existing Indenture, the debt securities, any related Security Guarantee or any security documents to the description of such debt securities contained in this prospectus, any prospectus supplement or any similar document with respect to the offering of the debt securities of such series to the extent such descriptions were intended to be a verbatim recitation of a provision in the Existing Indenture, such debt securities, such Security Guarantee or such security documents;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make any amendment to the provisions of the Existing Indenture relating to the transfer and legending of debt securities; </w:t>
            </w:r>
            <w:r>
              <w:rPr>
                <w:rFonts w:ascii="Times New Roman" w:hAnsi="Times New Roman"/>
                <w:i/>
                <w:sz w:val="20"/>
              </w:rPr>
              <w:t>provided</w:t>
            </w:r>
            <w:r>
              <w:rPr>
                <w:rFonts w:ascii="Times New Roman" w:hAnsi="Times New Roman"/>
                <w:sz w:val="20"/>
              </w:rPr>
              <w:t xml:space="preserve">, however, that (a) compliance with the Existing Indenture as so amended would not result in such debt securities being transferred in violation of the Securities Act or any other applicable securities law and (b) such amendment does not adversely affect the rights of holders to transfer such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establish the forms or terms of debt securities of any series as permitted by the provisions of the Existing Indenture.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consent of the holders of debt securities is not necessary to approve the particular form of any proposed amendment. It is sufficient if such consent approves the substance of the proposed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both"/>
        <w:rPr>
          <w:rFonts w:ascii="Times New Roman" w:hAnsi="Times New Roman"/>
          <w:sz w:val="20"/>
        </w:rPr>
      </w:pPr>
      <w:r>
        <w:rPr>
          <w:rFonts w:ascii="Times New Roman" w:hAnsi="Times New Roman"/>
          <w:sz w:val="20"/>
        </w:rPr>
        <w:t xml:space="preserve">The Existing Indenture provides that, when (1) the Issuers deliver to the Trustee all outstanding debt securities of a series under the Existing Indenture for cancellation or (2) all outstanding debt securities of a series under the Existing Indenture not previously delivered to the Trustee for cancellation have become due and payable, whether at maturity or on a redemption date as a result of the mailing of notice of redemption, will become due and payable within one year, or are to be called for redemption within one year under arrangements reasonably satisfactory to the Trustee for the giving of notice of redemption by the Trustee in the name, and at the expense, of the Issuers, and, in the case of clause (2), the Issuers irrevocably deposit with the Trustee U.S. dollars, or U.S. government obligations, or both, sufficient to pay at maturity or upon redemption all such outstanding debt securities of such series, including interest thereon to maturity or such redemption date, and if in either case the Issuers pay all other sums payable by the Issuers under the Existing Indenture with respect to such series of debt securities and satisfy certain other conditions, then the Existing Indenture will, subject to certain exceptions, cease to be of further effect with respect to such series of debt securities; </w:t>
      </w:r>
      <w:r>
        <w:rPr>
          <w:rFonts w:ascii="Times New Roman" w:hAnsi="Times New Roman"/>
          <w:i/>
          <w:sz w:val="20"/>
        </w:rPr>
        <w:t>provided</w:t>
      </w:r>
      <w:r>
        <w:rPr>
          <w:rFonts w:ascii="Times New Roman" w:hAnsi="Times New Roman"/>
          <w:sz w:val="20"/>
        </w:rPr>
        <w:t xml:space="preserve">, that upon any redemption that occurs prior to a par call date, the amount deposited shall be sufficient for purposes of the Existing Indenture to the extent that an amount is deposited with the Trustee equal to the redemption price calculated as of the date of the notice of redemption, with any deficit as of the date of redemption (any such amount, the “Redemption Price Deficit”) only required to be deposited with the Trustee on or prior to the date of redemption. Any Redemption Price Deficit shall be set forth in an officer’s certificate delivered to the Trustee simultaneously with the deposit of such Redemption Price Deficit that confirms that such Redemption Price Deficit shall be applied toward such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Legal Defeasance and Covenant Defeasance </w:t>
      </w:r>
    </w:p>
    <w:p>
      <w:pPr>
        <w:pStyle w:val="TextBody"/>
        <w:bidi w:val="0"/>
        <w:spacing w:before="120" w:after="0"/>
        <w:jc w:val="both"/>
        <w:rPr>
          <w:rFonts w:ascii="Times New Roman" w:hAnsi="Times New Roman"/>
          <w:sz w:val="20"/>
        </w:rPr>
      </w:pPr>
      <w:r>
        <w:rPr>
          <w:rFonts w:ascii="Times New Roman" w:hAnsi="Times New Roman"/>
          <w:sz w:val="20"/>
        </w:rPr>
        <w:t xml:space="preserve">The Existing Indenture provides that the Issuers may elect with respect to any series of debt securities either (1) to defease and be discharged from any and all obligations with respect to such debt securities (except for, among other things, certain obligations to register the transfer or exchange of the debt securities, to replace temporary or mutilated, destroyed, lost or stolen debt securities, to maintain an office or agency with respect to debt securities and to hold moneys for payment in trust) (“legal defeasance”) or (2) to be released from their obligations to comply with the restrictive covenants under the Existing Indenture, and any omission to comply with such obligations will not constitute a Default or an Event of Default with respect to such debt securities, and clause (3) under “Events of Default” will no longer be applied (“covenant defeasance”). If the Issuers exercise their legal defeasance option or their covenant defeasance option with respect to a series of debt securities, each Guarantor will be released from all of its obligations with respect to its Security Guarantee with respect to such series of debt securities. Legal defeasance or covenant defeasance, as the case may be, will be conditioned upon, among other things, the irrevocable deposit by the Issuers with the Trustee, in trust, of an amount in U.S. dollars, or U.S. government obligations (that through the scheduled payment of principal and interest in accordance with their terms will provide money in an amount), or both, sufficient in the opinion of a nationally recognized public accounting firm to pay the principal or premium, if any, and interest on the applicable debt securities on the scheduled due dates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If the Issuers effect covenant defeasance with respect to any series of debt securities and such debt securities are declared due and payable because of the occurrence of any Event of Default other than under clause (3) under “</w:t>
      </w:r>
      <w:r>
        <w:rPr>
          <w:rFonts w:ascii="Times New Roman" w:hAnsi="Times New Roman"/>
          <w:i/>
          <w:sz w:val="20"/>
        </w:rPr>
        <w:t>Events of Default</w:t>
      </w:r>
      <w:r>
        <w:rPr>
          <w:rFonts w:ascii="Times New Roman" w:hAnsi="Times New Roman"/>
          <w:sz w:val="20"/>
        </w:rPr>
        <w:t xml:space="preserve">,” the amount in U.S. dollars, or U.S. government obligations, or both, on deposit with the Trustee will be sufficient, in the opinion of a nationally recognized firm of independent public accountants, to pay amounts due on such debt securities at the time of the stated maturity but may not be sufficient to pay amounts due on such debt securities at the time of the acceleration resulting from such Event of Default. However, the Issuers would remain liable to make payment of such amounts due at the time of acceleration. </w:t>
      </w:r>
    </w:p>
    <w:p>
      <w:pPr>
        <w:pStyle w:val="TextBody"/>
        <w:bidi w:val="0"/>
        <w:spacing w:before="240" w:after="0"/>
        <w:jc w:val="both"/>
        <w:rPr>
          <w:rFonts w:ascii="Times New Roman" w:hAnsi="Times New Roman"/>
          <w:sz w:val="20"/>
        </w:rPr>
      </w:pPr>
      <w:r>
        <w:rPr>
          <w:rFonts w:ascii="Times New Roman" w:hAnsi="Times New Roman"/>
          <w:sz w:val="20"/>
        </w:rPr>
        <w:t xml:space="preserve">To effect legal defeasance or covenant defeasance, the Issuers will be required to deliver to the Trustee an opinion of counsel that the deposit and related defeasance will not cause the holders of the applicable debt securities to recognize income, gain or loss for U.S. federal income tax purposes. If the Issuers elect legal defeasance, that opinion of counsel must be based upon a ruling from the U.S. Internal Revenue Service or a change in law to that effect. </w:t>
      </w:r>
    </w:p>
    <w:p>
      <w:pPr>
        <w:pStyle w:val="TextBody"/>
        <w:bidi w:val="0"/>
        <w:spacing w:before="240" w:after="0"/>
        <w:jc w:val="both"/>
        <w:rPr>
          <w:rFonts w:ascii="Times New Roman" w:hAnsi="Times New Roman"/>
          <w:sz w:val="20"/>
        </w:rPr>
      </w:pPr>
      <w:r>
        <w:rPr>
          <w:rFonts w:ascii="Times New Roman" w:hAnsi="Times New Roman"/>
          <w:sz w:val="20"/>
        </w:rPr>
        <w:t xml:space="preserve">The Issuers may exercise their legal defeasance option notwithstanding their prior exercise of their covenant defeasance option. </w:t>
      </w:r>
    </w:p>
    <w:p>
      <w:pPr>
        <w:pStyle w:val="TextBody"/>
        <w:bidi w:val="0"/>
        <w:spacing w:before="360" w:after="0"/>
        <w:jc w:val="left"/>
        <w:rPr>
          <w:rFonts w:ascii="Times New Roman" w:hAnsi="Times New Roman"/>
          <w:b/>
          <w:sz w:val="20"/>
        </w:rPr>
      </w:pPr>
      <w:r>
        <w:rPr>
          <w:rFonts w:ascii="Times New Roman" w:hAnsi="Times New Roman"/>
          <w:b/>
          <w:sz w:val="20"/>
        </w:rPr>
        <w:t xml:space="preserve">Form of Debt Securities </w:t>
      </w:r>
    </w:p>
    <w:p>
      <w:pPr>
        <w:pStyle w:val="TextBody"/>
        <w:bidi w:val="0"/>
        <w:spacing w:before="120" w:after="0"/>
        <w:jc w:val="both"/>
        <w:rPr>
          <w:rFonts w:ascii="Times New Roman" w:hAnsi="Times New Roman"/>
          <w:sz w:val="20"/>
        </w:rPr>
      </w:pPr>
      <w:r>
        <w:rPr>
          <w:rFonts w:ascii="Times New Roman" w:hAnsi="Times New Roman"/>
          <w:sz w:val="20"/>
        </w:rPr>
        <w:t xml:space="preserve">Each debt security will be represented either by a certificate issued in definitive form to a particular investor or by one or more global securities representing the entire issuance of securities. Certificated securities in definitive form and global securities will be issued in registered form. </w:t>
      </w:r>
    </w:p>
    <w:p>
      <w:pPr>
        <w:pStyle w:val="TextBody"/>
        <w:bidi w:val="0"/>
        <w:spacing w:before="240" w:after="0"/>
        <w:jc w:val="both"/>
        <w:rPr>
          <w:rFonts w:ascii="Times New Roman" w:hAnsi="Times New Roman"/>
          <w:sz w:val="20"/>
        </w:rPr>
      </w:pPr>
      <w:r>
        <w:rPr>
          <w:rFonts w:ascii="Times New Roman" w:hAnsi="Times New Roman"/>
          <w:sz w:val="20"/>
        </w:rPr>
        <w:t xml:space="preserve">Definitive securities name you or your nominee as the owner of the security, and in order to transfer or exchange these securities or to receive payments other than interest or other interim payments, you or your nominee must physically deliver the securities to the office or agency designated by the Issuers. Global securities name a depositary or its nominee as the owner of the debt securities represented by the global securities. </w:t>
      </w:r>
    </w:p>
    <w:p>
      <w:pPr>
        <w:pStyle w:val="TextBody"/>
        <w:bidi w:val="0"/>
        <w:spacing w:before="240" w:after="0"/>
        <w:jc w:val="both"/>
        <w:rPr>
          <w:rFonts w:ascii="Times New Roman" w:hAnsi="Times New Roman"/>
          <w:sz w:val="20"/>
        </w:rPr>
      </w:pPr>
      <w:r>
        <w:rPr>
          <w:rFonts w:ascii="Times New Roman" w:hAnsi="Times New Roman"/>
          <w:sz w:val="20"/>
        </w:rPr>
        <w:t xml:space="preserve">We may issue the debt securities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before="240" w:after="0"/>
        <w:jc w:val="both"/>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before="240" w:after="0"/>
        <w:jc w:val="both"/>
        <w:rPr>
          <w:rFonts w:ascii="Times New Roman" w:hAnsi="Times New Roman"/>
          <w:sz w:val="20"/>
        </w:rPr>
      </w:pPr>
      <w:r>
        <w:rPr>
          <w:rFonts w:ascii="Times New Roman" w:hAnsi="Times New Roman"/>
          <w:sz w:val="20"/>
        </w:rPr>
        <w:t xml:space="preserve">Ownership of beneficial interests in a global security will be limited to persons, called participants, that have accounts with the depositary. </w:t>
      </w:r>
    </w:p>
    <w:p>
      <w:pPr>
        <w:pStyle w:val="TextBody"/>
        <w:bidi w:val="0"/>
        <w:spacing w:before="240" w:after="0"/>
        <w:jc w:val="both"/>
        <w:rPr>
          <w:rFonts w:ascii="Times New Roman" w:hAnsi="Times New Roman"/>
          <w:sz w:val="20"/>
        </w:rPr>
      </w:pPr>
      <w:r>
        <w:rPr>
          <w:rFonts w:ascii="Times New Roman" w:hAnsi="Times New Roman"/>
          <w:sz w:val="20"/>
        </w:rPr>
        <w:t xml:space="preserve">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Existing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Existing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Existing Indenture. We understand that under existing industry practices, if we request any action of holders or if an owner of a beneficial interest in a global security desires to give or take any action that a holder is entitled to give or take under the Existing Indenture,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both"/>
        <w:rPr>
          <w:rFonts w:ascii="Times New Roman" w:hAnsi="Times New Roman"/>
          <w:sz w:val="20"/>
        </w:rPr>
      </w:pPr>
      <w:r>
        <w:rPr>
          <w:rFonts w:ascii="Times New Roman" w:hAnsi="Times New Roman"/>
          <w:sz w:val="20"/>
        </w:rPr>
        <w:t xml:space="preserve">Principal (or premium, if any) and interest payments on debt securities represented by a global security registered in the name of a depositary or its nominee will be made to the depositary or its nominee, as the case may be, as the registered owner of the global security. </w:t>
      </w:r>
    </w:p>
    <w:p>
      <w:pPr>
        <w:pStyle w:val="TextBody"/>
        <w:bidi w:val="0"/>
        <w:spacing w:before="240" w:after="0"/>
        <w:jc w:val="both"/>
        <w:rPr>
          <w:rFonts w:ascii="Times New Roman" w:hAnsi="Times New Roman"/>
          <w:sz w:val="20"/>
        </w:rPr>
      </w:pPr>
      <w:r>
        <w:rPr>
          <w:rFonts w:ascii="Times New Roman" w:hAnsi="Times New Roman"/>
          <w:sz w:val="20"/>
        </w:rPr>
        <w:t xml:space="preserve">We expect that the depositary for any of the securities represented by a global security, upon receipt of any payment of principal, premium, interest or other distribution of underlying securities or other property to holders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and will be the responsibility of those participants. </w:t>
      </w:r>
    </w:p>
    <w:p>
      <w:pPr>
        <w:pStyle w:val="TextBody"/>
        <w:bidi w:val="0"/>
        <w:spacing w:before="240" w:after="0"/>
        <w:jc w:val="both"/>
        <w:rPr>
          <w:rFonts w:ascii="Times New Roman" w:hAnsi="Times New Roman"/>
          <w:sz w:val="20"/>
        </w:rPr>
      </w:pPr>
      <w:r>
        <w:rPr>
          <w:rFonts w:ascii="Times New Roman" w:hAnsi="Times New Roman"/>
          <w:sz w:val="20"/>
        </w:rPr>
        <w:t xml:space="preserve">We may at any time and in our sole discretion decide not to have any of the securities represented by one or more global securities. If we make that decision, we will issue securities in definitive form in exchange for the global security or securities representing those securities. Any securities issued in definitive form in exchange for a global security will be registered in the name or names that the depositary gives to the Trustee or relevant agent of ours or theirs. It is expected that the depositary’s instructions will be based upon directions received by the depositary from participants with respect to ownership of beneficial interests in the global security that had been held by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both"/>
        <w:rPr>
          <w:rFonts w:ascii="Times New Roman" w:hAnsi="Times New Roman"/>
          <w:sz w:val="20"/>
        </w:rPr>
      </w:pPr>
      <w:r>
        <w:rPr>
          <w:rFonts w:ascii="Times New Roman" w:hAnsi="Times New Roman"/>
          <w:sz w:val="20"/>
        </w:rPr>
        <w:t xml:space="preserve">The Trustee is The Bank of New York Mellon Trust Company, N.A., which maintains its corporate trust offices at 601 Travis Street, 16th Floor, Houston, Texas 77002. The Trustee provides certain corporate trust services to us in the ordinary course of business and may provide such services in the future. The Trustee is the trustee under indentures covering certain of our outstanding notes and debentures. </w:t>
      </w:r>
    </w:p>
    <w:p>
      <w:pPr>
        <w:pStyle w:val="TextBody"/>
        <w:bidi w:val="0"/>
        <w:spacing w:before="240" w:after="0"/>
        <w:jc w:val="both"/>
        <w:rPr>
          <w:rFonts w:ascii="Times New Roman" w:hAnsi="Times New Roman"/>
          <w:sz w:val="20"/>
        </w:rPr>
      </w:pPr>
      <w:r>
        <w:rPr>
          <w:rFonts w:ascii="Times New Roman" w:hAnsi="Times New Roman"/>
          <w:sz w:val="20"/>
        </w:rPr>
        <w:t xml:space="preserve">The Existing Indenture contains certain limitations on the rights of the Trustee, should it become a creditor of an Issuer or a Guarantor, to obtain payment of claims in certain cases, or to realize on certain property received in respect of any such claim as security or otherwise. The Trustee is permitted to engage in other transactions; however, if it acquires any conflicting interest it must eliminate such conflict within 90 days, apply to the SEC for permission to continue or resign as Trustee. </w:t>
      </w:r>
    </w:p>
    <w:p>
      <w:pPr>
        <w:pStyle w:val="TextBody"/>
        <w:bidi w:val="0"/>
        <w:spacing w:before="240" w:after="0"/>
        <w:jc w:val="both"/>
        <w:rPr>
          <w:rFonts w:ascii="Times New Roman" w:hAnsi="Times New Roman"/>
          <w:sz w:val="20"/>
        </w:rPr>
      </w:pPr>
      <w:r>
        <w:rPr>
          <w:rFonts w:ascii="Times New Roman" w:hAnsi="Times New Roman"/>
          <w:sz w:val="20"/>
        </w:rPr>
        <w:t xml:space="preserve">The Existing Indenture provides that in case an Event of Default shall occur (which shall not be cured), the Trustee will be required, in the exercise of its power, to use the degree of care of a prudent person under the circumstances in the conduct of his own affairs. The Trustee is under no obligation to exercise any of its rights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powers under the Existing Indenture at the request of any holders of debt securities, unless such holder shall have offered to the Trustee security and indemnity satisfactory to it against any loss, liability or expense.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both"/>
        <w:rPr>
          <w:rFonts w:ascii="Times New Roman" w:hAnsi="Times New Roman"/>
          <w:sz w:val="20"/>
        </w:rPr>
      </w:pPr>
      <w:r>
        <w:rPr>
          <w:rFonts w:ascii="Times New Roman" w:hAnsi="Times New Roman"/>
          <w:sz w:val="20"/>
        </w:rPr>
        <w:t xml:space="preserve">The Existing Indenture is governed by, and construed in accordance with, the laws of the State of New York. The Existing Indenture is subject to the provisions of the Trust Indenture Act that are required to be part of the Existing Indenture and is, to the extent applicable, governed by such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Compliance Determinations </w:t>
      </w:r>
    </w:p>
    <w:p>
      <w:pPr>
        <w:pStyle w:val="TextBody"/>
        <w:bidi w:val="0"/>
        <w:spacing w:before="120" w:after="0"/>
        <w:jc w:val="both"/>
        <w:rPr>
          <w:rFonts w:ascii="Times New Roman" w:hAnsi="Times New Roman"/>
          <w:sz w:val="20"/>
        </w:rPr>
      </w:pPr>
      <w:r>
        <w:rPr>
          <w:rFonts w:ascii="Times New Roman" w:hAnsi="Times New Roman"/>
          <w:sz w:val="20"/>
        </w:rPr>
        <w:t xml:space="preserve">The Existing Indenture provides that, if a Guarantor is either (1) a direct or indirect parent company of Dell Technologies and does not hold any material assets other than the Equity Interests of Dell Technologies or (2) a direct or indirect wholly-owned subsidiary of Dell Technologies and does not hold any material assets other than the Equity Interests of the Issuers and their direct or indirect parent companies (in each case, as determined in good faith by the board of directors (or similar governing body) or senior management of such Guarantor), any calculations or measures that are stated to be determined with reference to Dell Technologies’ financial statements may be determined with reference to such Guarantor’s financial statements instead.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oc207421_15"/>
      <w:bookmarkEnd w:id="35"/>
      <w:r>
        <w:rPr>
          <w:rFonts w:ascii="Times New Roman" w:hAnsi="Times New Roman"/>
          <w:b/>
          <w:sz w:val="20"/>
        </w:rPr>
        <w:t xml:space="preserve">PLAN OF DISTRIBUTION </w:t>
      </w:r>
    </w:p>
    <w:p>
      <w:pPr>
        <w:pStyle w:val="TextBody"/>
        <w:bidi w:val="0"/>
        <w:spacing w:before="240" w:after="0"/>
        <w:jc w:val="both"/>
        <w:rPr>
          <w:rFonts w:ascii="Times New Roman" w:hAnsi="Times New Roman"/>
          <w:sz w:val="20"/>
        </w:rPr>
      </w:pPr>
      <w:r>
        <w:rPr>
          <w:rFonts w:ascii="Times New Roman" w:hAnsi="Times New Roman"/>
          <w:sz w:val="20"/>
        </w:rPr>
        <w:t xml:space="preserve">The Issuers may sell the offered securities from time to time in one or more transactions: (a) through agents; (b) through underwriters or dealers; (c) in the over-the-counter market; (d) in privately negotiated transactions; (e) directly to one or more purchasers; or (f) through a combination of any of these methods of sale. We will identify the specific plan of distribution, including any underwriters, dealers, agents or direct purchasers and their compensation,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oc207421_16"/>
      <w:bookmarkEnd w:id="36"/>
      <w:r>
        <w:rPr>
          <w:rFonts w:ascii="Times New Roman" w:hAnsi="Times New Roman"/>
          <w:b/>
          <w:sz w:val="20"/>
        </w:rPr>
        <w:t xml:space="preserve">VALIDITY OF SECURITIES </w:t>
      </w:r>
    </w:p>
    <w:p>
      <w:pPr>
        <w:pStyle w:val="TextBody"/>
        <w:bidi w:val="0"/>
        <w:spacing w:before="120" w:after="0"/>
        <w:jc w:val="both"/>
        <w:rPr>
          <w:rFonts w:ascii="Times New Roman" w:hAnsi="Times New Roman"/>
          <w:sz w:val="20"/>
        </w:rPr>
      </w:pPr>
      <w:r>
        <w:rPr>
          <w:rFonts w:ascii="Times New Roman" w:hAnsi="Times New Roman"/>
          <w:sz w:val="20"/>
        </w:rPr>
        <w:t xml:space="preserve">The validity and enforceability of the securities will be passed upon for us by Simpson Thacher &amp; Bartlett LLP, New York, New York. An investment vehicle comprised of several partners of Simpson Thacher &amp; Bartlett LLP, members of their families, related persons and others own interests representing less than 1% of the capital commitments of funds affiliated with Silver Lake Management Company III, L.L.C. and Silver Lake Management Company IV, L.L.C. </w:t>
      </w:r>
    </w:p>
    <w:p>
      <w:pPr>
        <w:pStyle w:val="TextBody"/>
        <w:bidi w:val="0"/>
        <w:spacing w:before="480" w:after="0"/>
        <w:jc w:val="center"/>
        <w:rPr>
          <w:rFonts w:ascii="Times New Roman" w:hAnsi="Times New Roman"/>
          <w:b/>
          <w:sz w:val="20"/>
        </w:rPr>
      </w:pPr>
      <w:bookmarkStart w:id="37" w:name="toc207421_17"/>
      <w:bookmarkEnd w:id="37"/>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January 30, 2026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$5,000,000,000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86355" cy="3213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2586355" cy="32131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8"/>
        </w:rPr>
      </w:pPr>
      <w:r>
        <w:rPr>
          <w:rFonts w:ascii="Times New Roman" w:hAnsi="Times New Roman"/>
          <w:b/>
          <w:sz w:val="28"/>
        </w:rPr>
        <w:t xml:space="preserve">$1,250,000,000 5.100% Senior Notes due 2029 </w:t>
      </w:r>
    </w:p>
    <w:p>
      <w:pPr>
        <w:pStyle w:val="TextBody"/>
        <w:bidi w:val="0"/>
        <w:spacing w:before="0" w:after="0"/>
        <w:jc w:val="center"/>
        <w:rPr>
          <w:rFonts w:ascii="Times New Roman" w:hAnsi="Times New Roman"/>
          <w:b/>
          <w:sz w:val="28"/>
        </w:rPr>
      </w:pPr>
      <w:r>
        <w:rPr>
          <w:rFonts w:ascii="Times New Roman" w:hAnsi="Times New Roman"/>
          <w:b/>
          <w:sz w:val="28"/>
        </w:rPr>
        <w:t xml:space="preserve">$1,250,000,000 5.400% Senior Notes due 2031 </w:t>
      </w:r>
    </w:p>
    <w:p>
      <w:pPr>
        <w:pStyle w:val="TextBody"/>
        <w:bidi w:val="0"/>
        <w:spacing w:before="0" w:after="0"/>
        <w:jc w:val="center"/>
        <w:rPr>
          <w:rFonts w:ascii="Times New Roman" w:hAnsi="Times New Roman"/>
          <w:b/>
          <w:sz w:val="28"/>
        </w:rPr>
      </w:pPr>
      <w:r>
        <w:rPr>
          <w:rFonts w:ascii="Times New Roman" w:hAnsi="Times New Roman"/>
          <w:b/>
          <w:sz w:val="28"/>
        </w:rPr>
        <w:t xml:space="preserve">$1,500,000,000 5.600% Senior Notes due 2033 </w:t>
      </w:r>
    </w:p>
    <w:p>
      <w:pPr>
        <w:pStyle w:val="TextBody"/>
        <w:bidi w:val="0"/>
        <w:spacing w:before="0" w:after="0"/>
        <w:jc w:val="center"/>
        <w:rPr>
          <w:rFonts w:ascii="Times New Roman" w:hAnsi="Times New Roman"/>
          <w:b/>
          <w:sz w:val="28"/>
        </w:rPr>
      </w:pPr>
      <w:r>
        <w:rPr>
          <w:rFonts w:ascii="Times New Roman" w:hAnsi="Times New Roman"/>
          <w:b/>
          <w:sz w:val="28"/>
        </w:rPr>
        <w:t xml:space="preserve">$1,000,000,000 5.900% Senior Notes due 2037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8"/>
        </w:rPr>
      </w:pPr>
      <w:r>
        <w:rPr>
          <w:rFonts w:ascii="Times New Roman" w:hAnsi="Times New Roman"/>
          <w:b/>
          <w:sz w:val="28"/>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240" w:after="0"/>
        <w:jc w:val="center"/>
        <w:rPr>
          <w:rFonts w:ascii="Times New Roman" w:hAnsi="Times New Roman"/>
          <w:b/>
          <w:sz w:val="28"/>
        </w:rPr>
      </w:pPr>
      <w:r>
        <w:rPr>
          <w:rFonts w:ascii="Times New Roman" w:hAnsi="Times New Roman"/>
          <w:b/>
          <w:sz w:val="28"/>
        </w:rPr>
        <w:t xml:space="preserve">Barclays </w:t>
      </w:r>
    </w:p>
    <w:p>
      <w:pPr>
        <w:pStyle w:val="TextBody"/>
        <w:bidi w:val="0"/>
        <w:spacing w:before="0" w:after="0"/>
        <w:jc w:val="center"/>
        <w:rPr>
          <w:rFonts w:ascii="Times New Roman" w:hAnsi="Times New Roman"/>
          <w:b/>
          <w:sz w:val="28"/>
        </w:rPr>
      </w:pPr>
      <w:r>
        <w:rPr>
          <w:rFonts w:ascii="Times New Roman" w:hAnsi="Times New Roman"/>
          <w:b/>
          <w:sz w:val="28"/>
        </w:rPr>
        <w:t xml:space="preserve">BofA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Citigroup </w:t>
      </w:r>
    </w:p>
    <w:p>
      <w:pPr>
        <w:pStyle w:val="TextBody"/>
        <w:bidi w:val="0"/>
        <w:spacing w:before="0" w:after="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0" w:after="0"/>
        <w:jc w:val="center"/>
        <w:rPr>
          <w:rFonts w:ascii="Times New Roman" w:hAnsi="Times New Roman"/>
          <w:b/>
          <w:sz w:val="28"/>
        </w:rPr>
      </w:pPr>
      <w:r>
        <w:rPr>
          <w:rFonts w:ascii="Times New Roman" w:hAnsi="Times New Roman"/>
          <w:b/>
          <w:sz w:val="28"/>
        </w:rPr>
        <w:t xml:space="preserve">HSBC </w:t>
      </w:r>
    </w:p>
    <w:p>
      <w:pPr>
        <w:pStyle w:val="TextBody"/>
        <w:bidi w:val="0"/>
        <w:spacing w:before="0" w:after="0"/>
        <w:jc w:val="center"/>
        <w:rPr>
          <w:rFonts w:ascii="Times New Roman" w:hAnsi="Times New Roman"/>
          <w:b/>
          <w:sz w:val="28"/>
        </w:rPr>
      </w:pPr>
      <w:r>
        <w:rPr>
          <w:rFonts w:ascii="Times New Roman" w:hAnsi="Times New Roman"/>
          <w:b/>
          <w:sz w:val="28"/>
        </w:rPr>
        <w:t xml:space="preserve">J.P. Morgan </w:t>
      </w:r>
    </w:p>
    <w:p>
      <w:pPr>
        <w:pStyle w:val="TextBody"/>
        <w:bidi w:val="0"/>
        <w:spacing w:before="0" w:after="0"/>
        <w:jc w:val="center"/>
        <w:rPr>
          <w:rFonts w:ascii="Times New Roman" w:hAnsi="Times New Roman"/>
          <w:b/>
          <w:sz w:val="28"/>
        </w:rPr>
      </w:pPr>
      <w:r>
        <w:rPr>
          <w:rFonts w:ascii="Times New Roman" w:hAnsi="Times New Roman"/>
          <w:b/>
          <w:sz w:val="28"/>
        </w:rPr>
        <w:t xml:space="preserve">TD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Wells Fargo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BNP PARIBAS </w:t>
      </w:r>
    </w:p>
    <w:p>
      <w:pPr>
        <w:pStyle w:val="TextBody"/>
        <w:bidi w:val="0"/>
        <w:spacing w:before="0" w:after="0"/>
        <w:jc w:val="center"/>
        <w:rPr>
          <w:rFonts w:ascii="Times New Roman" w:hAnsi="Times New Roman"/>
          <w:b/>
          <w:sz w:val="28"/>
        </w:rPr>
      </w:pPr>
      <w:r>
        <w:rPr>
          <w:rFonts w:ascii="Times New Roman" w:hAnsi="Times New Roman"/>
          <w:b/>
          <w:sz w:val="28"/>
        </w:rPr>
        <w:t xml:space="preserve">Deutsche Bank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Mizuho </w:t>
      </w:r>
    </w:p>
    <w:p>
      <w:pPr>
        <w:pStyle w:val="TextBody"/>
        <w:bidi w:val="0"/>
        <w:spacing w:before="0" w:after="0"/>
        <w:jc w:val="center"/>
        <w:rPr>
          <w:rFonts w:ascii="Times New Roman" w:hAnsi="Times New Roman"/>
          <w:b/>
          <w:sz w:val="28"/>
        </w:rPr>
      </w:pPr>
      <w:r>
        <w:rPr>
          <w:rFonts w:ascii="Times New Roman" w:hAnsi="Times New Roman"/>
          <w:b/>
          <w:sz w:val="28"/>
        </w:rPr>
        <w:t xml:space="preserve">Morgan Stanley </w:t>
      </w:r>
    </w:p>
    <w:p>
      <w:pPr>
        <w:pStyle w:val="TextBody"/>
        <w:bidi w:val="0"/>
        <w:spacing w:before="0" w:after="0"/>
        <w:jc w:val="center"/>
        <w:rPr>
          <w:rFonts w:ascii="Times New Roman" w:hAnsi="Times New Roman"/>
          <w:b/>
          <w:sz w:val="28"/>
        </w:rPr>
      </w:pPr>
      <w:r>
        <w:rPr>
          <w:rFonts w:ascii="Times New Roman" w:hAnsi="Times New Roman"/>
          <w:b/>
          <w:sz w:val="28"/>
        </w:rPr>
        <w:t xml:space="preserve">MUFG </w:t>
      </w:r>
    </w:p>
    <w:p>
      <w:pPr>
        <w:pStyle w:val="TextBody"/>
        <w:bidi w:val="0"/>
        <w:spacing w:before="0" w:after="0"/>
        <w:jc w:val="center"/>
        <w:rPr>
          <w:rFonts w:ascii="Times New Roman" w:hAnsi="Times New Roman"/>
          <w:b/>
          <w:sz w:val="28"/>
        </w:rPr>
      </w:pPr>
      <w:r>
        <w:rPr>
          <w:rFonts w:ascii="Times New Roman" w:hAnsi="Times New Roman"/>
          <w:b/>
          <w:sz w:val="28"/>
        </w:rPr>
        <w:t xml:space="preserve">PNC Capital Markets LLC </w:t>
      </w:r>
    </w:p>
    <w:p>
      <w:pPr>
        <w:pStyle w:val="TextBody"/>
        <w:bidi w:val="0"/>
        <w:spacing w:before="0" w:after="0"/>
        <w:jc w:val="center"/>
        <w:rPr>
          <w:rFonts w:ascii="Times New Roman" w:hAnsi="Times New Roman"/>
          <w:b/>
          <w:sz w:val="28"/>
        </w:rPr>
      </w:pPr>
      <w:r>
        <w:rPr>
          <w:rFonts w:ascii="Times New Roman" w:hAnsi="Times New Roman"/>
          <w:b/>
          <w:sz w:val="28"/>
        </w:rPr>
        <w:t xml:space="preserve">RBC Capital Markets </w:t>
      </w:r>
    </w:p>
    <w:p>
      <w:pPr>
        <w:pStyle w:val="TextBody"/>
        <w:bidi w:val="0"/>
        <w:spacing w:before="0" w:after="0"/>
        <w:jc w:val="center"/>
        <w:rPr>
          <w:rFonts w:ascii="Times New Roman" w:hAnsi="Times New Roman"/>
          <w:b/>
          <w:sz w:val="28"/>
        </w:rPr>
      </w:pPr>
      <w:r>
        <w:rPr>
          <w:rFonts w:ascii="Times New Roman" w:hAnsi="Times New Roman"/>
          <w:b/>
          <w:sz w:val="28"/>
        </w:rPr>
        <w:t xml:space="preserve">Scotiabank </w:t>
      </w:r>
    </w:p>
    <w:p>
      <w:pPr>
        <w:pStyle w:val="TextBody"/>
        <w:bidi w:val="0"/>
        <w:spacing w:before="0" w:after="0"/>
        <w:jc w:val="center"/>
        <w:rPr>
          <w:rFonts w:ascii="Times New Roman" w:hAnsi="Times New Roman"/>
          <w:b/>
          <w:sz w:val="28"/>
        </w:rPr>
      </w:pPr>
      <w:r>
        <w:rPr>
          <w:rFonts w:ascii="Times New Roman" w:hAnsi="Times New Roman"/>
          <w:b/>
          <w:sz w:val="28"/>
        </w:rPr>
        <w:t xml:space="preserve">SOCIETE GENERALE </w:t>
      </w:r>
    </w:p>
    <w:p>
      <w:pPr>
        <w:pStyle w:val="TextBody"/>
        <w:bidi w:val="0"/>
        <w:spacing w:before="0" w:after="0"/>
        <w:jc w:val="center"/>
        <w:rPr>
          <w:rFonts w:ascii="Times New Roman" w:hAnsi="Times New Roman"/>
          <w:b/>
          <w:sz w:val="28"/>
        </w:rPr>
      </w:pPr>
      <w:r>
        <w:rPr>
          <w:rFonts w:ascii="Times New Roman" w:hAnsi="Times New Roman"/>
          <w:b/>
          <w:sz w:val="28"/>
        </w:rPr>
        <w:t xml:space="preserve">UBS Investment Bank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Co-Managers </w:t>
      </w:r>
    </w:p>
    <w:p>
      <w:pPr>
        <w:pStyle w:val="TextBody"/>
        <w:bidi w:val="0"/>
        <w:spacing w:before="240" w:after="0"/>
        <w:jc w:val="center"/>
        <w:rPr>
          <w:rFonts w:ascii="Times New Roman" w:hAnsi="Times New Roman"/>
          <w:b/>
          <w:sz w:val="24"/>
        </w:rPr>
      </w:pPr>
      <w:r>
        <w:rPr>
          <w:rFonts w:ascii="Times New Roman" w:hAnsi="Times New Roman"/>
          <w:b/>
          <w:sz w:val="24"/>
        </w:rPr>
        <w:t xml:space="preserve">BNY Capital Markets </w:t>
      </w:r>
    </w:p>
    <w:p>
      <w:pPr>
        <w:pStyle w:val="TextBody"/>
        <w:bidi w:val="0"/>
        <w:spacing w:before="0" w:after="0"/>
        <w:jc w:val="center"/>
        <w:rPr>
          <w:rFonts w:ascii="Times New Roman" w:hAnsi="Times New Roman"/>
          <w:b/>
          <w:sz w:val="24"/>
        </w:rPr>
      </w:pPr>
      <w:r>
        <w:rPr>
          <w:rFonts w:ascii="Times New Roman" w:hAnsi="Times New Roman"/>
          <w:b/>
          <w:sz w:val="24"/>
        </w:rPr>
        <w:t xml:space="preserve">ING </w:t>
      </w:r>
    </w:p>
    <w:p>
      <w:pPr>
        <w:pStyle w:val="TextBody"/>
        <w:bidi w:val="0"/>
        <w:spacing w:before="0" w:after="0"/>
        <w:jc w:val="center"/>
        <w:rPr>
          <w:rFonts w:ascii="Times New Roman" w:hAnsi="Times New Roman"/>
          <w:b/>
          <w:sz w:val="24"/>
        </w:rPr>
      </w:pPr>
      <w:r>
        <w:rPr>
          <w:rFonts w:ascii="Times New Roman" w:hAnsi="Times New Roman"/>
          <w:b/>
          <w:sz w:val="24"/>
        </w:rPr>
        <w:t xml:space="preserve">Santander </w:t>
      </w:r>
    </w:p>
    <w:p>
      <w:pPr>
        <w:pStyle w:val="TextBody"/>
        <w:bidi w:val="0"/>
        <w:spacing w:before="0" w:after="0"/>
        <w:jc w:val="center"/>
        <w:rPr>
          <w:rFonts w:ascii="Times New Roman" w:hAnsi="Times New Roman"/>
          <w:b/>
          <w:sz w:val="24"/>
        </w:rPr>
      </w:pPr>
      <w:r>
        <w:rPr>
          <w:rFonts w:ascii="Times New Roman" w:hAnsi="Times New Roman"/>
          <w:b/>
          <w:sz w:val="24"/>
        </w:rPr>
        <w:t xml:space="preserve">SMBC Nikko </w:t>
      </w:r>
    </w:p>
    <w:p>
      <w:pPr>
        <w:pStyle w:val="TextBody"/>
        <w:bidi w:val="0"/>
        <w:spacing w:before="0" w:after="0"/>
        <w:jc w:val="center"/>
        <w:rPr>
          <w:rFonts w:ascii="Times New Roman" w:hAnsi="Times New Roman"/>
          <w:b/>
          <w:sz w:val="24"/>
        </w:rPr>
      </w:pPr>
      <w:r>
        <w:rPr>
          <w:rFonts w:ascii="Times New Roman" w:hAnsi="Times New Roman"/>
          <w:b/>
          <w:sz w:val="24"/>
        </w:rPr>
        <w:t xml:space="preserve">Standard Chartered Bank </w:t>
      </w:r>
    </w:p>
    <w:p>
      <w:pPr>
        <w:pStyle w:val="TextBody"/>
        <w:bidi w:val="0"/>
        <w:spacing w:before="0" w:after="0"/>
        <w:jc w:val="center"/>
        <w:rPr>
          <w:rFonts w:ascii="Times New Roman" w:hAnsi="Times New Roman"/>
          <w:b/>
          <w:sz w:val="24"/>
        </w:rPr>
      </w:pPr>
      <w:r>
        <w:rPr>
          <w:rFonts w:ascii="Times New Roman" w:hAnsi="Times New Roman"/>
          <w:b/>
          <w:sz w:val="24"/>
        </w:rPr>
        <w:t xml:space="preserve">Truist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Co-Syndicate Managers </w:t>
      </w:r>
    </w:p>
    <w:p>
      <w:pPr>
        <w:pStyle w:val="TextBody"/>
        <w:bidi w:val="0"/>
        <w:spacing w:before="240" w:after="0"/>
        <w:jc w:val="center"/>
        <w:rPr>
          <w:rFonts w:ascii="Times New Roman" w:hAnsi="Times New Roman"/>
          <w:b/>
          <w:sz w:val="20"/>
        </w:rPr>
      </w:pPr>
      <w:r>
        <w:rPr>
          <w:rFonts w:ascii="Times New Roman" w:hAnsi="Times New Roman"/>
          <w:b/>
          <w:sz w:val="20"/>
        </w:rPr>
        <w:t xml:space="preserve">Blaylock Van, LLC </w:t>
      </w:r>
    </w:p>
    <w:p>
      <w:pPr>
        <w:pStyle w:val="TextBody"/>
        <w:bidi w:val="0"/>
        <w:spacing w:before="0" w:after="0"/>
        <w:jc w:val="center"/>
        <w:rPr>
          <w:rFonts w:ascii="Times New Roman" w:hAnsi="Times New Roman"/>
          <w:b/>
          <w:sz w:val="20"/>
        </w:rPr>
      </w:pPr>
      <w:r>
        <w:rPr>
          <w:rFonts w:ascii="Times New Roman" w:hAnsi="Times New Roman"/>
          <w:b/>
          <w:sz w:val="20"/>
        </w:rPr>
        <w:t xml:space="preserve">Ramirez &amp; Co., Inc.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8" w:name="d207421dexfilingfees.htm"/>
      <w:bookmarkStart w:id="39" w:name="ksd207421dexfilingfees"/>
      <w:bookmarkStart w:id="40" w:name="d207421dexfilingfees.htm"/>
      <w:bookmarkStart w:id="41" w:name="ksd207421dexfilingfees"/>
      <w:bookmarkEnd w:id="40"/>
      <w:bookmarkEnd w:id="41"/>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Dell International L.L.C.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04" w:type="dxa"/>
        <w:jc w:val="left"/>
        <w:tblInd w:w="0" w:type="dxa"/>
        <w:tblLayout w:type="fixed"/>
        <w:tblCellMar>
          <w:top w:w="28" w:type="dxa"/>
          <w:left w:w="28" w:type="dxa"/>
          <w:bottom w:w="28" w:type="dxa"/>
          <w:right w:w="28" w:type="dxa"/>
        </w:tblCellMar>
      </w:tblPr>
      <w:tblGrid>
        <w:gridCol w:w="1126"/>
        <w:gridCol w:w="226"/>
        <w:gridCol w:w="946"/>
        <w:gridCol w:w="946"/>
        <w:gridCol w:w="1276"/>
        <w:gridCol w:w="14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5.100% Senior Notes Due 2029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1,250,000,000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$ 1,249,412,500.00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$ 172,543.87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5.400% Senior Notes Due 2031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1,250,000,000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$ 1,247,950,000.00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$ 172,341.90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5.600% Senior Notes Due 2033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1,500,000,000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$ 1,492,125,000.00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$ 206,062.47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5.900% Senior Notes Due 2037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$ 996,940,000.00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$ 137,677.42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42" w:name="MaxAggtOfferingPrice"/>
            <w:bookmarkEnd w:id="42"/>
            <w:r>
              <w:rPr/>
              <w:t xml:space="preserve">$ 4,986,427,500.00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3" w:name="TotalFeeAmt"/>
            <w:bookmarkEnd w:id="43"/>
            <w:r>
              <w:rPr/>
              <w:t xml:space="preserve">$ 688,625.66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4" w:name="TotalPreviouslyPaidAmt"/>
            <w:bookmarkEnd w:id="4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5" w:name="TotalOffsetAmt"/>
            <w:bookmarkEnd w:id="4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6" w:name="NetFeeAmt"/>
            <w:bookmarkEnd w:id="46"/>
            <w:r>
              <w:rPr/>
              <w:t xml:space="preserve">$ 688,625.66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4"/>
        <w:gridCol w:w="8705"/>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Calculated in accordance with Rule 457(r) under the Securities Act of 1933, as amended (the "Securities Act"). Payment of the registration fee at the time of filing of the registrant's registration statement on Form S-3 (File No. 333-296691) filed with the Securities and Exchange Commission on June 11, 2026 was deferred pursuant to Rules 456(b) and 457(r) of the Securities Act, and is paid herewith. This filing fee table shall be deemed to update the "Calculation of Filing Fee" table in such registration statement.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9" w:type="dxa"/>
            <w:gridSpan w:val="2"/>
            <w:tcBorders/>
            <w:vAlign w:val="center"/>
          </w:tcPr>
          <w:p>
            <w:pPr>
              <w:pStyle w:val="TableContents"/>
              <w:bidi w:val="0"/>
              <w:spacing w:before="0" w:after="283"/>
              <w:jc w:val="left"/>
              <w:rPr/>
            </w:pPr>
            <w:r>
              <w:rPr/>
              <w:t xml:space="preserve">Calculated in accordance with Rule 457(r) under the Securities Act. Payment of the registration fee at the time of filing of the registrant's registration statement on Form S-3 (File No. 333-296691) filed with the Securities and Exchange Commission on June 11, 2026 was deferred pursuant to Rules 456(b) and 457(r) of the Securities Act, and is paid herewith. This filing fee table shall be deemed to update the "Calculation of Filing Fee" table in such registration statement.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9" w:type="dxa"/>
            <w:gridSpan w:val="2"/>
            <w:tcBorders/>
            <w:vAlign w:val="center"/>
          </w:tcPr>
          <w:p>
            <w:pPr>
              <w:pStyle w:val="TableContents"/>
              <w:bidi w:val="0"/>
              <w:spacing w:before="0" w:after="283"/>
              <w:jc w:val="left"/>
              <w:rPr/>
            </w:pPr>
            <w:r>
              <w:rPr/>
              <w:t xml:space="preserve">Calculated in accordance with Rule 457(r) under the Securities Act. Payment of the registration fee at the time of filing of the registrant's registration statement on Form S-3 (File No. 333-296691) filed with the Securities and Exchange Commission on June 11, 2026 was deferred pursuant to Rules 456(b) and 457(r) of the Securities Act, and is paid herewith. This filing fee table shall be deemed to update the "Calculation of Filing Fee" table in such registration statement.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99" w:type="dxa"/>
            <w:gridSpan w:val="2"/>
            <w:tcBorders/>
            <w:vAlign w:val="center"/>
          </w:tcPr>
          <w:p>
            <w:pPr>
              <w:pStyle w:val="TableContents"/>
              <w:bidi w:val="0"/>
              <w:spacing w:before="0" w:after="283"/>
              <w:jc w:val="left"/>
              <w:rPr/>
            </w:pPr>
            <w:r>
              <w:rPr/>
              <w:t xml:space="preserve">Calculated in accordance with Rule 457(r) under the Securities Act. Payment of the registration fee at the time of filing of the registrant's registration statement on Form S-3 (File No. 333-296691) filed with the Securities and Exchange Commission on June 11, 2026 was deferred pursuant to Rules 456(b) and 457(r) of the Securities Act, and is paid herewith. This filing fee table shall be deemed to update the "Calculation of Filing Fee" table in such registration statement.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$4,986,427,500.00.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571996/000157199626000008/dell-20260130.htm" TargetMode="External"/><Relationship Id="rId4" Type="http://schemas.openxmlformats.org/officeDocument/2006/relationships/hyperlink" Target="http://www.sec.gov/Archives/edgar/data/../../../ix?doc=/Archives/edgar/data/0001571996/000157199626000030/dell-20260501.htm" TargetMode="External"/><Relationship Id="rId5" Type="http://schemas.openxmlformats.org/officeDocument/2006/relationships/hyperlink" Target="http://www.sec.gov/Archives/edgar/data/../../../ix?doc=/Archives/edgar/data/0001571996/000157199626000046/dell-20260731.htm" TargetMode="External"/><Relationship Id="rId6" Type="http://schemas.openxmlformats.org/officeDocument/2006/relationships/hyperlink" Target="http://www.sec.gov/Archives/edgar/data/../../../ix?doc=/Archives/edgar/data/0001571996/000119312526226734/d132444ddef14a.htm" TargetMode="External"/><Relationship Id="rId7" Type="http://schemas.openxmlformats.org/officeDocument/2006/relationships/hyperlink" Target="http://www.sec.gov/Archives/edgar/data/../../../ix?doc=/Archives/edgar/data/0001571996/000157199626000008/dell-20260130.htm" TargetMode="External"/><Relationship Id="rId8" Type="http://schemas.openxmlformats.org/officeDocument/2006/relationships/hyperlink" Target="http://www.sec.gov/Archives/edgar/data/../../../ix?doc=/Archives/edgar/data/0001571996/000157199626000013/dell-20260415.htm" TargetMode="External"/><Relationship Id="rId9" Type="http://schemas.openxmlformats.org/officeDocument/2006/relationships/hyperlink" Target="http://www.sec.gov/Archives/edgar/data/../../../ix?doc=/Archives/edgar/data/0001571996/000119312526265877/d98058d8k.htm" TargetMode="External"/><Relationship Id="rId10" Type="http://schemas.openxmlformats.org/officeDocument/2006/relationships/hyperlink" Target="http://www.sec.gov/Archives/edgar/data/../../../ix?doc=/Archives/edgar/data/0001571996/000119312526269594/d131151d8k.htm" TargetMode="External"/><Relationship Id="rId11" Type="http://schemas.openxmlformats.org/officeDocument/2006/relationships/hyperlink" Target="http://www.sec.gov/Archives/edgar/data/../../../ix?doc=/Archives/edgar/data/0001571996/000119312526272720/d20600d8k.htm" TargetMode="External"/><Relationship Id="rId12" Type="http://schemas.openxmlformats.org/officeDocument/2006/relationships/hyperlink" Target="http://www.sec.gov/Archives/edgar/data/../../../ix?doc=/Archives/edgar/data/0001571996/000157199626000032/dell-20260611.htm" TargetMode="External"/><Relationship Id="rId13" Type="http://schemas.openxmlformats.org/officeDocument/2006/relationships/hyperlink" Target="http://www.sec.gov/Archives/edgar/data/../../../ix?doc=/Archives/edgar/data/0001571996/000157199626000036/dell-20260625.htm" TargetMode="External"/><Relationship Id="rId14" Type="http://schemas.openxmlformats.org/officeDocument/2006/relationships/hyperlink" Target="http://www.sec.gov/Archives/edgar/data/../../../ix?doc=/Archives/edgar/data/0001571996/000119312526296224/d32716d8k.htm" TargetMode="External"/><Relationship Id="rId15" Type="http://schemas.openxmlformats.org/officeDocument/2006/relationships/image" Target="media/image2.jpeg"/><Relationship Id="rId16" Type="http://schemas.openxmlformats.org/officeDocument/2006/relationships/hyperlink" Target="http://www.sec.gov/Archives/edgar/data/../../../ix?doc=/Archives/edgar/data/1571996/000157199626000008/dell-20260130.htm" TargetMode="External"/><Relationship Id="rId17" Type="http://schemas.openxmlformats.org/officeDocument/2006/relationships/hyperlink" Target="http://www.sec.gov/Archives/edgar/data/../../../ix?doc=/Archives/edgar/data/1571996/000119312526226734/d132444ddef14a.htm" TargetMode="External"/><Relationship Id="rId18" Type="http://schemas.openxmlformats.org/officeDocument/2006/relationships/hyperlink" Target="http://www.sec.gov/Archives/edgar/data/../../../ix?doc=/Archives/edgar/data/1571996/000157199626000030/dell-20260501.htm" TargetMode="External"/><Relationship Id="rId19" Type="http://schemas.openxmlformats.org/officeDocument/2006/relationships/hyperlink" Target="http://www.sec.gov/Archives/edgar/data/../../../ix?doc=/Archives/edgar/data/1571996/000157199626000013/dell-20260415.htm" TargetMode="External"/><Relationship Id="rId20" Type="http://schemas.openxmlformats.org/officeDocument/2006/relationships/hyperlink" Target="http://www.sec.gov/Archives/edgar/data/../../../ix?doc=/Archives/edgar/data/1571996/000119312526265877/d98058d8k.htm" TargetMode="External"/><Relationship Id="rId21" Type="http://schemas.openxmlformats.org/officeDocument/2006/relationships/image" Target="media/image3.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43400</Words>
  <Characters>228712</Characters>
  <CharactersWithSpaces>272924</CharactersWithSpaces>
  <Paragraphs>3444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