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51,943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66,844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420.21</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64,164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420.99</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58,085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421.96</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55,249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422.96</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53,677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424.05</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51,674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425.11</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49,180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427.19</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48,407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428.2</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46,282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429.16</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430.23</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42,148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431.15</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39,042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432.29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36,063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w:t>
            </w:r>
            <w:r>
              <w:rPr>
                <w:rFonts w:ascii="Times;serif" w:hAnsi="Times;serif"/>
                <w:color w:val="008000"/>
                <w:position w:val="7"/>
                <w:sz w:val="16"/>
                <w:sz w:val="20"/>
                <w:shd w:fill="FFFFFF" w:val="clear"/>
              </w:rPr>
              <w:t>(23)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434.18</w:t>
            </w:r>
            <w:r>
              <w:rPr>
                <w:rFonts w:ascii="Times;serif" w:hAnsi="Times;serif"/>
                <w:color w:val="008000"/>
                <w:position w:val="7"/>
                <w:sz w:val="16"/>
                <w:sz w:val="20"/>
                <w:shd w:fill="FFFFFF" w:val="clear"/>
              </w:rPr>
              <w:t>(24)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32,729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435.23</w:t>
            </w:r>
            <w:r>
              <w:rPr>
                <w:rFonts w:ascii="Times;serif" w:hAnsi="Times;serif"/>
                <w:color w:val="008000"/>
                <w:position w:val="7"/>
                <w:sz w:val="16"/>
                <w:sz w:val="20"/>
                <w:shd w:fill="FFFFFF" w:val="clear"/>
              </w:rPr>
              <w:t>(25)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436.33</w:t>
            </w:r>
            <w:r>
              <w:rPr>
                <w:rFonts w:ascii="Times;serif" w:hAnsi="Times;serif"/>
                <w:color w:val="008000"/>
                <w:position w:val="7"/>
                <w:sz w:val="16"/>
                <w:sz w:val="20"/>
                <w:shd w:fill="FFFFFF" w:val="clear"/>
              </w:rPr>
              <w:t>(26)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437.13</w:t>
            </w:r>
            <w:r>
              <w:rPr>
                <w:rFonts w:ascii="Times;serif" w:hAnsi="Times;serif"/>
                <w:color w:val="008000"/>
                <w:position w:val="7"/>
                <w:sz w:val="16"/>
                <w:sz w:val="20"/>
                <w:shd w:fill="FFFFFF" w:val="clear"/>
              </w:rPr>
              <w:t>(27)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29,925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rFonts w:ascii="Times;serif" w:hAnsi="Times;serif"/>
                <w:color w:val="008000"/>
                <w:position w:val="7"/>
                <w:sz w:val="16"/>
                <w:sz w:val="20"/>
                <w:shd w:fill="FFFFFF" w:val="clear"/>
              </w:rPr>
              <w:t>(28)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106,743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(29)</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51,943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9,359,872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34,504,939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34,504,939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(30)</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8,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V DE (AIV), L.P. The general partner of Silver Lake Partners V DE (AIV),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$419.5400 to $420.5300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$420.5400 to $421.5100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$421.5400 to $422.5302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$422.5400 to $423.5200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$423.5679 to $424.5340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$424.5904 to $425.5890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$425.5900 to $426.5840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$426.6523 to $427.6200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$427.7000 to $428.6900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$428.7000 to $429.6900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$429.7000 to $430.6700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$430.7000 to $431.6900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$431.7167 to $432.7000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$432.7133 to $433.6700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$433.7300 to $434.7268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$434.7400 to $435.7349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$435.7604 to $436.7300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at prices ranging from $436.7978 to $437.5863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at prices ranging from $437.8600 to $438.2800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Following the transactions described in footnote (1), SL SPV-2, L.P. directly holds 60,551 shares of Class C Common Stock, Silver Lake Partners IV, L.P. directly holds 46,192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Following the transactions described in footnote (1), SL SPV-2, L.P. directly holds 16,844,290 shares of Class B Common Stock, Silver Lake Partners IV, L.P. directly holds 17,291,507 shares of Class B Common Stock, Silver Lake Technology Investors IV, L.P. directly holds 254,415 shares of Class B Common Stock and Silver Lake Technology Investors V, L.P. directly holds 114,727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general partner of Silver Lake Partners V DE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9"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9"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3299</Words>
  <Characters>16801</Characters>
  <CharactersWithSpaces>19779</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