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93,479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123,646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420.21</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119,076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420.99</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421.96</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103,876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422.96</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101,195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424.05</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97,781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425.11</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94,770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426.14</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93,528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427.19</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92,210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428.2</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88,587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429.16</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85,109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430.23</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431.15</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76,241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432.29</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71,162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433.2</w:t>
            </w:r>
            <w:r>
              <w:rPr>
                <w:rFonts w:ascii="Times;serif" w:hAnsi="Times;serif"/>
                <w:color w:val="008000"/>
                <w:position w:val="7"/>
                <w:sz w:val="16"/>
                <w:sz w:val="20"/>
                <w:shd w:fill="FFFFFF" w:val="clear"/>
              </w:rPr>
              <w:t>(23)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67,153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434.18</w:t>
            </w:r>
            <w:r>
              <w:rPr>
                <w:rFonts w:ascii="Times;serif" w:hAnsi="Times;serif"/>
                <w:color w:val="008000"/>
                <w:position w:val="7"/>
                <w:sz w:val="16"/>
                <w:sz w:val="20"/>
                <w:shd w:fill="FFFFFF" w:val="clear"/>
              </w:rPr>
              <w:t>(24)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65,477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435.23</w:t>
            </w:r>
            <w:r>
              <w:rPr>
                <w:rFonts w:ascii="Times;serif" w:hAnsi="Times;serif"/>
                <w:color w:val="008000"/>
                <w:position w:val="7"/>
                <w:sz w:val="16"/>
                <w:sz w:val="20"/>
                <w:shd w:fill="FFFFFF" w:val="clear"/>
              </w:rPr>
              <w:t>(25)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64,032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436.33</w:t>
            </w:r>
            <w:r>
              <w:rPr>
                <w:rFonts w:ascii="Times;serif" w:hAnsi="Times;serif"/>
                <w:color w:val="008000"/>
                <w:position w:val="7"/>
                <w:sz w:val="16"/>
                <w:sz w:val="20"/>
                <w:shd w:fill="FFFFFF" w:val="clear"/>
              </w:rPr>
              <w:t>(26)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62,104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437.13</w:t>
            </w:r>
            <w:r>
              <w:rPr>
                <w:rFonts w:ascii="Times;serif" w:hAnsi="Times;serif"/>
                <w:color w:val="008000"/>
                <w:position w:val="7"/>
                <w:sz w:val="16"/>
                <w:sz w:val="20"/>
                <w:shd w:fill="FFFFFF" w:val="clear"/>
              </w:rPr>
              <w:t>(27)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60,695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w:t>
            </w:r>
            <w:r>
              <w:rPr>
                <w:rFonts w:ascii="Times;serif" w:hAnsi="Times;serif"/>
                <w:color w:val="008000"/>
                <w:position w:val="7"/>
                <w:sz w:val="16"/>
                <w:sz w:val="20"/>
                <w:shd w:fill="FFFFFF" w:val="clear"/>
              </w:rPr>
              <w:t>(28)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60,551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76,032</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(29)</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93,479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16,844,290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SL SPV-2,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27,020,521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27,020,521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(30)</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SLTA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SPV-2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8,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SL SPV-2, L.P. The general partner of SL SPV-2, L.P. is SLTA SPV-2, L.P. and the general partner of SLTA SPV-2, L.P. is SLTA SPV-2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SPV-2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$419.5400 to $420.5300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$420.5400 to $421.5100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$421.5400 to $422.5302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$422.5400 to $423.5200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$423.5679 to $424.5340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$424.5904 to $425.5890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$425.5900 to $426.5840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$426.6523 to $427.6200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$427.7000 to $428.6900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$428.7000 to $429.6900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$429.7000 to $430.6700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$430.7000 to $431.6900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$431.7167 to $432.7000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$432.7133 to $433.6700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$433.7300 to $434.7268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$434.7400 to $435.7349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$435.7604 to $436.7300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price reported in Column 4 is a weighted average price. These shares were sold in multiple transactions at prices ranging from $436.7978 to $437.5863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price reported in Column 4 is a weighted average price. These shares were sold in multiple transactions at prices ranging from $437.8600 to $438.2800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Following the transactions described in footnote (1), Silver Lake Partners IV, L.P. directly holds 46,192 shares of Class C Common Stock, Silver Lake Partners V DE (AIV), L.P. directly holds 29,840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Following the transactions described in footnote (1), Silver Lake Partners IV, L.P. directly holds 17,291,507 shares of Class B Common Stock, Silver Lake Partners V DE (AIV), L.P. directly holds 9,359,872 shares of Class B Common Stock, Silver Lake Technology Investors IV, L.P. directly holds 254,415 shares of Class B Common Stock and Silver Lake Technology Investors V, L.P. directly holds 114,727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 general partner of SL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11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67114" TargetMode="External"/><Relationship Id="rId10" Type="http://schemas.openxmlformats.org/officeDocument/2006/relationships/hyperlink" Target="http://www.sec.gov/cgi-bin/browse-edgar?action=getcompany&amp;CIK=0001767115" TargetMode="External"/><Relationship Id="rId11" Type="http://schemas.openxmlformats.org/officeDocument/2006/relationships/hyperlink" Target="http://www.sec.gov/cgi-bin/browse-edgar?action=getcompany&amp;CIK=0001767116"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3188</Words>
  <Characters>16278</Characters>
  <CharactersWithSpaces>19145</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