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78682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0"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DELL</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29, 2023, Dell Technologies Inc. (the “Company”) issued a press release announcing the early results for the previously announced tender offers (the “Tender Offers”) by Dell Inc., its wholly-owned subsidiary (“Dell”). Under the terms of the Tender Offers, Dell will purchase for cash up to $1.0 billion maximum aggregate principal amount (the “Aggregate Tender Cap”) of 6.020% Senior Notes due 2026 (the “June 2026 Notes”), 4.900% Senior Notes due 2026 (the “October 2026 Notes”), 4.000% Senior Notes due 2024 (the “2024 Notes”), 5.850% Senior Notes due 2025 (the “2025 Notes”) and 6.100% Senior Notes due 2027 (the “2027 Notes” and, together with the June 2026 Notes, the October 2026 Notes, the 2024 Notes and the 2025 Notes, the “Notes”), each co-issued by Dell International L.L.C. and EMC Corporation, which are wholly-owned subsidiaries of Dell, subject to market conditions and other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 and incorporated herein by reference.</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Subsequently, on June 30, 2023, the Company issued a press release announcing the pricing terms for the Tender Offers by Dell. Dell expects to accept for purchase $999,994,000 in aggregate principal amount of the June 2026 Notes that were validly tendered and not validly withdrawn at or before the early tender deadline from the registered holders thereof. As the aggregate principal amount of all June 2026 Notes that were validly tendered and not validly withdrawn by the early tender deadline exceeds the Aggregate Tender Cap, Dell does not expect to accept for purchase any tenders of the other series of securities subject to the Tender Offers or any securities that are tendered after the early tender deadline.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99.2 and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documents are herewith filed as exhibits to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8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8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62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8"/>
              </w:rPr>
              <w:t>Press Release dated June 29, 2023, announcing the early results for the Tender Offers.</w:t>
            </w:r>
          </w:p>
        </w:tc>
        <w:tc>
          <w:tcPr>
            <w:tcW w:w="18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6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Press Release dated June 30, 2023, announcing the pricing terms for the Tender Offers.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8060" w:type="dxa"/>
            <w:vAlign w:val="bottom"/>
            <w:gridSpan w:val="4"/>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20"/>
          </w:cols>
          <w:pgMar w:left="440" w:top="513" w:right="5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30, 2023</w:t>
      </w:r>
      <w:r>
        <w:rPr>
          <w:sz w:val="20"/>
          <w:szCs w:val="20"/>
          <w:color w:val="auto"/>
        </w:rPr>
        <w:tab/>
      </w:r>
      <w:r>
        <w:rPr>
          <w:rFonts w:ascii="Arial" w:cs="Arial" w:eastAsia="Arial" w:hAnsi="Arial"/>
          <w:sz w:val="15"/>
          <w:szCs w:val="15"/>
          <w:b w:val="1"/>
          <w:bCs w:val="1"/>
          <w:color w:val="auto"/>
        </w:rPr>
        <w:t>Dell Technologies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Tyler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Tyler W. Johnson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Treasurer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(Duly Authorized Officer)</w:t>
      </w:r>
    </w:p>
    <w:p>
      <w:pPr>
        <w:sectPr>
          <w:pgSz w:w="11900" w:h="16838" w:orient="portrait"/>
          <w:cols w:equalWidth="0" w:num="1">
            <w:col w:w="10260"/>
          </w:cols>
          <w:pgMar w:left="440" w:top="513" w:right="1199" w:bottom="1440" w:gutter="0" w:footer="0" w:header="0"/>
        </w:sectPr>
      </w:pPr>
    </w:p>
    <w:bookmarkStart w:id="3" w:name="page4"/>
    <w:bookmarkEnd w:id="3"/>
    <w:p>
      <w:pPr>
        <w:ind w:left="10084"/>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273431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343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Dell Technologies Announces Early Results for Cash Tender Offers for Certain Outstanding Debt Securities</w:t>
      </w:r>
    </w:p>
    <w:p>
      <w:pPr>
        <w:spacing w:after="0" w:line="225"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b w:val="1"/>
          <w:bCs w:val="1"/>
          <w:color w:val="auto"/>
        </w:rPr>
        <w:t xml:space="preserve">ROUND ROCK, TX, June 29, 2023 </w:t>
      </w:r>
      <w:r>
        <w:rPr>
          <w:rFonts w:ascii="Arial" w:cs="Arial" w:eastAsia="Arial" w:hAnsi="Arial"/>
          <w:sz w:val="17"/>
          <w:szCs w:val="17"/>
          <w:color w:val="auto"/>
        </w:rPr>
        <w:t>– Dell Technologies Inc. (“Dell Technologies”) (NYSE:DELL) today announced that,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announced cash tender offers (collectively, the “Offers”) by Dell Inc., its wholly-owned subsidiary (“Dell”), for up to $1.0 billion aggregate principal amount (the “Aggregate Tender Cap”) of the debt securities listed in the table below (collectively, the “Securities” and each referred to as a “series” of Securities) from each registered holder of Securities (individually, a “Holder,” and collectively, the “Holders”), $2,089,943,000 in aggregate principal amount of the 6.020% Senior Notes due 2026 was validly tendered and not validly withdrawn at or prior to 5:00 p.m., New York City time, on June 29, 2023 (the “Early Tender Deadline”), in the aggregate amounts as shown in the table below. The Offers and order of priority (the “Acceptance Priority Levels”) set forth in the table below are as described in the Offer to Purchase dated June 15, 2023, as amended or supplemented (the “Offer to Purchase”). The determination of the Total Consideration (as defined in the Offer to Purchase) will occur at 10:00 a.m., New York City time, on June 30, 2023. The early settlement date is expected to occur on July 5, 2023.</w:t>
      </w:r>
    </w:p>
    <w:p>
      <w:pPr>
        <w:spacing w:after="0" w:line="178"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Although the Offers are scheduled to expire at 5:00 p.m., New York City time, on July 17, 2023, because the aggregate principal amount of all Securities validly tendered and not validly withdrawn by the Early Tender Deadline exceeds the Aggregate Tender Cap, Dell does not expect to accept for purchase any tenders of Securities after the Early Tender Deadline. Any Securities tendered after the Early Tender Deadline will be promptly credited to the account of the Holder of such Securities maintained at The Depository Trust Company and otherwise returned in accordance with the Offer to Purchase.</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terms and conditions of the Offers are described in the Offer to Purchase and remain unchanged except as amended hereby.</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following table sets forth certain information regarding the Securities and the Offers: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6"/>
              </w:rPr>
              <w:t>Acceptance</w:t>
            </w:r>
          </w:p>
        </w:tc>
        <w:tc>
          <w:tcPr>
            <w:tcW w:w="1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CUSIP</w:t>
            </w: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Tendered at the</w:t>
            </w:r>
          </w:p>
        </w:tc>
        <w:tc>
          <w:tcPr>
            <w:tcW w:w="0" w:type="dxa"/>
            <w:vAlign w:val="bottom"/>
          </w:tcPr>
          <w:p>
            <w:pPr>
              <w:spacing w:after="0"/>
              <w:rPr>
                <w:sz w:val="1"/>
                <w:szCs w:val="1"/>
                <w:color w:val="auto"/>
              </w:rPr>
            </w:pPr>
          </w:p>
        </w:tc>
      </w:tr>
      <w:tr>
        <w:trPr>
          <w:trHeight w:val="148"/>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Security</w:t>
            </w:r>
          </w:p>
        </w:tc>
        <w:tc>
          <w:tcPr>
            <w:tcW w:w="12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Issuer(s)</w:t>
            </w: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Priority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Prior to the</w:t>
            </w:r>
          </w:p>
        </w:tc>
        <w:tc>
          <w:tcPr>
            <w:tcW w:w="1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Early Tender</w:t>
            </w: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Numbers</w:t>
            </w:r>
          </w:p>
        </w:tc>
        <w:tc>
          <w:tcPr>
            <w:tcW w:w="2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Offers</w:t>
            </w: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Deadline</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1"/>
              </w:rPr>
              <w:t>6.020% Senior</w:t>
            </w:r>
          </w:p>
        </w:tc>
        <w:tc>
          <w:tcPr>
            <w:tcW w:w="250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auto"/>
              </w:rPr>
              <w:t>Notes due 2026</w:t>
            </w:r>
          </w:p>
        </w:tc>
        <w:tc>
          <w:tcPr>
            <w:tcW w:w="12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Dell International</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24703TAD8</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2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line="195" w:lineRule="exact"/>
              <w:rPr>
                <w:sz w:val="20"/>
                <w:szCs w:val="20"/>
                <w:color w:val="auto"/>
              </w:rPr>
            </w:pPr>
            <w:r>
              <w:rPr>
                <w:rFonts w:ascii="Arial" w:cs="Arial" w:eastAsia="Arial" w:hAnsi="Arial"/>
                <w:sz w:val="18"/>
                <w:szCs w:val="18"/>
                <w:color w:val="auto"/>
                <w:w w:val="88"/>
              </w:rPr>
              <w:t>4,500,000,000</w:t>
            </w:r>
          </w:p>
        </w:tc>
        <w:tc>
          <w:tcPr>
            <w:tcW w:w="1240" w:type="dxa"/>
            <w:vAlign w:val="bottom"/>
            <w:gridSpan w:val="2"/>
            <w:shd w:val="clear" w:color="auto" w:fill="CCEEFF"/>
          </w:tcPr>
          <w:p>
            <w:pPr>
              <w:jc w:val="center"/>
              <w:ind w:left="30"/>
              <w:spacing w:after="0" w:line="195" w:lineRule="exact"/>
              <w:rPr>
                <w:sz w:val="20"/>
                <w:szCs w:val="20"/>
                <w:color w:val="auto"/>
              </w:rPr>
            </w:pPr>
            <w:r>
              <w:rPr>
                <w:rFonts w:ascii="Arial" w:cs="Arial" w:eastAsia="Arial" w:hAnsi="Arial"/>
                <w:sz w:val="18"/>
                <w:szCs w:val="18"/>
                <w:color w:val="auto"/>
                <w:w w:val="89"/>
              </w:rPr>
              <w:t>$2,089,943,000</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L.L.C. and EMC</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144A:</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Corporation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25272KAK9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Reg 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U2526DAD1</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rPr>
              <w:t>4.900% Senior Notes due 2026</w:t>
            </w:r>
          </w:p>
        </w:tc>
        <w:tc>
          <w:tcPr>
            <w:tcW w:w="2500" w:type="dxa"/>
            <w:vAlign w:val="bottom"/>
            <w:gridSpan w:val="2"/>
          </w:tcPr>
          <w:p>
            <w:pPr>
              <w:jc w:val="center"/>
              <w:ind w:left="1130"/>
              <w:spacing w:after="0" w:line="201" w:lineRule="exact"/>
              <w:rPr>
                <w:sz w:val="20"/>
                <w:szCs w:val="20"/>
                <w:color w:val="auto"/>
              </w:rPr>
            </w:pPr>
            <w:r>
              <w:rPr>
                <w:rFonts w:ascii="Arial" w:cs="Arial" w:eastAsia="Arial" w:hAnsi="Arial"/>
                <w:sz w:val="18"/>
                <w:szCs w:val="18"/>
                <w:color w:val="auto"/>
                <w:w w:val="94"/>
              </w:rPr>
              <w:t>Dell International</w:t>
            </w:r>
          </w:p>
        </w:tc>
        <w:tc>
          <w:tcPr>
            <w:tcW w:w="2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2"/>
              </w:rPr>
              <w:t>24703TAE6</w:t>
            </w:r>
          </w:p>
        </w:tc>
        <w:tc>
          <w:tcPr>
            <w:tcW w:w="10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w:t>
            </w:r>
          </w:p>
        </w:tc>
        <w:tc>
          <w:tcPr>
            <w:tcW w:w="2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88"/>
              </w:rPr>
              <w:t>1,750,000,000</w:t>
            </w:r>
          </w:p>
        </w:tc>
        <w:tc>
          <w:tcPr>
            <w:tcW w:w="120" w:type="dxa"/>
            <w:vAlign w:val="bottom"/>
          </w:tcPr>
          <w:p>
            <w:pPr>
              <w:spacing w:after="0"/>
              <w:rPr>
                <w:sz w:val="17"/>
                <w:szCs w:val="17"/>
                <w:color w:val="auto"/>
              </w:rPr>
            </w:pPr>
          </w:p>
        </w:tc>
        <w:tc>
          <w:tcPr>
            <w:tcW w:w="1340" w:type="dxa"/>
            <w:vAlign w:val="bottom"/>
            <w:gridSpan w:val="2"/>
          </w:tcPr>
          <w:p>
            <w:pPr>
              <w:ind w:left="820"/>
              <w:spacing w:after="0" w:line="201" w:lineRule="exact"/>
              <w:rPr>
                <w:sz w:val="20"/>
                <w:szCs w:val="20"/>
                <w:color w:val="auto"/>
              </w:rPr>
            </w:pPr>
            <w:r>
              <w:rPr>
                <w:rFonts w:ascii="Arial" w:cs="Arial" w:eastAsia="Arial" w:hAnsi="Arial"/>
                <w:sz w:val="16"/>
                <w:szCs w:val="16"/>
                <w:color w:val="auto"/>
              </w:rPr>
              <w:t>N/A</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L.L.C. and EMC</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144A: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Corporation</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24703DAZ4</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Reg 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U24724AK9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4.000% Senior Notes due 2024</w:t>
            </w:r>
          </w:p>
        </w:tc>
        <w:tc>
          <w:tcPr>
            <w:tcW w:w="2500" w:type="dxa"/>
            <w:vAlign w:val="bottom"/>
            <w:gridSpan w:val="2"/>
            <w:shd w:val="clear" w:color="auto" w:fill="CCEEFF"/>
          </w:tcPr>
          <w:p>
            <w:pPr>
              <w:jc w:val="center"/>
              <w:ind w:left="1130"/>
              <w:spacing w:after="0" w:line="201" w:lineRule="exact"/>
              <w:rPr>
                <w:sz w:val="20"/>
                <w:szCs w:val="20"/>
                <w:color w:val="auto"/>
              </w:rPr>
            </w:pPr>
            <w:r>
              <w:rPr>
                <w:rFonts w:ascii="Arial" w:cs="Arial" w:eastAsia="Arial" w:hAnsi="Arial"/>
                <w:sz w:val="18"/>
                <w:szCs w:val="18"/>
                <w:color w:val="auto"/>
                <w:w w:val="94"/>
              </w:rPr>
              <w:t>Dell International</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24703TAB2</w:t>
            </w:r>
          </w:p>
        </w:tc>
        <w:tc>
          <w:tcPr>
            <w:tcW w:w="102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88"/>
              </w:rPr>
              <w:t>1,000,000,000</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820"/>
              <w:spacing w:after="0" w:line="201" w:lineRule="exact"/>
              <w:rPr>
                <w:sz w:val="20"/>
                <w:szCs w:val="20"/>
                <w:color w:val="auto"/>
              </w:rPr>
            </w:pPr>
            <w:r>
              <w:rPr>
                <w:rFonts w:ascii="Arial" w:cs="Arial" w:eastAsia="Arial" w:hAnsi="Arial"/>
                <w:sz w:val="23"/>
                <w:szCs w:val="23"/>
                <w:color w:val="auto"/>
                <w:vertAlign w:val="subscript"/>
              </w:rPr>
              <w:t>N/A</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L.L.C. and EMC</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144A:</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Corporation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24703DAY7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Reg 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9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U24724AJ2</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rPr>
              <w:t>5.850% Senior Notes due 2025</w:t>
            </w:r>
          </w:p>
        </w:tc>
        <w:tc>
          <w:tcPr>
            <w:tcW w:w="2500" w:type="dxa"/>
            <w:vAlign w:val="bottom"/>
            <w:gridSpan w:val="2"/>
          </w:tcPr>
          <w:p>
            <w:pPr>
              <w:jc w:val="center"/>
              <w:ind w:left="1130"/>
              <w:spacing w:after="0" w:line="201" w:lineRule="exact"/>
              <w:rPr>
                <w:sz w:val="20"/>
                <w:szCs w:val="20"/>
                <w:color w:val="auto"/>
              </w:rPr>
            </w:pPr>
            <w:r>
              <w:rPr>
                <w:rFonts w:ascii="Arial" w:cs="Arial" w:eastAsia="Arial" w:hAnsi="Arial"/>
                <w:sz w:val="18"/>
                <w:szCs w:val="18"/>
                <w:color w:val="auto"/>
                <w:w w:val="94"/>
              </w:rPr>
              <w:t>Dell International</w:t>
            </w:r>
          </w:p>
        </w:tc>
        <w:tc>
          <w:tcPr>
            <w:tcW w:w="2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1"/>
              </w:rPr>
              <w:t>24703TAC0</w:t>
            </w:r>
          </w:p>
        </w:tc>
        <w:tc>
          <w:tcPr>
            <w:tcW w:w="10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4</w:t>
            </w:r>
          </w:p>
        </w:tc>
        <w:tc>
          <w:tcPr>
            <w:tcW w:w="22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88"/>
              </w:rPr>
              <w:t>1,000,000,000</w:t>
            </w:r>
          </w:p>
        </w:tc>
        <w:tc>
          <w:tcPr>
            <w:tcW w:w="120" w:type="dxa"/>
            <w:vAlign w:val="bottom"/>
          </w:tcPr>
          <w:p>
            <w:pPr>
              <w:spacing w:after="0"/>
              <w:rPr>
                <w:sz w:val="17"/>
                <w:szCs w:val="17"/>
                <w:color w:val="auto"/>
              </w:rPr>
            </w:pPr>
          </w:p>
        </w:tc>
        <w:tc>
          <w:tcPr>
            <w:tcW w:w="1340" w:type="dxa"/>
            <w:vAlign w:val="bottom"/>
            <w:gridSpan w:val="2"/>
          </w:tcPr>
          <w:p>
            <w:pPr>
              <w:ind w:left="820"/>
              <w:spacing w:after="0" w:line="201" w:lineRule="exact"/>
              <w:rPr>
                <w:sz w:val="20"/>
                <w:szCs w:val="20"/>
                <w:color w:val="auto"/>
              </w:rPr>
            </w:pPr>
            <w:r>
              <w:rPr>
                <w:rFonts w:ascii="Arial" w:cs="Arial" w:eastAsia="Arial" w:hAnsi="Arial"/>
                <w:sz w:val="16"/>
                <w:szCs w:val="16"/>
                <w:color w:val="auto"/>
              </w:rPr>
              <w:t>N/A</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L.L.C. and EMC</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144A: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Corporation</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24703DBB6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Reg 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U24724AM5</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6.100% Senior Notes due 2027</w:t>
            </w:r>
          </w:p>
        </w:tc>
        <w:tc>
          <w:tcPr>
            <w:tcW w:w="250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4"/>
              </w:rPr>
              <w:t>Dell International</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24703TAF3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500,000,000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line="209" w:lineRule="exact"/>
              <w:rPr>
                <w:sz w:val="20"/>
                <w:szCs w:val="20"/>
                <w:color w:val="auto"/>
              </w:rPr>
            </w:pPr>
            <w:r>
              <w:rPr>
                <w:rFonts w:ascii="Arial" w:cs="Arial" w:eastAsia="Arial" w:hAnsi="Arial"/>
                <w:sz w:val="17"/>
                <w:szCs w:val="17"/>
                <w:color w:val="auto"/>
              </w:rPr>
              <w:t>N/A</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L.L.C. and EMC</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144A:</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Corporation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24703DBC4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Reg 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U24724AN3</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4" w:right="140" w:hanging="444"/>
        <w:spacing w:after="0" w:line="342" w:lineRule="auto"/>
        <w:tabs>
          <w:tab w:leader="none" w:pos="4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aggregate principal amount of all Securities validly tendered and not validly withdrawn by the Early Tender Deadline exceeds the Aggregate Tender Cap. Therefore, Dell does not expect to accept for purchase any tenders of Securities at Acceptance Priority Levels 2 through 5.</w:t>
      </w:r>
    </w:p>
    <w:p>
      <w:pPr>
        <w:sectPr>
          <w:pgSz w:w="11900" w:h="16838" w:orient="portrait"/>
          <w:cols w:equalWidth="0" w:num="1">
            <w:col w:w="11024"/>
          </w:cols>
          <w:pgMar w:left="436" w:top="121" w:right="43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Holders of Securities validly tendered and not validly withdrawn at or prior to the Early Tender Deadline and accepted for purchase by Dell will be eligible to receive the Total Consideration, which includes an early tender premium of $50.00 per $1,000 principal amount of Securities validly tendered and not validly withdrawn by such Holders. All payments for Securities purchased in connection with the Early Tender Deadline will also include accrued and unpaid interest on the principal amount of Securities purchased from the last interest payment date applicable to the relevant series of Securities up to, but not including, the early settlement date.</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accordance with the terms of the Offers, the withdrawal deadline was 5:00 p.m., New York City time, on June 29, 2023 (the “Withdrawal Deadline”). As a result, tendered Securities may not be withdrawn, except in certain limited circumstances where additional withdrawal rights are required by law (as determined by Dell).</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Dell reserves the absolute right, but is not obligated, subject to applicable law, to: (i) waive any and all conditions to the Offers; (ii) extend or terminate the Offers; (iii) increase, decrease or eliminate the Aggregate Tender Cap without extending the Early Tender Deadline or the Withdrawal Deadline; or (iv) otherwise amend the Offers in any respect.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Barclays Capital Inc., Citigroup Global Markets Inc. and J.P. Morgan Securities LLC are acting as the dealer managers for the Offers (together, the “Dealer Managers”). The information agent and tender agent for the Offers is Global Bondholder Services Corporation (the “Tender Agent”). Copies of the Offer to Purchase and related offer materials are available by contacting the Tender Agent by telephone at (855) 654-2015 (toll-free) or (212) 430– 3774 (banks and brokers), by email at contact@gbsc-usa.com. Questions regarding the Offers should be directed to the Liability Management Groups of Barclays Capital Inc. at +1 (800) 438-3242 (toll-free), Citigroup Global Markets Inc. at +1 (800) 558-3745 (toll-free) or J.P. Morgan Securities LLC, at +1 (866) 834-4666 (toll-free).</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press release is for informational purposes only and is not an offer to buy or the solicitation of an offer to sell with respect to any securities. The solicitation of offers to sell the Securities is only being made pursuant to the terms of the Offer to Purchase. The offer is not being made in any jurisdiction in which the making or acceptance thereof would not be in compliance with the securities, blue sky or other laws of such jurisdiction. None of Dell, its affiliates, and their respective board of directors, the Dealer Managers, the information and tender agent or the trustee for any series of Securities is making any recommendation as to whether or not holders should tender their Securities in connection with the Offers, and neither Dell nor any other person has authorized any person to make any such recommendation.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Contacts:</w:t>
            </w:r>
          </w:p>
        </w:tc>
        <w:tc>
          <w:tcPr>
            <w:tcW w:w="266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Investor Relations:</w:t>
            </w:r>
          </w:p>
        </w:tc>
      </w:tr>
      <w:tr>
        <w:trPr>
          <w:trHeight w:val="190"/>
        </w:trPr>
        <w:tc>
          <w:tcPr>
            <w:tcW w:w="3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investor_relations@dell.com</w:t>
            </w:r>
          </w:p>
        </w:tc>
      </w:tr>
      <w:tr>
        <w:trPr>
          <w:trHeight w:val="222"/>
        </w:trPr>
        <w:tc>
          <w:tcPr>
            <w:tcW w:w="30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0"/>
        </w:trPr>
        <w:tc>
          <w:tcPr>
            <w:tcW w:w="3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80" w:type="dxa"/>
            <w:vAlign w:val="bottom"/>
            <w:gridSpan w:val="2"/>
          </w:tcPr>
          <w:p>
            <w:pPr>
              <w:spacing w:after="0" w:line="190" w:lineRule="exact"/>
              <w:rPr>
                <w:sz w:val="20"/>
                <w:szCs w:val="20"/>
                <w:color w:val="auto"/>
              </w:rPr>
            </w:pPr>
            <w:r>
              <w:rPr>
                <w:rFonts w:ascii="Arial" w:cs="Arial" w:eastAsia="Arial" w:hAnsi="Arial"/>
                <w:sz w:val="18"/>
                <w:szCs w:val="18"/>
                <w:color w:val="auto"/>
                <w:w w:val="94"/>
              </w:rPr>
              <w:t>Media.Relations@Dell.com</w:t>
            </w:r>
          </w:p>
        </w:tc>
      </w:tr>
      <w:tr>
        <w:trPr>
          <w:trHeight w:val="385"/>
        </w:trPr>
        <w:tc>
          <w:tcPr>
            <w:tcW w:w="3060" w:type="dxa"/>
            <w:vAlign w:val="bottom"/>
          </w:tcPr>
          <w:p>
            <w:pPr>
              <w:spacing w:after="0"/>
              <w:rPr>
                <w:sz w:val="24"/>
                <w:szCs w:val="24"/>
                <w:color w:val="auto"/>
              </w:rPr>
            </w:pPr>
          </w:p>
        </w:tc>
        <w:tc>
          <w:tcPr>
            <w:tcW w:w="26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440" w:top="49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About Dell Technologies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Dell Technologies (NYSE:DELL) helps organizations and individuals build their digital future and transform how they work, live and play. The company provides customers with the industry’s broadest and most innovative technology and services portfolio for the data era.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Dell Technologies’ results or events in future periods could differ materially from those expressed or implied by these forward-looking statements because of risks, uncertainties, and other factors that include, but are not limited to, the following: adverse global economic conditions and instability in financial markets; competitive pressures; Dell Technologies’ reliance on third-party suppliers for products and components, including reliance on single-source or limited-source suppliers; Dell Technologies’ ability to achieve favorable pricing from its vendors; Dell Technologies’ ability to achieve the intended benefits of its continuing strategic relationship with VMware, Inc.; Dell Technologies’ execution of its strategy; Dell Technologies’ ability to manage solutions and products and services transitions in an effective manner; Dell Technologies’ ability to deliver high-quality products, software, and services; cyber attacks or other data security incidents; Dell Technologies’ ability to successfully execute on strategic initiatives including acquisitions, divestitures or cost savings measures;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material impairment of the value of goodwill or intangible assets; weak economic conditions and the effect of additional regulation on Dell Technologies’ financial services activities; counterparty default risks;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expectations relating to environmental, social and governance (ESG) considerations; compliance requirements of changing environmental and safety laws, human rights laws, or other laws; the effect of armed hostilities, terrorism, natural disasters, or public health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486" w:right="479" w:bottom="1440" w:gutter="0" w:footer="0" w:header="0"/>
        </w:sectPr>
      </w:pPr>
    </w:p>
    <w:bookmarkStart w:id="6" w:name="page7"/>
    <w:bookmarkEnd w:id="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issues; the effect of global climate change and legal, regulatory, or market measures to address climate change; Dell Technologies’ dependence on the services of Michael Dell and key employees; Dell Technologies’ level of indebtedness; and business and financial factors and legal restrictions affecting continuation of Dell Technologies’ quarterly cash dividend policy and dividend rate.</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February 3, 2023, quarterly reports on Form 10-Q, and current reports on Form 8-K. These filings are available for review through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490" w:right="4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73431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343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Dell Technologies Announces Pricing Terms for Cash Tender Offers for Certain Outstanding Debt Securities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ROUND ROCK, TX, June 30, 2023 </w:t>
      </w:r>
      <w:r>
        <w:rPr>
          <w:rFonts w:ascii="Arial" w:cs="Arial" w:eastAsia="Arial" w:hAnsi="Arial"/>
          <w:sz w:val="18"/>
          <w:szCs w:val="18"/>
          <w:color w:val="auto"/>
        </w:rPr>
        <w:t>– Dell Technologies Inc. (“Dell Technologies”) (NYSE:DELL) today announced the pricing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announced cash tender offers (collectively, the “Offers”) by Dell Inc., its wholly-owned subsidiary (“Dell”). Dell expects to accept for purchase $999,994,000 in aggregate principal amount of the 6.020% Senior Notes due 2026 that were validly tendered and not validly withdrawn at or before the Early Tender Deadline referenced below from the registered holders (collectively, the “Holders”) thereof. The Offers and order of priority (the “Acceptance Priority Levels”) set forth in the table below are as described in the Offer to Purchase dated June 15, 2023, as amended or supplemented (the “Offer to Purchase”).</w:t>
      </w:r>
    </w:p>
    <w:p>
      <w:pPr>
        <w:spacing w:after="0" w:line="19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“Total Consideration” for each series per $1,000 principal amount of the debt securities identified in the table below (collectively referred to as the “Securities” and each referred to as a “series” of Securities) validly tendered and accepted for purchase pursuant to the Offers was determined by reference to the applicable fixed spread over the yield to maturity based on the bid side price of the applicable U.S. Treasury Security, in each case as set forth in the table below, and is payable to Holders of the Securities who validly tendered and did not validly withdraw their Securities at or before 5:00 p.m., New York City time, on June 29, 2023 (the “Early Tender Deadline”) and whose Securities are accepted for purchase by Dell. The Reference Yields (as determined pursuant to the Offer to Purchase) listed in the table were determined at 10:00 a.m., New York City time, today, June 30, 2023, by the dealer managers identified below. The Total Consideration for each series of Securities includes an early tender premium of $50.00 per $1,000 principal amount of Securities validly tendered and not validly withdrawn by such Holders and accepted for purchase by Dell.</w:t>
      </w:r>
    </w:p>
    <w:p>
      <w:pPr>
        <w:sectPr>
          <w:pgSz w:w="11900" w:h="16838" w:orient="portrait"/>
          <w:cols w:equalWidth="0" w:num="1">
            <w:col w:w="11020"/>
          </w:cols>
          <w:pgMar w:left="440" w:top="121" w:right="439" w:bottom="1440" w:gutter="0" w:footer="0" w:header="0"/>
        </w:sectPr>
      </w:pPr>
    </w:p>
    <w:bookmarkStart w:id="8" w:name="page9"/>
    <w:bookmarkEnd w:id="8"/>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following table sets forth certain information regarding the Securities and the Offers:</w:t>
      </w:r>
    </w:p>
    <w:p>
      <w:pPr>
        <w:sectPr>
          <w:pgSz w:w="11900" w:h="16838" w:orient="portrait"/>
          <w:cols w:equalWidth="0" w:num="1">
            <w:col w:w="11024"/>
          </w:cols>
          <w:pgMar w:left="436"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Title of</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Issuer(s)</w:t>
            </w:r>
          </w:p>
        </w:tc>
        <w:tc>
          <w:tcPr>
            <w:tcW w:w="0" w:type="dxa"/>
            <w:vAlign w:val="bottom"/>
          </w:tcPr>
          <w:p>
            <w:pPr>
              <w:spacing w:after="0"/>
              <w:rPr>
                <w:sz w:val="1"/>
                <w:szCs w:val="1"/>
                <w:color w:val="auto"/>
              </w:rPr>
            </w:pPr>
          </w:p>
        </w:tc>
      </w:tr>
      <w:tr>
        <w:trPr>
          <w:trHeight w:val="17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Security</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8"/>
              </w:rPr>
              <w:t>6.020%</w:t>
            </w:r>
          </w:p>
        </w:tc>
        <w:tc>
          <w:tcPr>
            <w:tcW w:w="1020" w:type="dxa"/>
            <w:vAlign w:val="bottom"/>
          </w:tcPr>
          <w:p>
            <w:pPr>
              <w:ind w:left="100"/>
              <w:spacing w:after="0" w:line="195" w:lineRule="exact"/>
              <w:rPr>
                <w:sz w:val="20"/>
                <w:szCs w:val="20"/>
                <w:color w:val="auto"/>
              </w:rPr>
            </w:pPr>
            <w:r>
              <w:rPr>
                <w:rFonts w:ascii="Arial" w:cs="Arial" w:eastAsia="Arial" w:hAnsi="Arial"/>
                <w:sz w:val="18"/>
                <w:szCs w:val="18"/>
                <w:color w:val="auto"/>
              </w:rPr>
              <w:t>Senior</w:t>
            </w: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Dell</w:t>
            </w:r>
          </w:p>
        </w:tc>
        <w:tc>
          <w:tcPr>
            <w:tcW w:w="0" w:type="dxa"/>
            <w:vAlign w:val="bottom"/>
          </w:tcPr>
          <w:p>
            <w:pPr>
              <w:spacing w:after="0"/>
              <w:rPr>
                <w:sz w:val="1"/>
                <w:szCs w:val="1"/>
                <w:color w:val="auto"/>
              </w:rPr>
            </w:pPr>
          </w:p>
        </w:tc>
      </w:tr>
      <w:tr>
        <w:trPr>
          <w:trHeight w:val="229"/>
        </w:trPr>
        <w:tc>
          <w:tcPr>
            <w:tcW w:w="1520" w:type="dxa"/>
            <w:vAlign w:val="bottom"/>
            <w:gridSpan w:val="2"/>
          </w:tcPr>
          <w:p>
            <w:pPr>
              <w:ind w:left="180"/>
              <w:spacing w:after="0"/>
              <w:rPr>
                <w:sz w:val="20"/>
                <w:szCs w:val="20"/>
                <w:color w:val="auto"/>
              </w:rPr>
            </w:pPr>
            <w:r>
              <w:rPr>
                <w:rFonts w:ascii="Arial" w:cs="Arial" w:eastAsia="Arial" w:hAnsi="Arial"/>
                <w:sz w:val="18"/>
                <w:szCs w:val="18"/>
                <w:color w:val="auto"/>
              </w:rPr>
              <w:t>Notes due 2026</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L.L.C.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EMC</w:t>
            </w:r>
          </w:p>
        </w:tc>
        <w:tc>
          <w:tcPr>
            <w:tcW w:w="0" w:type="dxa"/>
            <w:vAlign w:val="bottom"/>
          </w:tcPr>
          <w:p>
            <w:pPr>
              <w:spacing w:after="0"/>
              <w:rPr>
                <w:sz w:val="1"/>
                <w:szCs w:val="1"/>
                <w:color w:val="auto"/>
              </w:rPr>
            </w:pPr>
          </w:p>
        </w:tc>
      </w:tr>
      <w:tr>
        <w:trPr>
          <w:trHeight w:val="230"/>
        </w:trPr>
        <w:tc>
          <w:tcPr>
            <w:tcW w:w="1520" w:type="dxa"/>
            <w:vAlign w:val="bottom"/>
            <w:gridSpan w:val="2"/>
            <w:vMerge w:val="restart"/>
          </w:tcPr>
          <w:p>
            <w:pPr>
              <w:spacing w:after="0"/>
              <w:rPr>
                <w:sz w:val="20"/>
                <w:szCs w:val="20"/>
                <w:color w:val="auto"/>
              </w:rPr>
            </w:pPr>
            <w:r>
              <w:rPr>
                <w:rFonts w:ascii="Arial" w:cs="Arial" w:eastAsia="Arial" w:hAnsi="Arial"/>
                <w:sz w:val="18"/>
                <w:szCs w:val="18"/>
                <w:color w:val="auto"/>
              </w:rPr>
              <w:t>4.900% Senior</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0" w:type="dxa"/>
            <w:vAlign w:val="bottom"/>
          </w:tcPr>
          <w:p>
            <w:pPr>
              <w:spacing w:after="0"/>
              <w:rPr>
                <w:sz w:val="1"/>
                <w:szCs w:val="1"/>
                <w:color w:val="auto"/>
              </w:rPr>
            </w:pPr>
          </w:p>
        </w:tc>
      </w:tr>
      <w:tr>
        <w:trPr>
          <w:trHeight w:val="202"/>
        </w:trPr>
        <w:tc>
          <w:tcPr>
            <w:tcW w:w="1520" w:type="dxa"/>
            <w:vAlign w:val="bottom"/>
            <w:gridSpan w:val="2"/>
            <w:vMerge w:val="continue"/>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6"/>
              </w:rPr>
              <w:t>Dell</w:t>
            </w:r>
          </w:p>
        </w:tc>
        <w:tc>
          <w:tcPr>
            <w:tcW w:w="0" w:type="dxa"/>
            <w:vAlign w:val="bottom"/>
          </w:tcPr>
          <w:p>
            <w:pPr>
              <w:spacing w:after="0"/>
              <w:rPr>
                <w:sz w:val="1"/>
                <w:szCs w:val="1"/>
                <w:color w:val="auto"/>
              </w:rPr>
            </w:pPr>
          </w:p>
        </w:tc>
      </w:tr>
      <w:tr>
        <w:trPr>
          <w:trHeight w:val="243"/>
        </w:trPr>
        <w:tc>
          <w:tcPr>
            <w:tcW w:w="1520" w:type="dxa"/>
            <w:vAlign w:val="bottom"/>
            <w:gridSpan w:val="2"/>
          </w:tcPr>
          <w:p>
            <w:pPr>
              <w:ind w:left="180"/>
              <w:spacing w:after="0"/>
              <w:rPr>
                <w:sz w:val="20"/>
                <w:szCs w:val="20"/>
                <w:color w:val="auto"/>
              </w:rPr>
            </w:pPr>
            <w:r>
              <w:rPr>
                <w:rFonts w:ascii="Arial" w:cs="Arial" w:eastAsia="Arial" w:hAnsi="Arial"/>
                <w:sz w:val="18"/>
                <w:szCs w:val="18"/>
                <w:color w:val="auto"/>
              </w:rPr>
              <w:t>Notes due 2026</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L.L.C.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EMC</w:t>
            </w:r>
          </w:p>
        </w:tc>
        <w:tc>
          <w:tcPr>
            <w:tcW w:w="0" w:type="dxa"/>
            <w:vAlign w:val="bottom"/>
          </w:tcPr>
          <w:p>
            <w:pPr>
              <w:spacing w:after="0"/>
              <w:rPr>
                <w:sz w:val="1"/>
                <w:szCs w:val="1"/>
                <w:color w:val="auto"/>
              </w:rPr>
            </w:pPr>
          </w:p>
        </w:tc>
      </w:tr>
      <w:tr>
        <w:trPr>
          <w:trHeight w:val="230"/>
        </w:trPr>
        <w:tc>
          <w:tcPr>
            <w:tcW w:w="1520" w:type="dxa"/>
            <w:vAlign w:val="bottom"/>
            <w:gridSpan w:val="2"/>
            <w:vMerge w:val="restart"/>
          </w:tcPr>
          <w:p>
            <w:pPr>
              <w:spacing w:after="0"/>
              <w:rPr>
                <w:sz w:val="20"/>
                <w:szCs w:val="20"/>
                <w:color w:val="auto"/>
              </w:rPr>
            </w:pPr>
            <w:r>
              <w:rPr>
                <w:rFonts w:ascii="Arial" w:cs="Arial" w:eastAsia="Arial" w:hAnsi="Arial"/>
                <w:sz w:val="18"/>
                <w:szCs w:val="18"/>
                <w:color w:val="auto"/>
              </w:rPr>
              <w:t>4.000% Senior</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0" w:type="dxa"/>
            <w:vAlign w:val="bottom"/>
          </w:tcPr>
          <w:p>
            <w:pPr>
              <w:spacing w:after="0"/>
              <w:rPr>
                <w:sz w:val="1"/>
                <w:szCs w:val="1"/>
                <w:color w:val="auto"/>
              </w:rPr>
            </w:pPr>
          </w:p>
        </w:tc>
      </w:tr>
      <w:tr>
        <w:trPr>
          <w:trHeight w:val="203"/>
        </w:trPr>
        <w:tc>
          <w:tcPr>
            <w:tcW w:w="1520" w:type="dxa"/>
            <w:vAlign w:val="bottom"/>
            <w:gridSpan w:val="2"/>
            <w:vMerge w:val="continue"/>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6"/>
              </w:rPr>
              <w:t>Dell</w:t>
            </w:r>
          </w:p>
        </w:tc>
        <w:tc>
          <w:tcPr>
            <w:tcW w:w="0" w:type="dxa"/>
            <w:vAlign w:val="bottom"/>
          </w:tcPr>
          <w:p>
            <w:pPr>
              <w:spacing w:after="0"/>
              <w:rPr>
                <w:sz w:val="1"/>
                <w:szCs w:val="1"/>
                <w:color w:val="auto"/>
              </w:rPr>
            </w:pPr>
          </w:p>
        </w:tc>
      </w:tr>
      <w:tr>
        <w:trPr>
          <w:trHeight w:val="229"/>
        </w:trPr>
        <w:tc>
          <w:tcPr>
            <w:tcW w:w="1520" w:type="dxa"/>
            <w:vAlign w:val="bottom"/>
            <w:gridSpan w:val="2"/>
          </w:tcPr>
          <w:p>
            <w:pPr>
              <w:ind w:left="180"/>
              <w:spacing w:after="0"/>
              <w:rPr>
                <w:sz w:val="20"/>
                <w:szCs w:val="20"/>
                <w:color w:val="auto"/>
              </w:rPr>
            </w:pPr>
            <w:r>
              <w:rPr>
                <w:rFonts w:ascii="Arial" w:cs="Arial" w:eastAsia="Arial" w:hAnsi="Arial"/>
                <w:sz w:val="18"/>
                <w:szCs w:val="18"/>
                <w:color w:val="auto"/>
              </w:rPr>
              <w:t>Notes due 2024</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L.L.C.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EMC</w:t>
            </w:r>
          </w:p>
        </w:tc>
        <w:tc>
          <w:tcPr>
            <w:tcW w:w="0" w:type="dxa"/>
            <w:vAlign w:val="bottom"/>
          </w:tcPr>
          <w:p>
            <w:pPr>
              <w:spacing w:after="0"/>
              <w:rPr>
                <w:sz w:val="1"/>
                <w:szCs w:val="1"/>
                <w:color w:val="auto"/>
              </w:rPr>
            </w:pPr>
          </w:p>
        </w:tc>
      </w:tr>
      <w:tr>
        <w:trPr>
          <w:trHeight w:val="230"/>
        </w:trPr>
        <w:tc>
          <w:tcPr>
            <w:tcW w:w="1520" w:type="dxa"/>
            <w:vAlign w:val="bottom"/>
            <w:gridSpan w:val="2"/>
            <w:vMerge w:val="restart"/>
          </w:tcPr>
          <w:p>
            <w:pPr>
              <w:spacing w:after="0"/>
              <w:rPr>
                <w:sz w:val="20"/>
                <w:szCs w:val="20"/>
                <w:color w:val="auto"/>
              </w:rPr>
            </w:pPr>
            <w:r>
              <w:rPr>
                <w:rFonts w:ascii="Arial" w:cs="Arial" w:eastAsia="Arial" w:hAnsi="Arial"/>
                <w:sz w:val="18"/>
                <w:szCs w:val="18"/>
                <w:color w:val="auto"/>
              </w:rPr>
              <w:t>5.850% Senior</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0" w:type="dxa"/>
            <w:vAlign w:val="bottom"/>
          </w:tcPr>
          <w:p>
            <w:pPr>
              <w:spacing w:after="0"/>
              <w:rPr>
                <w:sz w:val="1"/>
                <w:szCs w:val="1"/>
                <w:color w:val="auto"/>
              </w:rPr>
            </w:pPr>
          </w:p>
        </w:tc>
      </w:tr>
      <w:tr>
        <w:trPr>
          <w:trHeight w:val="203"/>
        </w:trPr>
        <w:tc>
          <w:tcPr>
            <w:tcW w:w="1520" w:type="dxa"/>
            <w:vAlign w:val="bottom"/>
            <w:gridSpan w:val="2"/>
            <w:vMerge w:val="continue"/>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6"/>
              </w:rPr>
              <w:t>Dell</w:t>
            </w:r>
          </w:p>
        </w:tc>
        <w:tc>
          <w:tcPr>
            <w:tcW w:w="0" w:type="dxa"/>
            <w:vAlign w:val="bottom"/>
          </w:tcPr>
          <w:p>
            <w:pPr>
              <w:spacing w:after="0"/>
              <w:rPr>
                <w:sz w:val="1"/>
                <w:szCs w:val="1"/>
                <w:color w:val="auto"/>
              </w:rPr>
            </w:pPr>
          </w:p>
        </w:tc>
      </w:tr>
      <w:tr>
        <w:trPr>
          <w:trHeight w:val="229"/>
        </w:trPr>
        <w:tc>
          <w:tcPr>
            <w:tcW w:w="1520" w:type="dxa"/>
            <w:vAlign w:val="bottom"/>
            <w:gridSpan w:val="2"/>
          </w:tcPr>
          <w:p>
            <w:pPr>
              <w:ind w:left="180"/>
              <w:spacing w:after="0"/>
              <w:rPr>
                <w:sz w:val="20"/>
                <w:szCs w:val="20"/>
                <w:color w:val="auto"/>
              </w:rPr>
            </w:pPr>
            <w:r>
              <w:rPr>
                <w:rFonts w:ascii="Arial" w:cs="Arial" w:eastAsia="Arial" w:hAnsi="Arial"/>
                <w:sz w:val="18"/>
                <w:szCs w:val="18"/>
                <w:color w:val="auto"/>
              </w:rPr>
              <w:t>Notes due 2025</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L.L.C.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EMC</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CUSIP Numbers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24703TAD8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25272KAK9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 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U2526DAD1</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24703TAE6</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24703DAZ4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 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U24724AK9</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24703TAB2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24703DAY7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 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U24724AJ2</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24703TAC0</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24703DBB6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 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U24724AM5</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4"/>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Acceptance</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 U.S.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2"/>
              </w:rPr>
              <w:t>Spread</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Expected to Be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Priority</w:t>
            </w:r>
          </w:p>
        </w:tc>
        <w:tc>
          <w:tcPr>
            <w:tcW w:w="20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Reference</w:t>
            </w:r>
          </w:p>
        </w:tc>
        <w:tc>
          <w:tcPr>
            <w:tcW w:w="340" w:type="dxa"/>
            <w:vAlign w:val="bottom"/>
          </w:tcPr>
          <w:p>
            <w:pPr>
              <w:spacing w:after="0"/>
              <w:rPr>
                <w:sz w:val="13"/>
                <w:szCs w:val="13"/>
                <w:color w:val="auto"/>
              </w:rPr>
            </w:pPr>
          </w:p>
        </w:tc>
        <w:tc>
          <w:tcPr>
            <w:tcW w:w="5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8"/>
              </w:rPr>
              <w:t>(basis</w:t>
            </w:r>
          </w:p>
        </w:tc>
        <w:tc>
          <w:tcPr>
            <w:tcW w:w="118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Consideration</w:t>
            </w:r>
          </w:p>
        </w:tc>
        <w:tc>
          <w:tcPr>
            <w:tcW w:w="11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Accepted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Level</w:t>
            </w:r>
          </w:p>
        </w:tc>
        <w:tc>
          <w:tcPr>
            <w:tcW w:w="20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Security</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Yield</w:t>
            </w:r>
          </w:p>
        </w:tc>
        <w:tc>
          <w:tcPr>
            <w:tcW w:w="340" w:type="dxa"/>
            <w:vAlign w:val="bottom"/>
          </w:tcPr>
          <w:p>
            <w:pPr>
              <w:spacing w:after="0"/>
              <w:rPr>
                <w:sz w:val="12"/>
                <w:szCs w:val="12"/>
                <w:color w:val="auto"/>
              </w:rPr>
            </w:pPr>
          </w:p>
        </w:tc>
        <w:tc>
          <w:tcPr>
            <w:tcW w:w="44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points)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(1) (2)</w:t>
            </w:r>
          </w:p>
        </w:tc>
        <w:tc>
          <w:tcPr>
            <w:tcW w:w="20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Tendered</w:t>
            </w:r>
            <w:r>
              <w:rPr>
                <w:rFonts w:ascii="Arial" w:cs="Arial" w:eastAsia="Arial" w:hAnsi="Arial"/>
                <w:sz w:val="10"/>
                <w:szCs w:val="10"/>
                <w:b w:val="1"/>
                <w:bCs w:val="1"/>
                <w:color w:val="auto"/>
                <w:w w:val="92"/>
              </w:rPr>
              <w:t>(3)</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0</wp:posOffset>
            </wp:positionV>
            <wp:extent cx="6995160" cy="694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4.125% UST</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due June 15,</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2026</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4.522%</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  1,014.85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w w:val="97"/>
              </w:rPr>
              <w:t>$2,089,943,000</w:t>
            </w:r>
          </w:p>
        </w:tc>
        <w:tc>
          <w:tcPr>
            <w:tcW w:w="1080" w:type="dxa"/>
            <w:vAlign w:val="bottom"/>
          </w:tcPr>
          <w:p>
            <w:pPr>
              <w:jc w:val="right"/>
              <w:spacing w:after="0"/>
              <w:rPr>
                <w:sz w:val="20"/>
                <w:szCs w:val="20"/>
                <w:color w:val="auto"/>
              </w:rPr>
            </w:pPr>
            <w:r>
              <w:rPr>
                <w:rFonts w:ascii="Arial" w:cs="Arial" w:eastAsia="Arial" w:hAnsi="Arial"/>
                <w:sz w:val="18"/>
                <w:szCs w:val="18"/>
                <w:color w:val="auto"/>
                <w:w w:val="96"/>
              </w:rPr>
              <w:t>$999,994,000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0"/>
        <w:spacing w:after="0"/>
        <w:tabs>
          <w:tab w:leader="none" w:pos="1220" w:val="left"/>
          <w:tab w:leader="none" w:pos="2280" w:val="left"/>
          <w:tab w:leader="none" w:pos="3060" w:val="left"/>
          <w:tab w:leader="none" w:pos="4140" w:val="left"/>
          <w:tab w:leader="none" w:pos="5480" w:val="left"/>
          <w:tab w:leader="none" w:pos="66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6"/>
          <w:szCs w:val="16"/>
          <w:color w:val="auto"/>
        </w:rPr>
        <w:t>N/A</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-20955</wp:posOffset>
            </wp:positionV>
            <wp:extent cx="6995160" cy="69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spacing w:after="0"/>
        <w:tabs>
          <w:tab w:leader="none" w:pos="1220" w:val="left"/>
          <w:tab w:leader="none" w:pos="2280" w:val="left"/>
          <w:tab w:leader="none" w:pos="3060" w:val="left"/>
          <w:tab w:leader="none" w:pos="4140" w:val="left"/>
          <w:tab w:leader="none" w:pos="5480" w:val="left"/>
          <w:tab w:leader="none" w:pos="66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6"/>
          <w:szCs w:val="16"/>
          <w:color w:val="auto"/>
        </w:rPr>
        <w:t>N/A</w:t>
      </w:r>
      <w:r>
        <w:rPr>
          <w:rFonts w:ascii="Arial" w:cs="Arial" w:eastAsia="Arial" w:hAnsi="Arial"/>
          <w:sz w:val="23"/>
          <w:szCs w:val="23"/>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0"/>
        <w:spacing w:after="0"/>
        <w:tabs>
          <w:tab w:leader="none" w:pos="1220" w:val="left"/>
          <w:tab w:leader="none" w:pos="2280" w:val="left"/>
          <w:tab w:leader="none" w:pos="3060" w:val="left"/>
          <w:tab w:leader="none" w:pos="4140" w:val="left"/>
          <w:tab w:leader="none" w:pos="5480" w:val="left"/>
          <w:tab w:leader="none" w:pos="66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6"/>
          <w:szCs w:val="16"/>
          <w:color w:val="auto"/>
        </w:rPr>
        <w:t>N/A</w:t>
      </w:r>
      <w:r>
        <w:rPr>
          <w:rFonts w:ascii="Arial" w:cs="Arial" w:eastAsia="Arial" w:hAnsi="Arial"/>
          <w:sz w:val="23"/>
          <w:szCs w:val="23"/>
          <w:color w:val="auto"/>
          <w:vertAlign w:val="superscript"/>
        </w:rPr>
        <w:t>(4)</w:t>
      </w:r>
    </w:p>
    <w:p>
      <w:pPr>
        <w:spacing w:after="0" w:line="1" w:lineRule="exact"/>
        <w:rPr>
          <w:sz w:val="20"/>
          <w:szCs w:val="20"/>
          <w:color w:val="auto"/>
        </w:rPr>
      </w:pPr>
    </w:p>
    <w:p>
      <w:pPr>
        <w:sectPr>
          <w:pgSz w:w="11900" w:h="16838" w:orient="portrait"/>
          <w:cols w:equalWidth="0" w:num="3">
            <w:col w:w="2464" w:space="160"/>
            <w:col w:w="1020" w:space="160"/>
            <w:col w:w="7220"/>
          </w:cols>
          <w:pgMar w:left="436" w:top="486" w:right="439" w:bottom="1440" w:gutter="0" w:footer="0" w:header="0"/>
          <w:type w:val="continuous"/>
        </w:sectPr>
      </w:pPr>
    </w:p>
    <w:tbl>
      <w:tblPr>
        <w:tblLayout w:type="fixed"/>
        <w:tblInd w:w="4" w:type="dxa"/>
        <w:tblCellMar>
          <w:top w:w="0" w:type="dxa"/>
          <w:left w:w="0" w:type="dxa"/>
          <w:bottom w:w="0" w:type="dxa"/>
          <w:right w:w="0" w:type="dxa"/>
        </w:tblCellMar>
      </w:tblPr>
      <w:tr>
        <w:trPr>
          <w:trHeight w:val="204"/>
        </w:trPr>
        <w:tc>
          <w:tcPr>
            <w:tcW w:w="1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6.100% Senior</w:t>
            </w:r>
          </w:p>
        </w:tc>
        <w:tc>
          <w:tcPr>
            <w:tcW w:w="114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96"/>
              </w:rPr>
              <w:t>Dell</w:t>
            </w:r>
          </w:p>
        </w:tc>
        <w:tc>
          <w:tcPr>
            <w:tcW w:w="1440" w:type="dxa"/>
            <w:vAlign w:val="bottom"/>
            <w:shd w:val="clear" w:color="auto" w:fill="CCEEFF"/>
          </w:tcPr>
          <w:p>
            <w:pPr>
              <w:jc w:val="center"/>
              <w:ind w:right="210"/>
              <w:spacing w:after="0" w:line="204" w:lineRule="exact"/>
              <w:rPr>
                <w:sz w:val="20"/>
                <w:szCs w:val="20"/>
                <w:color w:val="auto"/>
              </w:rPr>
            </w:pPr>
            <w:r>
              <w:rPr>
                <w:rFonts w:ascii="Arial" w:cs="Arial" w:eastAsia="Arial" w:hAnsi="Arial"/>
                <w:sz w:val="18"/>
                <w:szCs w:val="18"/>
                <w:color w:val="auto"/>
                <w:w w:val="91"/>
              </w:rPr>
              <w:t>24703TAF3</w:t>
            </w: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Notes due 2027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International</w:t>
            </w:r>
          </w:p>
        </w:tc>
        <w:tc>
          <w:tcPr>
            <w:tcW w:w="14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7"/>
              </w:rPr>
              <w:t>144A:</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L.L.C. and</w:t>
            </w:r>
          </w:p>
        </w:tc>
        <w:tc>
          <w:tcPr>
            <w:tcW w:w="14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1"/>
              </w:rPr>
              <w:t>24703DBC4</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EMC</w:t>
            </w:r>
          </w:p>
        </w:tc>
        <w:tc>
          <w:tcPr>
            <w:tcW w:w="1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 S:</w:t>
            </w: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7"/>
        </w:trPr>
        <w:tc>
          <w:tcPr>
            <w:tcW w:w="142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Corporation</w:t>
            </w:r>
          </w:p>
        </w:tc>
        <w:tc>
          <w:tcPr>
            <w:tcW w:w="14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5"/>
              </w:rPr>
              <w:t>U24724AN3</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ind w:left="440"/>
              <w:spacing w:after="0" w:line="258" w:lineRule="exact"/>
              <w:rPr>
                <w:sz w:val="20"/>
                <w:szCs w:val="20"/>
                <w:color w:val="auto"/>
              </w:rPr>
            </w:pPr>
            <w:r>
              <w:rPr>
                <w:rFonts w:ascii="Arial" w:cs="Arial" w:eastAsia="Arial" w:hAnsi="Arial"/>
                <w:sz w:val="29"/>
                <w:szCs w:val="29"/>
                <w:color w:val="auto"/>
                <w:vertAlign w:val="subscript"/>
              </w:rPr>
              <w:t>N/A</w:t>
            </w:r>
            <w:r>
              <w:rPr>
                <w:rFonts w:ascii="Arial" w:cs="Arial" w:eastAsia="Arial" w:hAnsi="Arial"/>
                <w:sz w:val="12"/>
                <w:szCs w:val="12"/>
                <w:color w:val="auto"/>
              </w:rPr>
              <w:t>(4)</w:t>
            </w:r>
          </w:p>
        </w:tc>
      </w:tr>
    </w:tbl>
    <w:p>
      <w:pPr>
        <w:spacing w:after="0" w:line="229"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Early Tender Premium.</w:t>
      </w:r>
    </w:p>
    <w:p>
      <w:pPr>
        <w:spacing w:after="0" w:line="23" w:lineRule="exact"/>
        <w:rPr>
          <w:rFonts w:ascii="Arial" w:cs="Arial" w:eastAsia="Arial" w:hAnsi="Arial"/>
          <w:sz w:val="18"/>
          <w:szCs w:val="18"/>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$1,000 principal amount of the Securities that are tendered and accepted for purchase.</w:t>
      </w:r>
    </w:p>
    <w:p>
      <w:pPr>
        <w:spacing w:after="0" w:line="9" w:lineRule="exact"/>
        <w:rPr>
          <w:rFonts w:ascii="Arial" w:cs="Arial" w:eastAsia="Arial" w:hAnsi="Arial"/>
          <w:sz w:val="18"/>
          <w:szCs w:val="18"/>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Early Tender Deadline.</w:t>
      </w:r>
    </w:p>
    <w:p>
      <w:pPr>
        <w:spacing w:after="0" w:line="9" w:lineRule="exact"/>
        <w:rPr>
          <w:rFonts w:ascii="Arial" w:cs="Arial" w:eastAsia="Arial" w:hAnsi="Arial"/>
          <w:sz w:val="18"/>
          <w:szCs w:val="18"/>
          <w:color w:val="auto"/>
        </w:rPr>
      </w:pPr>
    </w:p>
    <w:p>
      <w:pPr>
        <w:ind w:left="444" w:right="180" w:hanging="444"/>
        <w:spacing w:after="0" w:line="255" w:lineRule="auto"/>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principal amount of all Securities validly tendered and not validly withdrawn by the Early Tender Deadline exceeds the aggregate tender cap of $1.0 billion (the “Aggregate Tender Cap”). Therefore, Dell does not expect to accept for purchase any tenders of Securities at Acceptance Priority Levels 2 through 5.</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486" w:right="439" w:bottom="1440" w:gutter="0" w:footer="0" w:header="0"/>
          <w:type w:val="continuous"/>
        </w:sectPr>
      </w:pPr>
    </w:p>
    <w:bookmarkStart w:id="9" w:name="page10"/>
    <w:bookmarkEnd w:id="9"/>
    <w:p>
      <w:pPr>
        <w:jc w:val="both"/>
        <w:ind w:right="4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All payments for Securities purchased in connection with the Early Tender Deadline will also include accrued and unpaid interest on the principal amount of Securities purchased, from the last interest payment date applicable to the relevant series of Securities up to, but not including, the early settlement date, which is expected to occur on July 5, 2023.</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Although the Offers are scheduled to expire at 5:00 p.m., New York City time, on July 17, 2023, because the aggregate principal amount of all Securities validly tendered and not validly withdrawn by the Early Tender Deadline exceeds the Aggregate Tender Cap, Dell does not expect to accept for purchase any tenders of Securities after the Early Tender Deadline. Any Securities tendered after the Early Tender Deadline will be promptly credited to the account of the Holder of such Securities maintained at The Depository Trust Company and otherwise returned in accordance with the Offer to Purchase.</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accordance with the terms of the Offers, the withdrawal deadline was 5:00 p.m., New York City time, on June 29, 2023 (the “Withdrawal Deadline”). As a result, tendered Securities may not be withdrawn, except in certain limited circumstances where additional withdrawal rights are required by law (as determined by Dell).</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Dell reserves the absolute right, but is not obligated, subject to applicable law, to: (i) waive any and all conditions to the Offers; (ii) extend or terminate the Offers; (iii) increase, decrease or eliminate the Aggregate Tender Cap without extending the Early Tender Deadline or the Withdrawal Deadline; or (iv) otherwise amend the Offers in any respect.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Barclays Capital Inc., Citigroup Global Markets Inc. and J.P. Morgan Securities LLC are acting as the dealer managers for the Offers (together, the “Dealer Managers”). The information agent and tender agent for the Offers is Global Bondholder Services Corporation (the “Tender Agent”). Copies of the Offer to Purchase and related offer materials are available by contacting the Tender Agent by telephone at (855) 654-2015 (toll-free) or (212) 430– 3774 (banks and brokers), by email at contact@gbsc-usa.com. Questions regarding the Offers should be directed to the Liability Management Groups of Barclays Capital Inc. at +1 (800) 438-3242 (toll-free), Citigroup Global Markets Inc. at +1 (800) 558-3745 (toll-free) or J.P. Morgan Securities LLC, at +1 (866) 834-4666 (toll-free).</w:t>
      </w:r>
    </w:p>
    <w:p>
      <w:pPr>
        <w:spacing w:after="0" w:line="19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press release is for informational purposes only and is not an offer to buy or the solicitation of an offer to sell with respect to any securities. The solicitation of offers to sell the Securities is only being made pursuant to the terms of the Offer to Purchase. The offer is not being made in any jurisdiction in which the making or acceptance thereof would not be in compliance with the securities, blue sky or other laws of such jurisdiction. None of Dell, its affiliates, and their respective board of directors, the Dealer Managers, the information and tender agent or the trustee for any series of Securities is making any recommendation as to whether or not holders should tender their Securities in connection with the Offers, and neither Dell nor any other person has authorized any person to make any such recommendation.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Contacts:</w:t>
            </w:r>
          </w:p>
        </w:tc>
        <w:tc>
          <w:tcPr>
            <w:tcW w:w="2080" w:type="dxa"/>
            <w:vAlign w:val="bottom"/>
            <w:gridSpan w:val="2"/>
          </w:tcPr>
          <w:p>
            <w:pPr>
              <w:spacing w:after="0"/>
              <w:rPr>
                <w:sz w:val="20"/>
                <w:szCs w:val="20"/>
                <w:color w:val="auto"/>
              </w:rPr>
            </w:pPr>
            <w:r>
              <w:rPr>
                <w:rFonts w:ascii="Arial" w:cs="Arial" w:eastAsia="Arial" w:hAnsi="Arial"/>
                <w:sz w:val="18"/>
                <w:szCs w:val="18"/>
                <w:color w:val="auto"/>
              </w:rPr>
              <w:t>Investor Relations:</w:t>
            </w:r>
          </w:p>
        </w:tc>
      </w:tr>
      <w:tr>
        <w:trPr>
          <w:trHeight w:val="190"/>
        </w:trPr>
        <w:tc>
          <w:tcPr>
            <w:tcW w:w="3860" w:type="dxa"/>
            <w:vAlign w:val="bottom"/>
          </w:tcPr>
          <w:p>
            <w:pPr>
              <w:spacing w:after="0"/>
              <w:rPr>
                <w:sz w:val="16"/>
                <w:szCs w:val="16"/>
                <w:color w:val="auto"/>
              </w:rPr>
            </w:pPr>
          </w:p>
        </w:tc>
        <w:tc>
          <w:tcPr>
            <w:tcW w:w="20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investor_relations@dell.com</w:t>
            </w:r>
          </w:p>
        </w:tc>
      </w:tr>
      <w:tr>
        <w:trPr>
          <w:trHeight w:val="222"/>
        </w:trPr>
        <w:tc>
          <w:tcPr>
            <w:tcW w:w="386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90"/>
        </w:trPr>
        <w:tc>
          <w:tcPr>
            <w:tcW w:w="3860" w:type="dxa"/>
            <w:vAlign w:val="bottom"/>
          </w:tcPr>
          <w:p>
            <w:pPr>
              <w:spacing w:after="0"/>
              <w:rPr>
                <w:sz w:val="16"/>
                <w:szCs w:val="16"/>
                <w:color w:val="auto"/>
              </w:rPr>
            </w:pPr>
          </w:p>
        </w:tc>
        <w:tc>
          <w:tcPr>
            <w:tcW w:w="2080" w:type="dxa"/>
            <w:vAlign w:val="bottom"/>
            <w:gridSpan w:val="2"/>
          </w:tcPr>
          <w:p>
            <w:pPr>
              <w:spacing w:after="0" w:line="190" w:lineRule="exact"/>
              <w:rPr>
                <w:sz w:val="20"/>
                <w:szCs w:val="20"/>
                <w:color w:val="auto"/>
              </w:rPr>
            </w:pPr>
            <w:r>
              <w:rPr>
                <w:rFonts w:ascii="Arial" w:cs="Arial" w:eastAsia="Arial" w:hAnsi="Arial"/>
                <w:sz w:val="18"/>
                <w:szCs w:val="18"/>
                <w:color w:val="auto"/>
                <w:w w:val="94"/>
              </w:rPr>
              <w:t>Media.Relations@Dell.com</w:t>
            </w:r>
          </w:p>
        </w:tc>
      </w:tr>
      <w:tr>
        <w:trPr>
          <w:trHeight w:val="20"/>
        </w:trPr>
        <w:tc>
          <w:tcPr>
            <w:tcW w:w="386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Dell Technologies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Dell Technologies (NYSE:DELL) helps organizations and individuals build their digital future and transform how they work, live and play. The company provides customers with the industry’s broadest and most innovative technology and services portfolio for the data era.</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Dell Technologies’ results or events in future periods could differ materially from those expressed or implied by these forward-looking statements because of risks, uncertainties, and other factors that include, but are not limited to, the following: adverse global economic conditions and instability in financial markets; competitive pressures; Dell Technologies’ reliance on third-party suppliers for products and components, including reliance on single-source or limited-source suppliers; Dell Technologies’ ability to achieve favorable pricing from its vendors; Dell Technologies’ ability to achieve the intended benefits of its continuing strategic relationship with VMware, Inc.; Dell Technologies’ execution of its strategy; Dell Technologies’ ability to manage solutions and products and services transitions in an effective manner; Dell Technologies’ ability to deliver high-quality products, software, and services; cyber attacks or other data security incidents; Dell Technologies’ ability to successfully execute on strategic initiatives including acquisitions, divestitures or cost savings measures;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material impairment of the value of goodwill or intangible assets; weak economic conditions and the effect of additional regulation on Dell Technologies’ financial services activities; counterparty default risks;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490" w:right="479" w:bottom="1440" w:gutter="0" w:footer="0" w:header="0"/>
        </w:sectPr>
      </w:pPr>
    </w:p>
    <w:bookmarkStart w:id="11" w:name="page12"/>
    <w:bookmarkEnd w:id="11"/>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exchange rates and interest rates; expiration of tax holidays or favorable tax rate structures, or unfavorable outcomes in tax audits and other tax compliance matters; impairment of portfolio investments; unfavorable results of legal proceedings; expectations relating to environmental, social and governance (ESG) considerations; compliance requirements of changing environmental and safety laws, human rights laws, or other laws; the effect of armed hostilities, terrorism, natural disasters, or public health issues; the effect of global climate change and legal, regulatory, or market measures to address climate change; Dell Technologies’ dependence on the services of Michael Dell and key employees; Dell Technologies’ level of indebtedness; and business and financial factors and legal restrictions affecting continuation of Dell Technologies’ quarterly cash dividend policy and dividend rate.</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February 3, 2023, quarterly reports on Form 10-Q, and current reports on Form 8-K. These filings are available for review through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sectPr>
      <w:pgSz w:w="11900" w:h="16838" w:orient="portrait"/>
      <w:cols w:equalWidth="0" w:num="1">
        <w:col w:w="10960"/>
      </w:cols>
      <w:pgMar w:left="440" w:top="4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2023-06-30T16:14:22Z</dcterms:created>
  <dcterms:modified xsi:type="dcterms:W3CDTF">2023-06-30T16:14:22Z</dcterms:modified>
</cp:coreProperties>
</file>