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2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DORMAN DAVID W</w:t>
              </w:r>
            </w:hyperlink>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Dell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DELL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20" w:type="dxa"/>
            <w:vAlign w:val="bottom"/>
            <w:tcBorders>
              <w:bottom w:val="single" w:sz="8" w:color="0000EE"/>
            </w:tcBorders>
            <w:gridSpan w:val="2"/>
            <w:vMerge w:val="continue"/>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7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17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440"/>
              <w:spacing w:after="0"/>
              <w:rPr>
                <w:sz w:val="20"/>
                <w:szCs w:val="20"/>
                <w:color w:val="auto"/>
              </w:rPr>
            </w:pPr>
            <w:r>
              <w:rPr>
                <w:rFonts w:ascii="Arial" w:cs="Arial" w:eastAsia="Arial" w:hAnsi="Arial"/>
                <w:sz w:val="13"/>
                <w:szCs w:val="13"/>
                <w:color w:val="auto"/>
              </w:rPr>
              <w:t>(First)</w:t>
            </w:r>
          </w:p>
        </w:tc>
        <w:tc>
          <w:tcPr>
            <w:tcW w:w="1720" w:type="dxa"/>
            <w:vAlign w:val="bottom"/>
          </w:tcPr>
          <w:p>
            <w:pPr>
              <w:ind w:left="5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CENTERVIEW CAPITAL TECHNOLOGY</w:t>
            </w: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09/18/2024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LTD.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64 WILLOW PLACE, SUITE 101</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4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80" w:type="dxa"/>
            <w:vAlign w:val="bottom"/>
            <w:tcBorders>
              <w:top w:val="single" w:sz="8" w:color="2C2C2C"/>
            </w:tcBorders>
            <w:gridSpan w:val="6"/>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96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94025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gridSpan w:val="2"/>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gridSpan w:val="4"/>
          </w:tcPr>
          <w:p>
            <w:pPr>
              <w:ind w:left="6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54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Borders>
              <w:bottom w:val="single" w:sz="8" w:color="2C2C2C"/>
            </w:tcBorders>
            <w:gridSpan w:val="4"/>
          </w:tcPr>
          <w:p>
            <w:pPr>
              <w:ind w:left="760"/>
              <w:spacing w:after="0"/>
              <w:rPr>
                <w:sz w:val="20"/>
                <w:szCs w:val="20"/>
                <w:color w:val="auto"/>
              </w:rPr>
            </w:pPr>
            <w:r>
              <w:rPr>
                <w:rFonts w:ascii="Times New Roman" w:cs="Times New Roman" w:eastAsia="Times New Roman" w:hAnsi="Times New Roman"/>
                <w:sz w:val="17"/>
                <w:szCs w:val="17"/>
                <w:color w:val="0000FF"/>
              </w:rPr>
              <w:t>09/18/2024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2,801</w:t>
            </w:r>
            <w:r>
              <w:rPr>
                <w:rFonts w:ascii="Times New Roman" w:cs="Times New Roman" w:eastAsia="Times New Roman" w:hAnsi="Times New Roman"/>
                <w:sz w:val="22"/>
                <w:szCs w:val="22"/>
                <w:color w:val="008000"/>
                <w:w w:val="97"/>
                <w:vertAlign w:val="superscript"/>
              </w:rPr>
              <w:t>(1)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117,118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6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60" w:type="dxa"/>
            <w:vAlign w:val="bottom"/>
          </w:tcPr>
          <w:p>
            <w:pPr>
              <w:spacing w:after="0"/>
              <w:rPr>
                <w:sz w:val="11"/>
                <w:szCs w:val="11"/>
                <w:color w:val="auto"/>
              </w:rPr>
            </w:pPr>
          </w:p>
        </w:tc>
        <w:tc>
          <w:tcPr>
            <w:tcW w:w="12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862 shares of Class C Common Stock and 1,939 restricted stock units ("RSUs"). The RSUs vest in full on the first anniversary of the annual meeting of stockholders of Dell Technologies Inc. held on June 27, 2024, contingent on the reporting person's continued service on such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James Williamson,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2870"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2024-09-20T15:16:46Z</dcterms:created>
  <dcterms:modified xsi:type="dcterms:W3CDTF">2024-09-20T15:16:46Z</dcterms:modified>
</cp:coreProperties>
</file>